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6B4C" w:rsidRDefault="00996B4C">
      <w:pPr>
        <w:spacing w:line="600" w:lineRule="exact"/>
        <w:jc w:val="center"/>
        <w:rPr>
          <w:rFonts w:ascii="方正小标宋_GBK" w:eastAsia="方正小标宋_GBK"/>
          <w:sz w:val="44"/>
          <w:szCs w:val="44"/>
        </w:rPr>
      </w:pPr>
      <w:bookmarkStart w:id="0" w:name="_GoBack"/>
      <w:bookmarkEnd w:id="0"/>
    </w:p>
    <w:p w:rsidR="00996B4C" w:rsidRDefault="00B842AA">
      <w:pPr>
        <w:spacing w:line="600" w:lineRule="exact"/>
        <w:jc w:val="center"/>
        <w:rPr>
          <w:rFonts w:ascii="方正小标宋_GBK" w:eastAsia="方正小标宋_GBK"/>
          <w:sz w:val="44"/>
          <w:szCs w:val="44"/>
        </w:rPr>
      </w:pPr>
      <w:r>
        <w:rPr>
          <w:rFonts w:ascii="方正小标宋_GBK" w:eastAsia="方正小标宋_GBK" w:hint="eastAsia"/>
          <w:sz w:val="44"/>
          <w:szCs w:val="44"/>
        </w:rPr>
        <w:t>关于《江苏省养老服务条例（修订草案）》的说明</w:t>
      </w:r>
    </w:p>
    <w:p w:rsidR="00996B4C" w:rsidRDefault="00996B4C">
      <w:pPr>
        <w:spacing w:line="600" w:lineRule="exact"/>
        <w:rPr>
          <w:rFonts w:ascii="方正仿宋_GBK" w:eastAsia="方正仿宋_GBK"/>
          <w:sz w:val="32"/>
          <w:szCs w:val="32"/>
        </w:rPr>
      </w:pPr>
    </w:p>
    <w:p w:rsidR="00996B4C" w:rsidRDefault="00B842AA">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为进一步提升养老服务工作的法</w:t>
      </w:r>
      <w:r>
        <w:rPr>
          <w:rFonts w:ascii="方正仿宋_GBK" w:eastAsia="方正仿宋_GBK" w:hint="eastAsia"/>
          <w:sz w:val="32"/>
          <w:szCs w:val="32"/>
        </w:rPr>
        <w:t>治</w:t>
      </w:r>
      <w:r>
        <w:rPr>
          <w:rFonts w:ascii="方正仿宋_GBK" w:eastAsia="方正仿宋_GBK" w:hint="eastAsia"/>
          <w:sz w:val="32"/>
          <w:szCs w:val="32"/>
        </w:rPr>
        <w:t>化、规范化水平，不断推动全省养老服务体系建设取得新进展，结合我省养老服务发展实际，省民政厅起草了《江苏省养老服务条例（修订草案）》（以下简称《条例》）。现就有关问题说明如下：</w:t>
      </w:r>
    </w:p>
    <w:p w:rsidR="00996B4C" w:rsidRDefault="00B842AA">
      <w:pPr>
        <w:ind w:firstLineChars="200" w:firstLine="640"/>
        <w:rPr>
          <w:rFonts w:ascii="方正黑体_GBK" w:eastAsia="方正黑体_GBK"/>
          <w:sz w:val="32"/>
          <w:szCs w:val="32"/>
        </w:rPr>
      </w:pPr>
      <w:r>
        <w:rPr>
          <w:rFonts w:ascii="方正黑体_GBK" w:eastAsia="方正黑体_GBK" w:hint="eastAsia"/>
          <w:sz w:val="32"/>
          <w:szCs w:val="32"/>
        </w:rPr>
        <w:t>一、修订的必要性</w:t>
      </w:r>
    </w:p>
    <w:p w:rsidR="00996B4C" w:rsidRDefault="00B842AA">
      <w:pPr>
        <w:ind w:firstLine="645"/>
        <w:rPr>
          <w:rFonts w:ascii="Times New Roman" w:eastAsia="方正仿宋_GBK" w:hAnsi="Times New Roman" w:cs="Times New Roman"/>
          <w:sz w:val="32"/>
          <w:szCs w:val="32"/>
        </w:rPr>
      </w:pPr>
      <w:r>
        <w:rPr>
          <w:rFonts w:ascii="方正仿宋_GBK" w:eastAsia="方正仿宋_GBK" w:hint="eastAsia"/>
          <w:sz w:val="32"/>
          <w:szCs w:val="32"/>
        </w:rPr>
        <w:t>《江苏省养老服务条例》是我省重要的民生保障类</w:t>
      </w:r>
      <w:r>
        <w:rPr>
          <w:rFonts w:ascii="方正仿宋_GBK" w:eastAsia="方正仿宋_GBK" w:hint="eastAsia"/>
          <w:sz w:val="32"/>
          <w:szCs w:val="32"/>
        </w:rPr>
        <w:t>地方性</w:t>
      </w:r>
      <w:r>
        <w:rPr>
          <w:rFonts w:ascii="方正仿宋_GBK" w:eastAsia="方正仿宋_GBK" w:hint="eastAsia"/>
          <w:sz w:val="32"/>
          <w:szCs w:val="32"/>
        </w:rPr>
        <w:t>法规，是全省养老服务工作的基本制度遵</w:t>
      </w:r>
      <w:r>
        <w:rPr>
          <w:rFonts w:ascii="Times New Roman" w:eastAsia="方正仿宋_GBK" w:hAnsi="Times New Roman" w:cs="Times New Roman"/>
          <w:sz w:val="32"/>
          <w:szCs w:val="32"/>
        </w:rPr>
        <w:t>循。自</w:t>
      </w:r>
      <w:r>
        <w:rPr>
          <w:rFonts w:ascii="Times New Roman" w:eastAsia="方正仿宋_GBK" w:hAnsi="Times New Roman" w:cs="Times New Roman"/>
          <w:sz w:val="32"/>
          <w:szCs w:val="32"/>
        </w:rPr>
        <w:t>2016</w:t>
      </w:r>
      <w:r>
        <w:rPr>
          <w:rFonts w:ascii="Times New Roman" w:eastAsia="方正仿宋_GBK" w:hAnsi="Times New Roman" w:cs="Times New Roman"/>
          <w:sz w:val="32"/>
          <w:szCs w:val="32"/>
        </w:rPr>
        <w:t>年《条例</w:t>
      </w:r>
      <w:r>
        <w:rPr>
          <w:rFonts w:ascii="方正仿宋_GBK" w:eastAsia="方正仿宋_GBK" w:hint="eastAsia"/>
          <w:sz w:val="32"/>
          <w:szCs w:val="32"/>
        </w:rPr>
        <w:t>》颁布实施以来，通过法治化手段为提升全省养老服务发展水平、有力增进广大老年人福祉发挥了重要作用。但随着我省人口老龄化进程不断加快以及国家层面各项新制度、新政策、新措施的密集出台，养老服务的发展任务、发展目标、发展环境都发生了较大变化，现行《条例》已不能完全适应我省养老服务发展的现实需求，迫切需要对《条例》作进一步的修订完善。</w:t>
      </w:r>
      <w:r>
        <w:rPr>
          <w:rFonts w:ascii="Times New Roman" w:eastAsia="方正仿宋_GBK" w:hAnsi="Times New Roman" w:cs="Times New Roman"/>
          <w:sz w:val="32"/>
          <w:szCs w:val="32"/>
        </w:rPr>
        <w:t>2018</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12</w:t>
      </w:r>
      <w:r>
        <w:rPr>
          <w:rFonts w:ascii="Times New Roman" w:eastAsia="方正仿宋_GBK" w:hAnsi="Times New Roman" w:cs="Times New Roman"/>
          <w:sz w:val="32"/>
          <w:szCs w:val="32"/>
        </w:rPr>
        <w:t>月</w:t>
      </w:r>
      <w:r>
        <w:rPr>
          <w:rFonts w:ascii="Times New Roman" w:eastAsia="方正仿宋_GBK" w:hAnsi="Times New Roman" w:cs="Times New Roman" w:hint="eastAsia"/>
          <w:sz w:val="32"/>
          <w:szCs w:val="32"/>
        </w:rPr>
        <w:t>，《中华人民共和国老年人权益保障法》根据第十三届全国人民代表大会常务委员会第七次会议第三次修正通过。该法对实施积极应对人口老龄化国家战略、建立完善社会养老服务服务体系、强</w:t>
      </w:r>
      <w:r>
        <w:rPr>
          <w:rFonts w:ascii="Times New Roman" w:eastAsia="方正仿宋_GBK" w:hAnsi="Times New Roman" w:cs="Times New Roman" w:hint="eastAsia"/>
          <w:sz w:val="32"/>
          <w:szCs w:val="32"/>
        </w:rPr>
        <w:t>化养老服务保障措施作出了系统性制度化安排，而</w:t>
      </w:r>
      <w:r>
        <w:rPr>
          <w:rFonts w:ascii="Times New Roman" w:eastAsia="方正仿宋_GBK" w:hAnsi="Times New Roman" w:cs="Times New Roman" w:hint="eastAsia"/>
          <w:sz w:val="32"/>
          <w:szCs w:val="32"/>
        </w:rPr>
        <w:t>我省</w:t>
      </w:r>
      <w:r>
        <w:rPr>
          <w:rFonts w:ascii="Times New Roman" w:eastAsia="方正仿宋_GBK" w:hAnsi="Times New Roman" w:cs="Times New Roman" w:hint="eastAsia"/>
          <w:sz w:val="32"/>
          <w:szCs w:val="32"/>
        </w:rPr>
        <w:t>现行《条例》</w:t>
      </w:r>
      <w:r>
        <w:rPr>
          <w:rFonts w:ascii="Times New Roman" w:eastAsia="方正仿宋_GBK" w:hAnsi="Times New Roman" w:cs="Times New Roman" w:hint="eastAsia"/>
          <w:sz w:val="32"/>
          <w:szCs w:val="32"/>
        </w:rPr>
        <w:lastRenderedPageBreak/>
        <w:t>中关于养老服务体系建设的诸多提法、要求以及工作举措与上位法明显存在不一致的现象，</w:t>
      </w:r>
      <w:r>
        <w:rPr>
          <w:rFonts w:ascii="Times New Roman" w:eastAsia="方正仿宋_GBK" w:hAnsi="Times New Roman" w:cs="Times New Roman"/>
          <w:sz w:val="32"/>
          <w:szCs w:val="32"/>
        </w:rPr>
        <w:t>亟需</w:t>
      </w:r>
      <w:r>
        <w:rPr>
          <w:rFonts w:ascii="Times New Roman" w:eastAsia="方正仿宋_GBK" w:hAnsi="Times New Roman" w:cs="Times New Roman" w:hint="eastAsia"/>
          <w:sz w:val="32"/>
          <w:szCs w:val="32"/>
        </w:rPr>
        <w:t>对《条例》内容</w:t>
      </w:r>
      <w:r>
        <w:rPr>
          <w:rFonts w:ascii="Times New Roman" w:eastAsia="方正仿宋_GBK" w:hAnsi="Times New Roman" w:cs="Times New Roman"/>
          <w:sz w:val="32"/>
          <w:szCs w:val="32"/>
        </w:rPr>
        <w:t>进行</w:t>
      </w:r>
      <w:r>
        <w:rPr>
          <w:rFonts w:ascii="Times New Roman" w:eastAsia="方正仿宋_GBK" w:hAnsi="Times New Roman" w:cs="Times New Roman" w:hint="eastAsia"/>
          <w:sz w:val="32"/>
          <w:szCs w:val="32"/>
        </w:rPr>
        <w:t>校正</w:t>
      </w:r>
      <w:r>
        <w:rPr>
          <w:rFonts w:ascii="Times New Roman" w:eastAsia="方正仿宋_GBK" w:hAnsi="Times New Roman" w:cs="Times New Roman"/>
          <w:sz w:val="32"/>
          <w:szCs w:val="32"/>
        </w:rPr>
        <w:t>充实</w:t>
      </w:r>
      <w:r>
        <w:rPr>
          <w:rFonts w:ascii="Times New Roman" w:eastAsia="方正仿宋_GBK" w:hAnsi="Times New Roman" w:cs="Times New Roman" w:hint="eastAsia"/>
          <w:sz w:val="32"/>
          <w:szCs w:val="32"/>
        </w:rPr>
        <w:t>和优化完善，更好地提升养老服务法治化水平，推动全省养老服务高质量发展。</w:t>
      </w:r>
    </w:p>
    <w:p w:rsidR="00996B4C" w:rsidRDefault="00B842AA">
      <w:pPr>
        <w:ind w:firstLineChars="200" w:firstLine="640"/>
        <w:rPr>
          <w:rFonts w:ascii="方正黑体_GBK" w:eastAsia="方正黑体_GBK"/>
          <w:sz w:val="32"/>
          <w:szCs w:val="32"/>
        </w:rPr>
      </w:pPr>
      <w:r>
        <w:rPr>
          <w:rFonts w:ascii="方正黑体_GBK" w:eastAsia="方正黑体_GBK" w:hint="eastAsia"/>
          <w:sz w:val="32"/>
          <w:szCs w:val="32"/>
        </w:rPr>
        <w:t>二、修订过程</w:t>
      </w:r>
    </w:p>
    <w:p w:rsidR="00996B4C" w:rsidRDefault="00B842AA">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坚持问题导向，开展立法修订调研，征集十三个设区市民政部门关于亟需立法解决的养老服务领域短板问题，作为《条例》修订内容的重要参考。召开苏南、苏中、苏北片区三场座谈会，集中听取各地关于《条例》修订工作的意见建议。在认真研究剖析山东、浙江、上海、重庆以及深圳、南京、西安等省市养老服务（老年人权益保障）条例文本框架和法条内容的基础上，结合江苏实际进行合理化引用借鉴。《条例》修订稿成稿后，完成了对省发展改革、财政、人社、卫生健康等</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个部门以及</w:t>
      </w: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个设区市民政部门的征求意见建议，并逐条逐项对照做好采纳吸收工作，形成了目</w:t>
      </w:r>
      <w:r>
        <w:rPr>
          <w:rFonts w:ascii="Times New Roman" w:eastAsia="方正仿宋_GBK" w:hAnsi="Times New Roman" w:cs="Times New Roman" w:hint="eastAsia"/>
          <w:sz w:val="32"/>
          <w:szCs w:val="32"/>
        </w:rPr>
        <w:t>前的修订草案。</w:t>
      </w:r>
    </w:p>
    <w:p w:rsidR="00996B4C" w:rsidRDefault="00B842AA">
      <w:pPr>
        <w:ind w:firstLineChars="200" w:firstLine="640"/>
        <w:rPr>
          <w:rFonts w:ascii="方正黑体_GBK" w:eastAsia="方正黑体_GBK"/>
          <w:sz w:val="32"/>
          <w:szCs w:val="32"/>
        </w:rPr>
      </w:pPr>
      <w:r>
        <w:rPr>
          <w:rFonts w:ascii="方正黑体_GBK" w:eastAsia="方正黑体_GBK" w:hint="eastAsia"/>
          <w:sz w:val="32"/>
          <w:szCs w:val="32"/>
        </w:rPr>
        <w:t>三、修订工作思路</w:t>
      </w:r>
    </w:p>
    <w:p w:rsidR="00996B4C" w:rsidRDefault="00B842AA">
      <w:pPr>
        <w:adjustRightInd w:val="0"/>
        <w:snapToGrid w:val="0"/>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在《条例》</w:t>
      </w:r>
      <w:r>
        <w:rPr>
          <w:rFonts w:ascii="Times New Roman" w:eastAsia="方正仿宋_GBK" w:hAnsi="Times New Roman" w:cs="Times New Roman" w:hint="eastAsia"/>
          <w:sz w:val="32"/>
          <w:szCs w:val="32"/>
        </w:rPr>
        <w:t>修订</w:t>
      </w:r>
      <w:r>
        <w:rPr>
          <w:rFonts w:ascii="Times New Roman" w:eastAsia="方正仿宋_GBK" w:hAnsi="Times New Roman" w:cs="Times New Roman"/>
          <w:sz w:val="32"/>
          <w:szCs w:val="32"/>
        </w:rPr>
        <w:t>工作过程中，我们始终坚持以下工作思路：</w:t>
      </w:r>
    </w:p>
    <w:p w:rsidR="00996B4C" w:rsidRDefault="00B842AA">
      <w:pPr>
        <w:adjustRightInd w:val="0"/>
        <w:snapToGrid w:val="0"/>
        <w:spacing w:line="600" w:lineRule="exact"/>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一是坚持上下一致。</w:t>
      </w:r>
      <w:r>
        <w:rPr>
          <w:rFonts w:ascii="Times New Roman" w:eastAsia="方正仿宋_GBK" w:hAnsi="Times New Roman" w:cs="Times New Roman" w:hint="eastAsia"/>
          <w:sz w:val="32"/>
          <w:szCs w:val="32"/>
        </w:rPr>
        <w:t>严格根据《中华人民共和国老年人权益保障法》确定的原则内容开展修订工作，确保法律的上下一致贯通。力争将国家和省级层面养老服务“十四五”规</w:t>
      </w:r>
      <w:r>
        <w:rPr>
          <w:rFonts w:ascii="Times New Roman" w:eastAsia="方正仿宋_GBK" w:hAnsi="Times New Roman" w:cs="Times New Roman" w:hint="eastAsia"/>
          <w:sz w:val="32"/>
          <w:szCs w:val="32"/>
        </w:rPr>
        <w:lastRenderedPageBreak/>
        <w:t>划以及各类政策性文件中的原则、要求、措施以法律形式固化下来，保障推动养老服务高质量发展长效机制的形成和工作落实。</w:t>
      </w:r>
    </w:p>
    <w:p w:rsidR="00996B4C" w:rsidRDefault="00B842AA">
      <w:pPr>
        <w:pStyle w:val="a7"/>
        <w:shd w:val="clear" w:color="auto" w:fill="FFFFFF"/>
        <w:spacing w:before="0" w:beforeAutospacing="0" w:after="0" w:afterAutospacing="0" w:line="600" w:lineRule="exact"/>
        <w:ind w:firstLineChars="200" w:firstLine="640"/>
        <w:rPr>
          <w:rFonts w:ascii="Times New Roman" w:eastAsia="方正仿宋_GBK" w:hAnsi="Times New Roman" w:cs="Times New Roman"/>
          <w:kern w:val="2"/>
          <w:sz w:val="32"/>
          <w:szCs w:val="32"/>
        </w:rPr>
      </w:pPr>
      <w:r>
        <w:rPr>
          <w:rFonts w:ascii="方正楷体_GBK" w:eastAsia="方正楷体_GBK" w:hAnsi="Times New Roman" w:cs="Times New Roman" w:hint="eastAsia"/>
          <w:kern w:val="2"/>
          <w:sz w:val="32"/>
          <w:szCs w:val="32"/>
        </w:rPr>
        <w:t>二是坚持问题导向。</w:t>
      </w:r>
      <w:r>
        <w:rPr>
          <w:rFonts w:ascii="Times New Roman" w:eastAsia="方正仿宋_GBK" w:hAnsi="Times New Roman" w:cs="Times New Roman" w:hint="eastAsia"/>
          <w:kern w:val="2"/>
          <w:sz w:val="32"/>
          <w:szCs w:val="32"/>
        </w:rPr>
        <w:t>对近年来省人大代表、政协委员关于养老服务体系建设提出的建议、提案进行充分的梳理论证，将政策性强、具备可操作性、符合工作实际的内容上升为法律条</w:t>
      </w:r>
      <w:r>
        <w:rPr>
          <w:rFonts w:ascii="Times New Roman" w:eastAsia="方正仿宋_GBK" w:hAnsi="Times New Roman" w:cs="Times New Roman" w:hint="eastAsia"/>
          <w:kern w:val="2"/>
          <w:sz w:val="32"/>
          <w:szCs w:val="32"/>
        </w:rPr>
        <w:t>款。深入基层广泛开展调查研究，坚持用法治思维、法治手段解决基层反映突出的养老服务发展“难点”“堵点”问题，打通养老服务发展“最后一百米”。</w:t>
      </w:r>
    </w:p>
    <w:p w:rsidR="00996B4C" w:rsidRDefault="00B842AA">
      <w:pPr>
        <w:pStyle w:val="a7"/>
        <w:shd w:val="clear" w:color="auto" w:fill="FFFFFF"/>
        <w:spacing w:before="0" w:beforeAutospacing="0" w:after="0" w:afterAutospacing="0" w:line="600" w:lineRule="exact"/>
        <w:ind w:firstLineChars="200" w:firstLine="640"/>
        <w:rPr>
          <w:rFonts w:ascii="Times New Roman" w:eastAsia="方正仿宋_GBK" w:hAnsi="Times New Roman" w:cs="Times New Roman"/>
          <w:kern w:val="2"/>
          <w:sz w:val="32"/>
          <w:szCs w:val="32"/>
        </w:rPr>
      </w:pPr>
      <w:r>
        <w:rPr>
          <w:rFonts w:ascii="方正楷体_GBK" w:eastAsia="方正楷体_GBK" w:hAnsi="Times New Roman" w:cs="Times New Roman" w:hint="eastAsia"/>
          <w:kern w:val="2"/>
          <w:sz w:val="32"/>
          <w:szCs w:val="32"/>
        </w:rPr>
        <w:t>三是坚持改革创新。</w:t>
      </w:r>
      <w:r>
        <w:rPr>
          <w:rFonts w:ascii="Times New Roman" w:eastAsia="方正仿宋_GBK" w:hAnsi="Times New Roman" w:cs="Times New Roman" w:hint="eastAsia"/>
          <w:kern w:val="2"/>
          <w:sz w:val="32"/>
          <w:szCs w:val="32"/>
        </w:rPr>
        <w:t>注重在法律修订中吸收基层、省外以及境外养老服务领域的先进做法和成功经验。结合江苏实际，力争在基本养老服务、设施规划、财政投入、人才培养、综合监管等方面有所突破，为全国养老服务发展提供“江苏模式”“江苏方案”。</w:t>
      </w:r>
    </w:p>
    <w:p w:rsidR="00996B4C" w:rsidRDefault="00B842AA">
      <w:pPr>
        <w:ind w:firstLineChars="200" w:firstLine="640"/>
        <w:rPr>
          <w:rFonts w:ascii="方正黑体_GBK" w:eastAsia="方正黑体_GBK"/>
          <w:sz w:val="32"/>
          <w:szCs w:val="32"/>
        </w:rPr>
      </w:pPr>
      <w:r>
        <w:rPr>
          <w:rFonts w:ascii="方正黑体_GBK" w:eastAsia="方正黑体_GBK" w:hint="eastAsia"/>
          <w:sz w:val="32"/>
          <w:szCs w:val="32"/>
        </w:rPr>
        <w:t>四、整体框架</w:t>
      </w:r>
    </w:p>
    <w:p w:rsidR="00996B4C" w:rsidRDefault="00B842AA">
      <w:pPr>
        <w:adjustRightInd w:val="0"/>
        <w:snapToGrid w:val="0"/>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修订草案</w:t>
      </w:r>
      <w:r>
        <w:rPr>
          <w:rFonts w:ascii="Times New Roman" w:eastAsia="方正仿宋_GBK" w:hAnsi="Times New Roman" w:cs="Times New Roman" w:hint="eastAsia"/>
          <w:sz w:val="32"/>
          <w:szCs w:val="32"/>
        </w:rPr>
        <w:t>以</w:t>
      </w: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016</w:t>
      </w:r>
      <w:r>
        <w:rPr>
          <w:rFonts w:ascii="Times New Roman" w:eastAsia="方正仿宋_GBK" w:hAnsi="Times New Roman" w:cs="Times New Roman" w:hint="eastAsia"/>
          <w:sz w:val="32"/>
          <w:szCs w:val="32"/>
        </w:rPr>
        <w:t>年出台的</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江苏省养老服务条例</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为</w:t>
      </w:r>
      <w:r>
        <w:rPr>
          <w:rFonts w:ascii="Times New Roman" w:eastAsia="方正仿宋_GBK" w:hAnsi="Times New Roman" w:cs="Times New Roman" w:hint="eastAsia"/>
          <w:sz w:val="32"/>
          <w:szCs w:val="32"/>
        </w:rPr>
        <w:t>基础</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在</w:t>
      </w:r>
      <w:r>
        <w:rPr>
          <w:rFonts w:ascii="Times New Roman" w:eastAsia="方正仿宋_GBK" w:hAnsi="Times New Roman" w:cs="Times New Roman" w:hint="eastAsia"/>
          <w:sz w:val="32"/>
          <w:szCs w:val="32"/>
        </w:rPr>
        <w:t>修订</w:t>
      </w:r>
      <w:r>
        <w:rPr>
          <w:rFonts w:ascii="Times New Roman" w:eastAsia="方正仿宋_GBK" w:hAnsi="Times New Roman" w:cs="Times New Roman"/>
          <w:sz w:val="32"/>
          <w:szCs w:val="32"/>
        </w:rPr>
        <w:t>过程中，注重立足本省</w:t>
      </w:r>
      <w:r>
        <w:rPr>
          <w:rFonts w:ascii="Times New Roman" w:eastAsia="方正仿宋_GBK" w:hAnsi="Times New Roman" w:cs="Times New Roman" w:hint="eastAsia"/>
          <w:sz w:val="32"/>
          <w:szCs w:val="32"/>
        </w:rPr>
        <w:t>养老服务发展实际</w:t>
      </w:r>
      <w:r>
        <w:rPr>
          <w:rFonts w:ascii="Times New Roman" w:eastAsia="方正仿宋_GBK" w:hAnsi="Times New Roman" w:cs="Times New Roman"/>
          <w:sz w:val="32"/>
          <w:szCs w:val="32"/>
        </w:rPr>
        <w:t>，兼顾全国范围内的共同实践和认知，切实解决</w:t>
      </w:r>
      <w:r>
        <w:rPr>
          <w:rFonts w:ascii="Times New Roman" w:eastAsia="方正仿宋_GBK" w:hAnsi="Times New Roman" w:cs="Times New Roman" w:hint="eastAsia"/>
          <w:sz w:val="32"/>
          <w:szCs w:val="32"/>
        </w:rPr>
        <w:t>养老服务体系建设中面临的短板和实际问题。</w:t>
      </w:r>
      <w:r>
        <w:rPr>
          <w:rFonts w:ascii="Times New Roman" w:eastAsia="方正仿宋_GBK" w:hAnsi="Times New Roman" w:cs="Times New Roman" w:hint="eastAsia"/>
          <w:sz w:val="32"/>
          <w:szCs w:val="32"/>
        </w:rPr>
        <w:t>修订草案</w:t>
      </w:r>
      <w:r>
        <w:rPr>
          <w:rFonts w:ascii="Times New Roman" w:eastAsia="方正仿宋_GBK" w:hAnsi="Times New Roman" w:cs="Times New Roman" w:hint="eastAsia"/>
          <w:sz w:val="32"/>
          <w:szCs w:val="32"/>
        </w:rPr>
        <w:t>采用章节式结构，包括总则、基本养老服务、养老服务供给方式、服务能力建设、扶持保障和监督管理、法律责任、附则</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共七章</w:t>
      </w: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条。</w:t>
      </w:r>
      <w:r>
        <w:rPr>
          <w:rFonts w:ascii="方正黑体_GBK" w:eastAsia="方正黑体_GBK" w:hAnsi="Times New Roman" w:cs="Times New Roman" w:hint="eastAsia"/>
          <w:sz w:val="32"/>
          <w:szCs w:val="32"/>
        </w:rPr>
        <w:t>第一章</w:t>
      </w:r>
      <w:r>
        <w:rPr>
          <w:rFonts w:ascii="Times New Roman" w:eastAsia="方正仿宋_GBK" w:hAnsi="Times New Roman" w:cs="Times New Roman" w:hint="eastAsia"/>
          <w:sz w:val="32"/>
          <w:szCs w:val="32"/>
        </w:rPr>
        <w:t>，确立了立法目的、发展原则、公民权利义务以及政府、部门、社会、家庭和个人在养老服务中的职责定位。</w:t>
      </w:r>
      <w:r>
        <w:rPr>
          <w:rFonts w:ascii="方正黑体_GBK" w:eastAsia="方正黑体_GBK" w:hAnsi="Times New Roman" w:cs="Times New Roman" w:hint="eastAsia"/>
          <w:sz w:val="32"/>
          <w:szCs w:val="32"/>
        </w:rPr>
        <w:t>第二章</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lastRenderedPageBreak/>
        <w:t>明确了基本养老服务定义内涵、服务对象和服务方式，提出了完善基本养老服务所必备的前提条件。</w:t>
      </w:r>
      <w:r>
        <w:rPr>
          <w:rFonts w:ascii="方正黑体_GBK" w:eastAsia="方正黑体_GBK" w:hAnsi="Times New Roman" w:cs="Times New Roman" w:hint="eastAsia"/>
          <w:sz w:val="32"/>
          <w:szCs w:val="32"/>
        </w:rPr>
        <w:t>第三章，</w:t>
      </w:r>
      <w:r>
        <w:rPr>
          <w:rFonts w:ascii="Times New Roman" w:eastAsia="方正仿宋_GBK" w:hAnsi="Times New Roman" w:cs="Times New Roman" w:hint="eastAsia"/>
          <w:sz w:val="32"/>
          <w:szCs w:val="32"/>
        </w:rPr>
        <w:t>聚焦优化养老服务供给方式，提出构建居家社区机构相协调、医养康养相结合的养老服务体系；优化养</w:t>
      </w:r>
      <w:r>
        <w:rPr>
          <w:rFonts w:ascii="Times New Roman" w:eastAsia="方正仿宋_GBK" w:hAnsi="Times New Roman" w:cs="Times New Roman" w:hint="eastAsia"/>
          <w:sz w:val="32"/>
          <w:szCs w:val="32"/>
        </w:rPr>
        <w:t>老适老生活环境，为老年人投奔子女和子女照料老年人提供法律便利。</w:t>
      </w:r>
      <w:r>
        <w:rPr>
          <w:rFonts w:ascii="方正黑体_GBK" w:eastAsia="方正黑体_GBK" w:hAnsi="Times New Roman" w:cs="Times New Roman" w:hint="eastAsia"/>
          <w:sz w:val="32"/>
          <w:szCs w:val="32"/>
        </w:rPr>
        <w:t>第四章，</w:t>
      </w:r>
      <w:r>
        <w:rPr>
          <w:rFonts w:ascii="Times New Roman" w:eastAsia="方正仿宋_GBK" w:hAnsi="Times New Roman" w:cs="Times New Roman" w:hint="eastAsia"/>
          <w:sz w:val="32"/>
          <w:szCs w:val="32"/>
        </w:rPr>
        <w:t>强化养老服务能力建设，推动医疗卫生与养老服务相结合；不断加强专业化养老服务人才培养力度，鼓励高层次专业化人才投身养老服务，推广养老服务领域志愿服务；积极促进老有所为，大力发展老年教育，推动老龄人力资源开发利用。</w:t>
      </w:r>
      <w:r>
        <w:rPr>
          <w:rFonts w:ascii="方正黑体_GBK" w:eastAsia="方正黑体_GBK" w:hAnsi="Times New Roman" w:cs="Times New Roman" w:hint="eastAsia"/>
          <w:sz w:val="32"/>
          <w:szCs w:val="32"/>
        </w:rPr>
        <w:t>第五章，</w:t>
      </w:r>
      <w:r>
        <w:rPr>
          <w:rFonts w:ascii="Times New Roman" w:eastAsia="方正仿宋_GBK" w:hAnsi="Times New Roman" w:cs="Times New Roman" w:hint="eastAsia"/>
          <w:sz w:val="32"/>
          <w:szCs w:val="32"/>
        </w:rPr>
        <w:t>提出加强养老服务规划、用地、财政、金融等要素保障，引导鼓励社会力量参与养老服务发展；同时，强化监管举措，通过对养老机构采取实地检查以及标准化、信息化、信用监管等方式，对养老服务机构、组织、人员进行综合监管，提升养老服务质量水</w:t>
      </w:r>
      <w:r>
        <w:rPr>
          <w:rFonts w:ascii="Times New Roman" w:eastAsia="方正仿宋_GBK" w:hAnsi="Times New Roman" w:cs="Times New Roman" w:hint="eastAsia"/>
          <w:sz w:val="32"/>
          <w:szCs w:val="32"/>
        </w:rPr>
        <w:t>平。</w:t>
      </w:r>
      <w:r>
        <w:rPr>
          <w:rFonts w:ascii="方正黑体_GBK" w:eastAsia="方正黑体_GBK" w:hAnsi="Times New Roman" w:cs="Times New Roman" w:hint="eastAsia"/>
          <w:sz w:val="32"/>
          <w:szCs w:val="32"/>
        </w:rPr>
        <w:t>第六章，</w:t>
      </w:r>
      <w:r>
        <w:rPr>
          <w:rFonts w:ascii="Times New Roman" w:eastAsia="方正仿宋_GBK" w:hAnsi="Times New Roman" w:cs="Times New Roman" w:hint="eastAsia"/>
          <w:sz w:val="32"/>
          <w:szCs w:val="32"/>
        </w:rPr>
        <w:t>明确了养老服务相关法律责任以及处罚的</w:t>
      </w:r>
      <w:r>
        <w:rPr>
          <w:rFonts w:ascii="Times New Roman" w:eastAsia="方正仿宋_GBK" w:hAnsi="Times New Roman" w:cs="Times New Roman" w:hint="eastAsia"/>
          <w:sz w:val="32"/>
          <w:szCs w:val="32"/>
        </w:rPr>
        <w:t>情节、种类、幅度</w:t>
      </w:r>
      <w:r>
        <w:rPr>
          <w:rFonts w:ascii="Times New Roman" w:eastAsia="方正仿宋_GBK" w:hAnsi="Times New Roman" w:cs="Times New Roman" w:hint="eastAsia"/>
          <w:sz w:val="32"/>
          <w:szCs w:val="32"/>
        </w:rPr>
        <w:t>。</w:t>
      </w:r>
      <w:r>
        <w:rPr>
          <w:rFonts w:ascii="方正黑体_GBK" w:eastAsia="方正黑体_GBK" w:hAnsi="Times New Roman" w:cs="Times New Roman" w:hint="eastAsia"/>
          <w:sz w:val="32"/>
          <w:szCs w:val="32"/>
        </w:rPr>
        <w:t>第七章</w:t>
      </w:r>
      <w:r>
        <w:rPr>
          <w:rFonts w:ascii="Times New Roman" w:eastAsia="方正仿宋_GBK" w:hAnsi="Times New Roman" w:cs="Times New Roman" w:hint="eastAsia"/>
          <w:sz w:val="32"/>
          <w:szCs w:val="32"/>
        </w:rPr>
        <w:t>，明确了部分养老服务相关定义以及该条例的实施时间。</w:t>
      </w:r>
    </w:p>
    <w:p w:rsidR="00996B4C" w:rsidRDefault="00B842AA">
      <w:pPr>
        <w:ind w:firstLineChars="200" w:firstLine="640"/>
        <w:rPr>
          <w:rFonts w:ascii="方正黑体_GBK" w:eastAsia="方正黑体_GBK"/>
          <w:sz w:val="32"/>
          <w:szCs w:val="32"/>
        </w:rPr>
      </w:pPr>
      <w:r>
        <w:rPr>
          <w:rFonts w:ascii="方正黑体_GBK" w:eastAsia="方正黑体_GBK" w:hint="eastAsia"/>
          <w:sz w:val="32"/>
          <w:szCs w:val="32"/>
        </w:rPr>
        <w:t>五、主要修订内容</w:t>
      </w:r>
    </w:p>
    <w:p w:rsidR="00996B4C" w:rsidRDefault="00B842AA">
      <w:pPr>
        <w:adjustRightInd w:val="0"/>
        <w:snapToGrid w:val="0"/>
        <w:spacing w:line="600" w:lineRule="exact"/>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一是体现与上位法和国家政策相衔接相配套。</w:t>
      </w:r>
      <w:r>
        <w:rPr>
          <w:rFonts w:ascii="Times New Roman" w:eastAsia="方正仿宋_GBK" w:hAnsi="Times New Roman" w:cs="Times New Roman" w:hint="eastAsia"/>
          <w:sz w:val="32"/>
          <w:szCs w:val="32"/>
        </w:rPr>
        <w:t>修订草案</w:t>
      </w:r>
      <w:r>
        <w:rPr>
          <w:rFonts w:ascii="Times New Roman" w:eastAsia="方正仿宋_GBK" w:hAnsi="Times New Roman" w:cs="Times New Roman" w:hint="eastAsia"/>
          <w:sz w:val="32"/>
          <w:szCs w:val="32"/>
        </w:rPr>
        <w:t>对标《中华人民共和国老年人权益保障法》以及国务院有关政策措施，对相关内容进行了贯通衔接。在居家社区养老服务主体中，要求从事居家社区养老服务的组织依法办理登记</w:t>
      </w:r>
      <w:r>
        <w:rPr>
          <w:rFonts w:ascii="方正黑体_GBK" w:eastAsia="方正黑体_GBK" w:hAnsi="Times New Roman" w:cs="Times New Roman" w:hint="eastAsia"/>
          <w:sz w:val="32"/>
          <w:szCs w:val="32"/>
        </w:rPr>
        <w:t>（第二十二条）</w:t>
      </w:r>
      <w:r>
        <w:rPr>
          <w:rFonts w:ascii="Times New Roman" w:eastAsia="方正仿宋_GBK" w:hAnsi="Times New Roman" w:cs="Times New Roman" w:hint="eastAsia"/>
          <w:sz w:val="32"/>
          <w:szCs w:val="32"/>
        </w:rPr>
        <w:t>。在养老机构设立中，落实取消养老机构设立许可规定，明确了经营性、公益性和事业单位三种主体养老</w:t>
      </w:r>
      <w:r>
        <w:rPr>
          <w:rFonts w:ascii="Times New Roman" w:eastAsia="方正仿宋_GBK" w:hAnsi="Times New Roman" w:cs="Times New Roman" w:hint="eastAsia"/>
          <w:sz w:val="32"/>
          <w:szCs w:val="32"/>
        </w:rPr>
        <w:lastRenderedPageBreak/>
        <w:t>机构的登记备案要求</w:t>
      </w:r>
      <w:r>
        <w:rPr>
          <w:rFonts w:ascii="方正黑体_GBK" w:eastAsia="方正黑体_GBK" w:hAnsi="Times New Roman" w:cs="Times New Roman" w:hint="eastAsia"/>
          <w:sz w:val="32"/>
          <w:szCs w:val="32"/>
        </w:rPr>
        <w:t>（第二十九条）。</w:t>
      </w:r>
      <w:r>
        <w:rPr>
          <w:rFonts w:ascii="Times New Roman" w:eastAsia="方正仿宋_GBK" w:hAnsi="Times New Roman" w:cs="Times New Roman" w:hint="eastAsia"/>
          <w:sz w:val="32"/>
          <w:szCs w:val="32"/>
        </w:rPr>
        <w:t>在养老机构入住中，要求建立入院评估制度，根据评估结果确定照料护理等级</w:t>
      </w:r>
      <w:r>
        <w:rPr>
          <w:rFonts w:ascii="方正黑体_GBK" w:eastAsia="方正黑体_GBK" w:hAnsi="Times New Roman" w:cs="Times New Roman" w:hint="eastAsia"/>
          <w:sz w:val="32"/>
          <w:szCs w:val="32"/>
        </w:rPr>
        <w:t>（第三十条）</w:t>
      </w:r>
      <w:r>
        <w:rPr>
          <w:rFonts w:ascii="Times New Roman" w:eastAsia="方正仿宋_GBK" w:hAnsi="Times New Roman" w:cs="Times New Roman" w:hint="eastAsia"/>
          <w:sz w:val="32"/>
          <w:szCs w:val="32"/>
        </w:rPr>
        <w:t>。在监督管理章节中增加了检查措施，明确县级以上人民政府民政部门依法履行养老机构监督检查职责可以采取的执法措施</w:t>
      </w:r>
      <w:r>
        <w:rPr>
          <w:rFonts w:ascii="方正黑体_GBK" w:eastAsia="方正黑体_GBK" w:hAnsi="Times New Roman" w:cs="Times New Roman" w:hint="eastAsia"/>
          <w:sz w:val="32"/>
          <w:szCs w:val="32"/>
        </w:rPr>
        <w:t>（第六十二条）</w:t>
      </w:r>
      <w:r>
        <w:rPr>
          <w:rFonts w:ascii="Times New Roman" w:eastAsia="方正仿宋_GBK" w:hAnsi="Times New Roman" w:cs="Times New Roman" w:hint="eastAsia"/>
          <w:sz w:val="32"/>
          <w:szCs w:val="32"/>
        </w:rPr>
        <w:t>。</w:t>
      </w:r>
    </w:p>
    <w:p w:rsidR="00996B4C" w:rsidRDefault="00B842AA">
      <w:pPr>
        <w:adjustRightInd w:val="0"/>
        <w:snapToGrid w:val="0"/>
        <w:spacing w:line="600" w:lineRule="exact"/>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二是对相关措辞提法进行了修订完善。</w:t>
      </w:r>
      <w:r>
        <w:rPr>
          <w:rFonts w:ascii="Times New Roman" w:eastAsia="方正仿宋_GBK" w:hAnsi="Times New Roman" w:cs="Times New Roman" w:hint="eastAsia"/>
          <w:sz w:val="32"/>
          <w:szCs w:val="32"/>
        </w:rPr>
        <w:t>修订草案</w:t>
      </w:r>
      <w:r>
        <w:rPr>
          <w:rFonts w:ascii="Times New Roman" w:eastAsia="方正仿宋_GBK" w:hAnsi="Times New Roman" w:cs="Times New Roman" w:hint="eastAsia"/>
          <w:sz w:val="32"/>
          <w:szCs w:val="32"/>
        </w:rPr>
        <w:t>紧扣养老服务时代发展方向，对有关措施提法进行了调整修订。如：在</w:t>
      </w:r>
      <w:r>
        <w:rPr>
          <w:rFonts w:ascii="方正黑体_GBK" w:eastAsia="方正黑体_GBK" w:hAnsi="Times New Roman" w:cs="Times New Roman" w:hint="eastAsia"/>
          <w:sz w:val="32"/>
          <w:szCs w:val="32"/>
        </w:rPr>
        <w:t>第一条</w:t>
      </w:r>
      <w:r>
        <w:rPr>
          <w:rFonts w:ascii="Times New Roman" w:eastAsia="方正仿宋_GBK" w:hAnsi="Times New Roman" w:cs="Times New Roman" w:hint="eastAsia"/>
          <w:sz w:val="32"/>
          <w:szCs w:val="32"/>
        </w:rPr>
        <w:t>“目的和依据”中，增加了“贯彻实施积极应对人口老龄化国家战略”；在</w:t>
      </w:r>
      <w:r>
        <w:rPr>
          <w:rFonts w:ascii="方正黑体_GBK" w:eastAsia="方正黑体_GBK" w:hAnsi="Times New Roman" w:cs="Times New Roman" w:hint="eastAsia"/>
          <w:sz w:val="32"/>
          <w:szCs w:val="32"/>
        </w:rPr>
        <w:t>第五条</w:t>
      </w:r>
      <w:r>
        <w:rPr>
          <w:rFonts w:ascii="Times New Roman" w:eastAsia="方正仿宋_GBK" w:hAnsi="Times New Roman" w:cs="Times New Roman" w:hint="eastAsia"/>
          <w:sz w:val="32"/>
          <w:szCs w:val="32"/>
        </w:rPr>
        <w:t>“养老服务体系”当中，明确建立完善“居家社区机构相协调、医养康养相结合的养老服务体系”，“推动养老事业和养老产业协同发展</w:t>
      </w:r>
      <w:r>
        <w:rPr>
          <w:rFonts w:ascii="Times New Roman" w:eastAsia="方正仿宋_GBK" w:hAnsi="Times New Roman" w:cs="Times New Roman" w:hint="eastAsia"/>
          <w:sz w:val="32"/>
          <w:szCs w:val="32"/>
        </w:rPr>
        <w:t>”，这些都是党的十九届五中全会有关精神在养老服务领域的具体体现。同时，还针对</w:t>
      </w: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018</w:t>
      </w:r>
      <w:r>
        <w:rPr>
          <w:rFonts w:ascii="Times New Roman" w:eastAsia="方正仿宋_GBK" w:hAnsi="Times New Roman" w:cs="Times New Roman" w:hint="eastAsia"/>
          <w:sz w:val="32"/>
          <w:szCs w:val="32"/>
        </w:rPr>
        <w:t>年党和国家机构改革后部门名称变更和职能调整，相应对原先《条例》中涉及的养老服务相关部门和工作职能进行了修正，确保与部门现实履职状况相一致。</w:t>
      </w:r>
    </w:p>
    <w:p w:rsidR="00996B4C" w:rsidRDefault="00B842AA">
      <w:pPr>
        <w:ind w:firstLine="645"/>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三是增设了重点工作专章篇幅。</w:t>
      </w:r>
      <w:r>
        <w:rPr>
          <w:rFonts w:ascii="Times New Roman" w:eastAsia="方正仿宋_GBK" w:hAnsi="Times New Roman" w:cs="Times New Roman" w:hint="eastAsia"/>
          <w:sz w:val="32"/>
          <w:szCs w:val="32"/>
        </w:rPr>
        <w:t>党的十九届五中全会提出“健全基本养老服务体系”，是提升老年人获得感和幸福感的必然要求。为贯彻落实党中央、国务院和省委省政府关于发展基本养老服务的决策部署，本次立法修订增设了“基本养老服务”专章。</w:t>
      </w:r>
      <w:r>
        <w:rPr>
          <w:rFonts w:ascii="Times New Roman" w:eastAsia="方正仿宋_GBK" w:hAnsi="Times New Roman" w:hint="eastAsia"/>
          <w:sz w:val="32"/>
          <w:szCs w:val="32"/>
        </w:rPr>
        <w:t>在供给侧，专章明确</w:t>
      </w:r>
      <w:r>
        <w:rPr>
          <w:rFonts w:ascii="Times New Roman" w:eastAsia="方正仿宋_GBK" w:hAnsi="Times New Roman" w:cs="Times New Roman" w:hint="eastAsia"/>
          <w:sz w:val="32"/>
          <w:szCs w:val="32"/>
        </w:rPr>
        <w:t>基本养老服务由政府主导，充分发挥社会力量参与作用</w:t>
      </w:r>
      <w:r>
        <w:rPr>
          <w:rFonts w:ascii="Times New Roman" w:eastAsia="方正仿宋_GBK" w:hAnsi="Times New Roman" w:cs="Times New Roman" w:hint="eastAsia"/>
          <w:sz w:val="32"/>
          <w:szCs w:val="32"/>
        </w:rPr>
        <w:t>，通过进一步提升养老服务兜底保障、适度普惠水平，加快健全长期照护服务体系，强化基本养老服务供给保障能力</w:t>
      </w:r>
      <w:r>
        <w:rPr>
          <w:rFonts w:ascii="方正黑体_GBK" w:eastAsia="方正黑体_GBK" w:hAnsi="Times New Roman" w:cs="Times New Roman" w:hint="eastAsia"/>
          <w:sz w:val="32"/>
          <w:szCs w:val="32"/>
        </w:rPr>
        <w:t>（第十二条）</w:t>
      </w:r>
      <w:r>
        <w:rPr>
          <w:rFonts w:ascii="Times New Roman" w:eastAsia="方正仿宋_GBK" w:hAnsi="Times New Roman" w:cs="Times New Roman" w:hint="eastAsia"/>
          <w:sz w:val="32"/>
          <w:szCs w:val="32"/>
        </w:rPr>
        <w:t>。在需求侧，专</w:t>
      </w:r>
      <w:r>
        <w:rPr>
          <w:rFonts w:ascii="Times New Roman" w:eastAsia="方正仿宋_GBK" w:hAnsi="Times New Roman" w:cs="Times New Roman" w:hint="eastAsia"/>
          <w:sz w:val="32"/>
          <w:szCs w:val="32"/>
        </w:rPr>
        <w:lastRenderedPageBreak/>
        <w:t>章明确优先为</w:t>
      </w:r>
      <w:r>
        <w:rPr>
          <w:rFonts w:ascii="Times New Roman" w:eastAsia="方正仿宋_GBK" w:hAnsi="Times New Roman" w:hint="eastAsia"/>
          <w:sz w:val="32"/>
          <w:szCs w:val="32"/>
        </w:rPr>
        <w:t>经济困难的高龄、空巢、独居、失能（失智）、计划生育特殊家庭等老年人提供基本养老服务</w:t>
      </w:r>
      <w:r>
        <w:rPr>
          <w:rFonts w:ascii="方正黑体_GBK" w:eastAsia="方正黑体_GBK" w:hAnsi="Times New Roman" w:hint="eastAsia"/>
          <w:sz w:val="32"/>
          <w:szCs w:val="32"/>
        </w:rPr>
        <w:t>（第十三条）</w:t>
      </w:r>
      <w:r>
        <w:rPr>
          <w:rFonts w:ascii="Times New Roman" w:eastAsia="方正仿宋_GBK" w:hAnsi="Times New Roman" w:hint="eastAsia"/>
          <w:sz w:val="32"/>
          <w:szCs w:val="32"/>
        </w:rPr>
        <w:t>。</w:t>
      </w:r>
    </w:p>
    <w:p w:rsidR="00996B4C" w:rsidRDefault="00B842AA">
      <w:pPr>
        <w:ind w:firstLine="645"/>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四是破解养老服务发展瓶颈短板。</w:t>
      </w:r>
      <w:r>
        <w:rPr>
          <w:rFonts w:ascii="Times New Roman" w:eastAsia="方正仿宋_GBK" w:hAnsi="Times New Roman" w:cs="Times New Roman" w:hint="eastAsia"/>
          <w:sz w:val="32"/>
          <w:szCs w:val="32"/>
        </w:rPr>
        <w:t>坚持用法治手段、创新思维解决养老服务发展面临的“难点”“堵点”“痛点”问题。聚焦巩固家庭养老基础性地位，鼓励发展家庭照护服务</w:t>
      </w:r>
      <w:r>
        <w:rPr>
          <w:rFonts w:ascii="方正黑体_GBK" w:eastAsia="方正黑体_GBK" w:hAnsi="Times New Roman" w:hint="eastAsia"/>
          <w:sz w:val="32"/>
          <w:szCs w:val="32"/>
        </w:rPr>
        <w:t>（第二十一条）</w:t>
      </w:r>
      <w:r>
        <w:rPr>
          <w:rFonts w:ascii="Times New Roman" w:eastAsia="方正仿宋_GBK" w:hAnsi="Times New Roman" w:cs="Times New Roman" w:hint="eastAsia"/>
          <w:sz w:val="32"/>
          <w:szCs w:val="32"/>
        </w:rPr>
        <w:t>、鼓励外地老年人投奔子女</w:t>
      </w:r>
      <w:r>
        <w:rPr>
          <w:rFonts w:ascii="方正黑体_GBK" w:eastAsia="方正黑体_GBK" w:hAnsi="Times New Roman" w:hint="eastAsia"/>
          <w:sz w:val="32"/>
          <w:szCs w:val="32"/>
        </w:rPr>
        <w:t>（第二十七条）</w:t>
      </w:r>
      <w:r>
        <w:rPr>
          <w:rFonts w:ascii="Times New Roman" w:eastAsia="方正仿宋_GBK" w:hAnsi="Times New Roman" w:cs="Times New Roman" w:hint="eastAsia"/>
          <w:sz w:val="32"/>
          <w:szCs w:val="32"/>
        </w:rPr>
        <w:t>、鼓励给予子女护理照料假</w:t>
      </w:r>
      <w:r>
        <w:rPr>
          <w:rFonts w:ascii="方正黑体_GBK" w:eastAsia="方正黑体_GBK" w:hAnsi="Times New Roman" w:hint="eastAsia"/>
          <w:sz w:val="32"/>
          <w:szCs w:val="32"/>
        </w:rPr>
        <w:t>（第二十八条）</w:t>
      </w:r>
      <w:r>
        <w:rPr>
          <w:rFonts w:ascii="Times New Roman" w:eastAsia="方正仿宋_GBK" w:hAnsi="Times New Roman" w:cs="Times New Roman" w:hint="eastAsia"/>
          <w:sz w:val="32"/>
          <w:szCs w:val="32"/>
        </w:rPr>
        <w:t>。聚焦精准化服务需求，提出推动开展老年人能力评估工作，评估结果作为老年人接受基本养老服务的依据</w:t>
      </w:r>
      <w:r>
        <w:rPr>
          <w:rFonts w:ascii="方正黑体_GBK" w:eastAsia="方正黑体_GBK" w:hAnsi="Times New Roman" w:hint="eastAsia"/>
          <w:sz w:val="32"/>
          <w:szCs w:val="32"/>
        </w:rPr>
        <w:t>（第十四条）</w:t>
      </w:r>
      <w:r>
        <w:rPr>
          <w:rFonts w:ascii="Times New Roman" w:eastAsia="方正仿宋_GBK" w:hAnsi="Times New Roman" w:cs="Times New Roman" w:hint="eastAsia"/>
          <w:sz w:val="32"/>
          <w:szCs w:val="32"/>
        </w:rPr>
        <w:t>。聚焦养老服务应急管理，提出养老机构应针对各项突发事件制定应急预案，疑似传染病人和精神病人须根据规定及时处理</w:t>
      </w:r>
      <w:r>
        <w:rPr>
          <w:rFonts w:ascii="方正黑体_GBK" w:eastAsia="方正黑体_GBK" w:hAnsi="Times New Roman" w:hint="eastAsia"/>
          <w:sz w:val="32"/>
          <w:szCs w:val="32"/>
        </w:rPr>
        <w:t>（第三十二、三十三条）</w:t>
      </w:r>
      <w:r>
        <w:rPr>
          <w:rFonts w:ascii="Times New Roman" w:eastAsia="方正仿宋_GBK" w:hAnsi="Times New Roman" w:cs="Times New Roman" w:hint="eastAsia"/>
          <w:sz w:val="32"/>
          <w:szCs w:val="32"/>
        </w:rPr>
        <w:t>。聚焦维护老年人合法权益，提出强化针对养老机构预付费管理，原则上养老机构和养老服务组织收取预付费和押金不超过月度费用的</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倍</w:t>
      </w:r>
      <w:r>
        <w:rPr>
          <w:rFonts w:ascii="方正黑体_GBK" w:eastAsia="方正黑体_GBK" w:hAnsi="Times New Roman" w:hint="eastAsia"/>
          <w:sz w:val="32"/>
          <w:szCs w:val="32"/>
        </w:rPr>
        <w:t>（第六十七条）</w:t>
      </w:r>
      <w:r>
        <w:rPr>
          <w:rFonts w:ascii="Times New Roman" w:eastAsia="方正仿宋_GBK" w:hAnsi="Times New Roman" w:cs="Times New Roman" w:hint="eastAsia"/>
          <w:sz w:val="32"/>
          <w:szCs w:val="32"/>
        </w:rPr>
        <w:t>。</w:t>
      </w:r>
    </w:p>
    <w:p w:rsidR="00996B4C" w:rsidRDefault="00996B4C">
      <w:pPr>
        <w:ind w:firstLine="645"/>
        <w:rPr>
          <w:rFonts w:ascii="方正仿宋_GBK" w:eastAsia="方正仿宋_GBK"/>
          <w:sz w:val="32"/>
          <w:szCs w:val="32"/>
        </w:rPr>
      </w:pPr>
    </w:p>
    <w:p w:rsidR="00996B4C" w:rsidRDefault="00996B4C">
      <w:pPr>
        <w:ind w:firstLine="645"/>
        <w:rPr>
          <w:rFonts w:ascii="方正仿宋_GBK" w:eastAsia="方正仿宋_GBK"/>
          <w:sz w:val="32"/>
          <w:szCs w:val="32"/>
        </w:rPr>
      </w:pPr>
    </w:p>
    <w:p w:rsidR="00996B4C" w:rsidRDefault="00996B4C">
      <w:pPr>
        <w:ind w:firstLineChars="200" w:firstLine="640"/>
        <w:rPr>
          <w:rFonts w:ascii="方正黑体_GBK" w:eastAsia="方正黑体_GBK"/>
          <w:sz w:val="32"/>
          <w:szCs w:val="32"/>
        </w:rPr>
      </w:pPr>
    </w:p>
    <w:sectPr w:rsidR="00996B4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42AA" w:rsidRDefault="00B842AA" w:rsidP="00C83F62">
      <w:r>
        <w:separator/>
      </w:r>
    </w:p>
  </w:endnote>
  <w:endnote w:type="continuationSeparator" w:id="0">
    <w:p w:rsidR="00B842AA" w:rsidRDefault="00B842AA" w:rsidP="00C83F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42AA" w:rsidRDefault="00B842AA" w:rsidP="00C83F62">
      <w:r>
        <w:separator/>
      </w:r>
    </w:p>
  </w:footnote>
  <w:footnote w:type="continuationSeparator" w:id="0">
    <w:p w:rsidR="00B842AA" w:rsidRDefault="00B842AA" w:rsidP="00C83F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6BD"/>
    <w:rsid w:val="0000360C"/>
    <w:rsid w:val="001A5110"/>
    <w:rsid w:val="00243B8A"/>
    <w:rsid w:val="00284296"/>
    <w:rsid w:val="004573E3"/>
    <w:rsid w:val="004C5AE1"/>
    <w:rsid w:val="00693239"/>
    <w:rsid w:val="006E0D6D"/>
    <w:rsid w:val="00996B4C"/>
    <w:rsid w:val="009E15C2"/>
    <w:rsid w:val="009F6E07"/>
    <w:rsid w:val="00A1494F"/>
    <w:rsid w:val="00A24EB6"/>
    <w:rsid w:val="00A35F82"/>
    <w:rsid w:val="00A37352"/>
    <w:rsid w:val="00A67200"/>
    <w:rsid w:val="00AC03E6"/>
    <w:rsid w:val="00AF2B0C"/>
    <w:rsid w:val="00B842AA"/>
    <w:rsid w:val="00C83F62"/>
    <w:rsid w:val="00CA79D6"/>
    <w:rsid w:val="00D247D8"/>
    <w:rsid w:val="00D5095F"/>
    <w:rsid w:val="00DC7397"/>
    <w:rsid w:val="00F526BD"/>
    <w:rsid w:val="01BF13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00D72D5-3C90-475A-AD10-B262AF753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paragraph" w:styleId="a8">
    <w:name w:val="Balloon Text"/>
    <w:basedOn w:val="a"/>
    <w:link w:val="a9"/>
    <w:uiPriority w:val="99"/>
    <w:semiHidden/>
    <w:unhideWhenUsed/>
    <w:rsid w:val="00C83F62"/>
    <w:rPr>
      <w:sz w:val="18"/>
      <w:szCs w:val="18"/>
    </w:rPr>
  </w:style>
  <w:style w:type="character" w:customStyle="1" w:styleId="a9">
    <w:name w:val="批注框文本 字符"/>
    <w:basedOn w:val="a0"/>
    <w:link w:val="a8"/>
    <w:uiPriority w:val="99"/>
    <w:semiHidden/>
    <w:rsid w:val="00C83F62"/>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72D95E-12EC-4163-9260-ADECDDB5E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1899</TotalTime>
  <Pages>6</Pages>
  <Words>451</Words>
  <Characters>2571</Characters>
  <Application>Microsoft Office Word</Application>
  <DocSecurity>0</DocSecurity>
  <Lines>21</Lines>
  <Paragraphs>6</Paragraphs>
  <ScaleCrop>false</ScaleCrop>
  <Company>HP Inc.</Company>
  <LinksUpToDate>false</LinksUpToDate>
  <CharactersWithSpaces>3016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叶翔宇</dc:creator>
  <cp:lastModifiedBy>叶翔宇</cp:lastModifiedBy>
  <cp:revision>5</cp:revision>
  <dcterms:created xsi:type="dcterms:W3CDTF">2021-11-20T01:17:00Z</dcterms:created>
  <dcterms:modified xsi:type="dcterms:W3CDTF">2021-11-22T01:56:00Z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1BA34CEF4592452F8AD3822CC84419B7</vt:lpwstr>
  </property>
</Properties>
</file>