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2C80" w:rsidRDefault="007A10C5" w:rsidP="00D80C56">
      <w:pPr>
        <w:spacing w:line="600" w:lineRule="exact"/>
        <w:rPr>
          <w:rFonts w:ascii="Times New Roman" w:eastAsia="方正仿宋_GBK" w:hAnsi="Times New Roman" w:cs="Times New Roman"/>
          <w:sz w:val="32"/>
          <w:szCs w:val="32"/>
        </w:rPr>
      </w:pPr>
      <w:r w:rsidRPr="00D80C56">
        <w:rPr>
          <w:rFonts w:ascii="Times New Roman" w:eastAsia="方正仿宋_GBK" w:hAnsi="Times New Roman" w:cs="Times New Roman"/>
          <w:sz w:val="32"/>
          <w:szCs w:val="32"/>
        </w:rPr>
        <w:t>附件</w:t>
      </w:r>
      <w:r w:rsidRPr="00D80C56">
        <w:rPr>
          <w:rFonts w:ascii="Times New Roman" w:eastAsia="方正仿宋_GBK" w:hAnsi="Times New Roman" w:cs="Times New Roman"/>
          <w:sz w:val="32"/>
          <w:szCs w:val="32"/>
        </w:rPr>
        <w:t>2</w:t>
      </w:r>
    </w:p>
    <w:p w:rsidR="00D80C56" w:rsidRPr="00D80C56" w:rsidRDefault="00D80C56" w:rsidP="00D80C56">
      <w:pPr>
        <w:spacing w:line="600" w:lineRule="exact"/>
        <w:rPr>
          <w:rFonts w:ascii="Times New Roman" w:eastAsia="方正仿宋_GBK" w:hAnsi="Times New Roman" w:cs="Times New Roman"/>
          <w:sz w:val="32"/>
          <w:szCs w:val="32"/>
        </w:rPr>
      </w:pPr>
    </w:p>
    <w:p w:rsidR="00C90C4B" w:rsidRDefault="007A10C5" w:rsidP="00D80C56">
      <w:pPr>
        <w:spacing w:line="600" w:lineRule="exact"/>
        <w:jc w:val="center"/>
        <w:rPr>
          <w:rFonts w:ascii="Times New Roman" w:eastAsia="方正小标宋_GBK" w:hAnsi="Times New Roman" w:cs="Times New Roman"/>
          <w:sz w:val="44"/>
          <w:szCs w:val="44"/>
        </w:rPr>
      </w:pPr>
      <w:r w:rsidRPr="00D80C56">
        <w:rPr>
          <w:rFonts w:ascii="Times New Roman" w:eastAsia="方正小标宋_GBK" w:hAnsi="Times New Roman" w:cs="Times New Roman"/>
          <w:sz w:val="44"/>
          <w:szCs w:val="44"/>
        </w:rPr>
        <w:t>关于《江苏省养老机构等级评定</w:t>
      </w:r>
    </w:p>
    <w:p w:rsidR="007A10C5" w:rsidRPr="00D80C56" w:rsidRDefault="007A10C5" w:rsidP="00D80C56">
      <w:pPr>
        <w:spacing w:line="600" w:lineRule="exact"/>
        <w:jc w:val="center"/>
        <w:rPr>
          <w:rFonts w:ascii="Times New Roman" w:eastAsia="方正小标宋_GBK" w:hAnsi="Times New Roman" w:cs="Times New Roman"/>
          <w:sz w:val="44"/>
          <w:szCs w:val="44"/>
        </w:rPr>
      </w:pPr>
      <w:r w:rsidRPr="00D80C56">
        <w:rPr>
          <w:rFonts w:ascii="Times New Roman" w:eastAsia="方正小标宋_GBK" w:hAnsi="Times New Roman" w:cs="Times New Roman"/>
          <w:sz w:val="44"/>
          <w:szCs w:val="44"/>
        </w:rPr>
        <w:t>管理办法》的修订说明</w:t>
      </w:r>
    </w:p>
    <w:p w:rsidR="00C76632" w:rsidRDefault="00C76632" w:rsidP="00C76632">
      <w:pPr>
        <w:spacing w:line="600" w:lineRule="exact"/>
        <w:rPr>
          <w:rFonts w:ascii="Times New Roman" w:eastAsia="方正仿宋_GBK" w:hAnsi="Times New Roman" w:cs="Times New Roman"/>
          <w:sz w:val="32"/>
          <w:szCs w:val="32"/>
        </w:rPr>
      </w:pPr>
    </w:p>
    <w:p w:rsidR="00C76632" w:rsidRPr="000F3EF0" w:rsidRDefault="00C76632" w:rsidP="000F3EF0">
      <w:pPr>
        <w:spacing w:line="600" w:lineRule="exact"/>
        <w:ind w:firstLineChars="200" w:firstLine="640"/>
        <w:rPr>
          <w:rFonts w:ascii="方正黑体_GBK" w:eastAsia="方正黑体_GBK" w:hAnsi="Times New Roman" w:cs="Times New Roman"/>
          <w:sz w:val="32"/>
          <w:szCs w:val="32"/>
        </w:rPr>
      </w:pPr>
      <w:r w:rsidRPr="000F3EF0">
        <w:rPr>
          <w:rFonts w:ascii="方正黑体_GBK" w:eastAsia="方正黑体_GBK" w:hAnsi="Times New Roman" w:cs="Times New Roman" w:hint="eastAsia"/>
          <w:sz w:val="32"/>
          <w:szCs w:val="32"/>
        </w:rPr>
        <w:t>一、</w:t>
      </w:r>
      <w:r w:rsidR="00C90C4B">
        <w:rPr>
          <w:rFonts w:ascii="方正黑体_GBK" w:eastAsia="方正黑体_GBK" w:hAnsi="Times New Roman" w:cs="Times New Roman" w:hint="eastAsia"/>
          <w:sz w:val="32"/>
          <w:szCs w:val="32"/>
        </w:rPr>
        <w:t>修订</w:t>
      </w:r>
      <w:r w:rsidRPr="000F3EF0">
        <w:rPr>
          <w:rFonts w:ascii="方正黑体_GBK" w:eastAsia="方正黑体_GBK" w:hAnsi="Times New Roman" w:cs="Times New Roman" w:hint="eastAsia"/>
          <w:sz w:val="32"/>
          <w:szCs w:val="32"/>
        </w:rPr>
        <w:t>背景</w:t>
      </w:r>
    </w:p>
    <w:p w:rsidR="00C76632" w:rsidRPr="00C76632" w:rsidRDefault="00C76632" w:rsidP="00C76632">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2020</w:t>
      </w:r>
      <w:r w:rsidRPr="00C76632">
        <w:rPr>
          <w:rFonts w:ascii="Times New Roman" w:eastAsia="方正仿宋_GBK" w:hAnsi="Times New Roman" w:cs="Times New Roman" w:hint="eastAsia"/>
          <w:sz w:val="32"/>
          <w:szCs w:val="32"/>
        </w:rPr>
        <w:t>年，</w:t>
      </w:r>
      <w:r w:rsidR="00C90C4B">
        <w:rPr>
          <w:rFonts w:ascii="Times New Roman" w:eastAsia="方正仿宋_GBK" w:hAnsi="Times New Roman" w:cs="Times New Roman" w:hint="eastAsia"/>
          <w:sz w:val="32"/>
          <w:szCs w:val="32"/>
        </w:rPr>
        <w:t>省民政厅</w:t>
      </w:r>
      <w:r w:rsidRPr="00C76632">
        <w:rPr>
          <w:rFonts w:ascii="Times New Roman" w:eastAsia="方正仿宋_GBK" w:hAnsi="Times New Roman" w:cs="Times New Roman" w:hint="eastAsia"/>
          <w:sz w:val="32"/>
          <w:szCs w:val="32"/>
        </w:rPr>
        <w:t>出台了《江苏省养老机构等级评定管理办</w:t>
      </w:r>
      <w:r w:rsidRPr="00C76632">
        <w:rPr>
          <w:rFonts w:ascii="Times New Roman" w:eastAsia="方正仿宋_GBK" w:hAnsi="Times New Roman" w:cs="Times New Roman" w:hint="eastAsia"/>
          <w:sz w:val="32"/>
          <w:szCs w:val="32"/>
        </w:rPr>
        <w:t xml:space="preserve"> </w:t>
      </w:r>
      <w:r w:rsidRPr="00C76632">
        <w:rPr>
          <w:rFonts w:ascii="Times New Roman" w:eastAsia="方正仿宋_GBK" w:hAnsi="Times New Roman" w:cs="Times New Roman" w:hint="eastAsia"/>
          <w:sz w:val="32"/>
          <w:szCs w:val="32"/>
        </w:rPr>
        <w:t>法</w:t>
      </w:r>
      <w:r w:rsidRPr="00C76632">
        <w:rPr>
          <w:rFonts w:ascii="Times New Roman" w:eastAsia="方正仿宋_GBK" w:hAnsi="Times New Roman" w:cs="Times New Roman" w:hint="eastAsia"/>
          <w:sz w:val="32"/>
          <w:szCs w:val="32"/>
        </w:rPr>
        <w:t xml:space="preserve"> </w:t>
      </w:r>
      <w:r w:rsidRPr="00C76632">
        <w:rPr>
          <w:rFonts w:ascii="Times New Roman" w:eastAsia="方正仿宋_GBK" w:hAnsi="Times New Roman" w:cs="Times New Roman"/>
          <w:sz w:val="32"/>
          <w:szCs w:val="32"/>
        </w:rPr>
        <w:t>(</w:t>
      </w:r>
      <w:r w:rsidRPr="00C76632">
        <w:rPr>
          <w:rFonts w:ascii="Times New Roman" w:eastAsia="方正仿宋_GBK" w:hAnsi="Times New Roman" w:cs="Times New Roman" w:hint="eastAsia"/>
          <w:sz w:val="32"/>
          <w:szCs w:val="32"/>
        </w:rPr>
        <w:t>试行</w:t>
      </w:r>
      <w:r w:rsidRPr="00C76632">
        <w:rPr>
          <w:rFonts w:ascii="Times New Roman" w:eastAsia="方正仿宋_GBK" w:hAnsi="Times New Roman" w:cs="Times New Roman"/>
          <w:sz w:val="32"/>
          <w:szCs w:val="32"/>
        </w:rPr>
        <w:t xml:space="preserve">) </w:t>
      </w:r>
      <w:r w:rsidRPr="00C76632">
        <w:rPr>
          <w:rFonts w:ascii="Times New Roman" w:eastAsia="方正仿宋_GBK" w:hAnsi="Times New Roman" w:cs="Times New Roman" w:hint="eastAsia"/>
          <w:sz w:val="32"/>
          <w:szCs w:val="32"/>
        </w:rPr>
        <w:t>》，对</w:t>
      </w:r>
      <w:r w:rsidR="00B255F2" w:rsidRPr="00B255F2">
        <w:rPr>
          <w:rFonts w:ascii="Times New Roman" w:eastAsia="方正仿宋_GBK" w:hAnsi="Times New Roman" w:cs="Times New Roman" w:hint="eastAsia"/>
          <w:sz w:val="32"/>
          <w:szCs w:val="32"/>
        </w:rPr>
        <w:t>评定对象和条件</w:t>
      </w:r>
      <w:r w:rsidR="00B255F2">
        <w:rPr>
          <w:rFonts w:ascii="Times New Roman" w:eastAsia="方正仿宋_GBK" w:hAnsi="Times New Roman" w:cs="Times New Roman" w:hint="eastAsia"/>
          <w:sz w:val="32"/>
          <w:szCs w:val="32"/>
        </w:rPr>
        <w:t>、</w:t>
      </w:r>
      <w:r w:rsidR="00B255F2" w:rsidRPr="00B255F2">
        <w:rPr>
          <w:rFonts w:ascii="Times New Roman" w:eastAsia="方正仿宋_GBK" w:hAnsi="Times New Roman" w:cs="Times New Roman" w:hint="eastAsia"/>
          <w:sz w:val="32"/>
          <w:szCs w:val="32"/>
        </w:rPr>
        <w:t>等级评定组织与职责</w:t>
      </w:r>
      <w:r w:rsidR="00E319AA">
        <w:rPr>
          <w:rFonts w:ascii="Times New Roman" w:eastAsia="方正仿宋_GBK" w:hAnsi="Times New Roman" w:cs="Times New Roman" w:hint="eastAsia"/>
          <w:sz w:val="32"/>
          <w:szCs w:val="32"/>
        </w:rPr>
        <w:t>、</w:t>
      </w:r>
      <w:r w:rsidR="00B255F2" w:rsidRPr="00B255F2">
        <w:rPr>
          <w:rFonts w:ascii="Times New Roman" w:eastAsia="方正仿宋_GBK" w:hAnsi="Times New Roman" w:cs="Times New Roman" w:hint="eastAsia"/>
          <w:sz w:val="32"/>
          <w:szCs w:val="32"/>
        </w:rPr>
        <w:t>等级评定程序和要求</w:t>
      </w:r>
      <w:r w:rsidR="00E319AA">
        <w:rPr>
          <w:rFonts w:ascii="Times New Roman" w:eastAsia="方正仿宋_GBK" w:hAnsi="Times New Roman" w:cs="Times New Roman" w:hint="eastAsia"/>
          <w:sz w:val="32"/>
          <w:szCs w:val="32"/>
        </w:rPr>
        <w:t>、</w:t>
      </w:r>
      <w:r w:rsidR="00363C2D" w:rsidRPr="00363C2D">
        <w:rPr>
          <w:rFonts w:ascii="Times New Roman" w:eastAsia="方正仿宋_GBK" w:hAnsi="Times New Roman" w:cs="Times New Roman" w:hint="eastAsia"/>
          <w:sz w:val="32"/>
          <w:szCs w:val="32"/>
        </w:rPr>
        <w:t>回避与复核</w:t>
      </w:r>
      <w:r w:rsidR="00E319AA">
        <w:rPr>
          <w:rFonts w:ascii="Times New Roman" w:eastAsia="方正仿宋_GBK" w:hAnsi="Times New Roman" w:cs="Times New Roman" w:hint="eastAsia"/>
          <w:sz w:val="32"/>
          <w:szCs w:val="32"/>
        </w:rPr>
        <w:t>、</w:t>
      </w:r>
      <w:r w:rsidR="00E319AA" w:rsidRPr="00E319AA">
        <w:rPr>
          <w:rFonts w:ascii="Times New Roman" w:eastAsia="方正仿宋_GBK" w:hAnsi="Times New Roman" w:cs="Times New Roman" w:hint="eastAsia"/>
          <w:sz w:val="32"/>
          <w:szCs w:val="32"/>
        </w:rPr>
        <w:t>监督管理</w:t>
      </w:r>
      <w:r w:rsidRPr="00C76632">
        <w:rPr>
          <w:rFonts w:ascii="Times New Roman" w:eastAsia="方正仿宋_GBK" w:hAnsi="Times New Roman" w:cs="Times New Roman" w:hint="eastAsia"/>
          <w:sz w:val="32"/>
          <w:szCs w:val="32"/>
        </w:rPr>
        <w:t>等方面作出了规定。</w:t>
      </w:r>
      <w:r w:rsidR="000F3EF0">
        <w:rPr>
          <w:rFonts w:ascii="Times New Roman" w:eastAsia="方正仿宋_GBK" w:hAnsi="Times New Roman" w:cs="Times New Roman" w:hint="eastAsia"/>
          <w:sz w:val="32"/>
          <w:szCs w:val="32"/>
        </w:rPr>
        <w:t>根据《江苏省行政规范性文件管理规定》要求，需</w:t>
      </w:r>
      <w:r w:rsidR="00C90C4B">
        <w:rPr>
          <w:rFonts w:ascii="Times New Roman" w:eastAsia="方正仿宋_GBK" w:hAnsi="Times New Roman" w:cs="Times New Roman" w:hint="eastAsia"/>
          <w:sz w:val="32"/>
          <w:szCs w:val="32"/>
        </w:rPr>
        <w:t>对试行办法及时</w:t>
      </w:r>
      <w:r w:rsidR="000F3EF0">
        <w:rPr>
          <w:rFonts w:ascii="Times New Roman" w:eastAsia="方正仿宋_GBK" w:hAnsi="Times New Roman" w:cs="Times New Roman" w:hint="eastAsia"/>
          <w:sz w:val="32"/>
          <w:szCs w:val="32"/>
        </w:rPr>
        <w:t>进行修订。</w:t>
      </w:r>
      <w:r w:rsidRPr="00C76632">
        <w:rPr>
          <w:rFonts w:ascii="Times New Roman" w:eastAsia="方正仿宋_GBK" w:hAnsi="Times New Roman" w:cs="Times New Roman"/>
          <w:sz w:val="32"/>
          <w:szCs w:val="32"/>
        </w:rPr>
        <w:t>20</w:t>
      </w:r>
      <w:r w:rsidR="00E319AA">
        <w:rPr>
          <w:rFonts w:ascii="Times New Roman" w:eastAsia="方正仿宋_GBK" w:hAnsi="Times New Roman" w:cs="Times New Roman"/>
          <w:sz w:val="32"/>
          <w:szCs w:val="32"/>
        </w:rPr>
        <w:t>23</w:t>
      </w:r>
      <w:r w:rsidRPr="00C76632">
        <w:rPr>
          <w:rFonts w:ascii="Times New Roman" w:eastAsia="方正仿宋_GBK" w:hAnsi="Times New Roman" w:cs="Times New Roman" w:hint="eastAsia"/>
          <w:sz w:val="32"/>
          <w:szCs w:val="32"/>
        </w:rPr>
        <w:t>年，民政部出台了</w:t>
      </w:r>
      <w:r w:rsidR="000F3EF0" w:rsidRPr="000F3EF0">
        <w:rPr>
          <w:rFonts w:ascii="Times New Roman" w:eastAsia="方正仿宋_GBK" w:hAnsi="Times New Roman" w:cs="Times New Roman" w:hint="eastAsia"/>
          <w:sz w:val="32"/>
          <w:szCs w:val="32"/>
        </w:rPr>
        <w:t>《</w:t>
      </w:r>
      <w:r w:rsidR="00C90C4B">
        <w:rPr>
          <w:rFonts w:ascii="Times New Roman" w:eastAsia="方正仿宋_GBK" w:hAnsi="Times New Roman" w:cs="Times New Roman" w:hint="eastAsia"/>
          <w:sz w:val="32"/>
          <w:szCs w:val="32"/>
        </w:rPr>
        <w:t>&lt;</w:t>
      </w:r>
      <w:r w:rsidR="000F3EF0" w:rsidRPr="000F3EF0">
        <w:rPr>
          <w:rFonts w:ascii="Times New Roman" w:eastAsia="方正仿宋_GBK" w:hAnsi="Times New Roman" w:cs="Times New Roman" w:hint="eastAsia"/>
          <w:sz w:val="32"/>
          <w:szCs w:val="32"/>
        </w:rPr>
        <w:t>养老机构等级划分与评定</w:t>
      </w:r>
      <w:r w:rsidR="00C90C4B">
        <w:rPr>
          <w:rFonts w:ascii="Times New Roman" w:eastAsia="方正仿宋_GBK" w:hAnsi="Times New Roman" w:cs="Times New Roman" w:hint="eastAsia"/>
          <w:sz w:val="32"/>
          <w:szCs w:val="32"/>
        </w:rPr>
        <w:t>&gt;</w:t>
      </w:r>
      <w:r w:rsidR="000F3EF0" w:rsidRPr="000F3EF0">
        <w:rPr>
          <w:rFonts w:ascii="Times New Roman" w:eastAsia="方正仿宋_GBK" w:hAnsi="Times New Roman" w:cs="Times New Roman" w:hint="eastAsia"/>
          <w:sz w:val="32"/>
          <w:szCs w:val="32"/>
        </w:rPr>
        <w:t>国家标准实施指南（</w:t>
      </w:r>
      <w:r w:rsidR="000F3EF0" w:rsidRPr="000F3EF0">
        <w:rPr>
          <w:rFonts w:ascii="Times New Roman" w:eastAsia="方正仿宋_GBK" w:hAnsi="Times New Roman" w:cs="Times New Roman"/>
          <w:sz w:val="32"/>
          <w:szCs w:val="32"/>
        </w:rPr>
        <w:t>2023</w:t>
      </w:r>
      <w:r w:rsidR="000F3EF0" w:rsidRPr="000F3EF0">
        <w:rPr>
          <w:rFonts w:ascii="Times New Roman" w:eastAsia="方正仿宋_GBK" w:hAnsi="Times New Roman" w:cs="Times New Roman"/>
          <w:sz w:val="32"/>
          <w:szCs w:val="32"/>
        </w:rPr>
        <w:t>版）</w:t>
      </w:r>
      <w:r w:rsidR="00C90C4B" w:rsidRPr="000F3EF0">
        <w:rPr>
          <w:rFonts w:ascii="Times New Roman" w:eastAsia="方正仿宋_GBK" w:hAnsi="Times New Roman" w:cs="Times New Roman" w:hint="eastAsia"/>
          <w:sz w:val="32"/>
          <w:szCs w:val="32"/>
        </w:rPr>
        <w:t>》</w:t>
      </w:r>
      <w:r w:rsidR="000F3EF0">
        <w:rPr>
          <w:rFonts w:ascii="Times New Roman" w:eastAsia="方正仿宋_GBK" w:hAnsi="Times New Roman" w:cs="Times New Roman" w:hint="eastAsia"/>
          <w:sz w:val="32"/>
          <w:szCs w:val="32"/>
        </w:rPr>
        <w:t>，对养老机构等级划分及评定相关要求进行了修订。</w:t>
      </w:r>
      <w:r w:rsidR="00C90C4B">
        <w:rPr>
          <w:rFonts w:ascii="Times New Roman" w:eastAsia="方正仿宋_GBK" w:hAnsi="Times New Roman" w:cs="Times New Roman" w:hint="eastAsia"/>
          <w:sz w:val="32"/>
          <w:szCs w:val="32"/>
        </w:rPr>
        <w:t>因此</w:t>
      </w:r>
      <w:r w:rsidR="00AA16EE">
        <w:rPr>
          <w:rFonts w:ascii="Times New Roman" w:eastAsia="方正仿宋_GBK" w:hAnsi="Times New Roman" w:cs="Times New Roman" w:hint="eastAsia"/>
          <w:sz w:val="32"/>
          <w:szCs w:val="32"/>
        </w:rPr>
        <w:t>，</w:t>
      </w:r>
      <w:r w:rsidR="00C90C4B">
        <w:rPr>
          <w:rFonts w:ascii="Times New Roman" w:eastAsia="方正仿宋_GBK" w:hAnsi="Times New Roman" w:cs="Times New Roman" w:hint="eastAsia"/>
          <w:sz w:val="32"/>
          <w:szCs w:val="32"/>
        </w:rPr>
        <w:t>我省养老机构等级评定管理办法相关内容需相应进行调整完善</w:t>
      </w:r>
      <w:r w:rsidRPr="00C76632">
        <w:rPr>
          <w:rFonts w:ascii="Times New Roman" w:eastAsia="方正仿宋_GBK" w:hAnsi="Times New Roman" w:cs="Times New Roman" w:hint="eastAsia"/>
          <w:sz w:val="32"/>
          <w:szCs w:val="32"/>
        </w:rPr>
        <w:t>。</w:t>
      </w:r>
    </w:p>
    <w:p w:rsidR="00C76632" w:rsidRPr="000F3EF0" w:rsidRDefault="00C76632" w:rsidP="00C76632">
      <w:pPr>
        <w:spacing w:line="600" w:lineRule="exact"/>
        <w:ind w:firstLineChars="200" w:firstLine="640"/>
        <w:rPr>
          <w:rFonts w:ascii="方正黑体_GBK" w:eastAsia="方正黑体_GBK" w:hAnsi="Times New Roman" w:cs="Times New Roman"/>
          <w:sz w:val="32"/>
          <w:szCs w:val="32"/>
        </w:rPr>
      </w:pPr>
      <w:r w:rsidRPr="000F3EF0">
        <w:rPr>
          <w:rFonts w:ascii="方正黑体_GBK" w:eastAsia="方正黑体_GBK" w:hAnsi="Times New Roman" w:cs="Times New Roman" w:hint="eastAsia"/>
          <w:sz w:val="32"/>
          <w:szCs w:val="32"/>
        </w:rPr>
        <w:t>二、修订依据</w:t>
      </w:r>
    </w:p>
    <w:p w:rsidR="00AA16EE" w:rsidRDefault="00AA16EE" w:rsidP="00AA16EE">
      <w:pPr>
        <w:spacing w:line="600" w:lineRule="exact"/>
        <w:ind w:firstLineChars="200" w:firstLine="640"/>
        <w:rPr>
          <w:rFonts w:ascii="Times New Roman" w:eastAsia="方正仿宋_GBK" w:hAnsi="Times New Roman" w:cs="Times New Roman" w:hint="eastAsia"/>
          <w:sz w:val="32"/>
          <w:szCs w:val="32"/>
        </w:rPr>
      </w:pPr>
      <w:r w:rsidRPr="00AA16EE">
        <w:rPr>
          <w:rFonts w:ascii="Times New Roman" w:eastAsia="方正仿宋_GBK" w:hAnsi="Times New Roman" w:cs="Times New Roman" w:hint="eastAsia"/>
          <w:sz w:val="32"/>
          <w:szCs w:val="32"/>
        </w:rPr>
        <w:t>《中华人民共和国老年人权益保障法》《养老机构管理办法》《民政部关于加快建立全国统一养老机构等级评定体系的指导意见》《养老机构等级划分与评定》</w:t>
      </w:r>
      <w:bookmarkStart w:id="0" w:name="_Hlk37864865"/>
      <w:r w:rsidRPr="00AA16EE">
        <w:rPr>
          <w:rFonts w:ascii="Times New Roman" w:eastAsia="方正仿宋_GBK" w:hAnsi="Times New Roman" w:cs="Times New Roman" w:hint="eastAsia"/>
          <w:sz w:val="32"/>
          <w:szCs w:val="32"/>
        </w:rPr>
        <w:t>（</w:t>
      </w:r>
      <w:r w:rsidRPr="00AA16EE">
        <w:rPr>
          <w:rFonts w:ascii="Times New Roman" w:eastAsia="方正仿宋_GBK" w:hAnsi="Times New Roman" w:cs="Times New Roman"/>
          <w:sz w:val="32"/>
          <w:szCs w:val="32"/>
        </w:rPr>
        <w:t>GB/T 37276-2018</w:t>
      </w:r>
      <w:r w:rsidRPr="00AA16EE">
        <w:rPr>
          <w:rFonts w:ascii="Times New Roman" w:eastAsia="方正仿宋_GBK" w:hAnsi="Times New Roman" w:cs="Times New Roman" w:hint="eastAsia"/>
          <w:sz w:val="32"/>
          <w:szCs w:val="32"/>
        </w:rPr>
        <w:t>）以及实施指南</w:t>
      </w:r>
      <w:r w:rsidRPr="00AA16EE">
        <w:rPr>
          <w:rFonts w:ascii="Times New Roman" w:eastAsia="方正仿宋_GBK" w:hAnsi="Times New Roman" w:cs="Times New Roman"/>
          <w:sz w:val="32"/>
          <w:szCs w:val="32"/>
        </w:rPr>
        <w:t>（</w:t>
      </w:r>
      <w:r w:rsidRPr="00AA16EE">
        <w:rPr>
          <w:rFonts w:ascii="Times New Roman" w:eastAsia="方正仿宋_GBK" w:hAnsi="Times New Roman" w:cs="Times New Roman"/>
          <w:sz w:val="32"/>
          <w:szCs w:val="32"/>
        </w:rPr>
        <w:t>2023</w:t>
      </w:r>
      <w:r w:rsidRPr="00AA16EE">
        <w:rPr>
          <w:rFonts w:ascii="Times New Roman" w:eastAsia="方正仿宋_GBK" w:hAnsi="Times New Roman" w:cs="Times New Roman"/>
          <w:sz w:val="32"/>
          <w:szCs w:val="32"/>
        </w:rPr>
        <w:t>版）</w:t>
      </w:r>
      <w:bookmarkEnd w:id="0"/>
      <w:r w:rsidR="00C90C4B">
        <w:rPr>
          <w:rFonts w:ascii="Times New Roman" w:eastAsia="方正仿宋_GBK" w:hAnsi="Times New Roman" w:cs="Times New Roman" w:hint="eastAsia"/>
          <w:sz w:val="32"/>
          <w:szCs w:val="32"/>
        </w:rPr>
        <w:t>。</w:t>
      </w:r>
    </w:p>
    <w:p w:rsidR="007A10C5" w:rsidRPr="00AA16EE" w:rsidRDefault="00AA16EE" w:rsidP="00AA16EE">
      <w:pPr>
        <w:spacing w:line="600" w:lineRule="exact"/>
        <w:ind w:firstLineChars="200" w:firstLine="640"/>
        <w:rPr>
          <w:rFonts w:ascii="方正黑体_GBK" w:eastAsia="方正黑体_GBK" w:hAnsi="Times New Roman" w:cs="Times New Roman"/>
          <w:sz w:val="32"/>
          <w:szCs w:val="32"/>
        </w:rPr>
      </w:pPr>
      <w:r w:rsidRPr="00AA16EE">
        <w:rPr>
          <w:rFonts w:ascii="方正黑体_GBK" w:eastAsia="方正黑体_GBK" w:hAnsi="Times New Roman" w:cs="Times New Roman" w:hint="eastAsia"/>
          <w:sz w:val="32"/>
          <w:szCs w:val="32"/>
        </w:rPr>
        <w:t>三</w:t>
      </w:r>
      <w:r w:rsidR="007A10C5" w:rsidRPr="00AA16EE">
        <w:rPr>
          <w:rFonts w:ascii="方正黑体_GBK" w:eastAsia="方正黑体_GBK" w:hAnsi="Times New Roman" w:cs="Times New Roman" w:hint="eastAsia"/>
          <w:sz w:val="32"/>
          <w:szCs w:val="32"/>
        </w:rPr>
        <w:t>、修订主要内容</w:t>
      </w:r>
    </w:p>
    <w:p w:rsidR="007A10C5" w:rsidRPr="00D80C56" w:rsidRDefault="007A10C5" w:rsidP="00D80C56">
      <w:pPr>
        <w:spacing w:line="600" w:lineRule="exact"/>
        <w:ind w:firstLineChars="200" w:firstLine="640"/>
        <w:rPr>
          <w:rFonts w:ascii="Times New Roman" w:eastAsia="方正仿宋_GBK" w:hAnsi="Times New Roman" w:cs="Times New Roman"/>
          <w:sz w:val="32"/>
          <w:szCs w:val="32"/>
        </w:rPr>
      </w:pPr>
      <w:r w:rsidRPr="00AA16EE">
        <w:rPr>
          <w:rFonts w:ascii="方正楷体_GBK" w:eastAsia="方正楷体_GBK" w:hAnsi="Times New Roman" w:cs="Times New Roman" w:hint="eastAsia"/>
          <w:sz w:val="32"/>
          <w:szCs w:val="32"/>
        </w:rPr>
        <w:t>一是体现与上位法和国家政策相一致。</w:t>
      </w:r>
      <w:r w:rsidRPr="00D80C56">
        <w:rPr>
          <w:rFonts w:ascii="Times New Roman" w:eastAsia="方正仿宋_GBK" w:hAnsi="Times New Roman" w:cs="Times New Roman"/>
          <w:sz w:val="32"/>
          <w:szCs w:val="32"/>
        </w:rPr>
        <w:t>修订稿对标</w:t>
      </w:r>
      <w:r w:rsidR="00C90C4B">
        <w:rPr>
          <w:rFonts w:ascii="Times New Roman" w:eastAsia="方正仿宋_GBK" w:hAnsi="Times New Roman" w:cs="Times New Roman" w:hint="eastAsia"/>
          <w:sz w:val="32"/>
          <w:szCs w:val="32"/>
        </w:rPr>
        <w:t>相关法律法规和政策文件</w:t>
      </w:r>
      <w:r w:rsidRPr="00D80C56">
        <w:rPr>
          <w:rFonts w:ascii="Times New Roman" w:eastAsia="方正仿宋_GBK" w:hAnsi="Times New Roman" w:cs="Times New Roman"/>
          <w:sz w:val="32"/>
          <w:szCs w:val="32"/>
        </w:rPr>
        <w:t>，对相关内容进行了完善。</w:t>
      </w:r>
      <w:r w:rsidR="00E12BFE" w:rsidRPr="00D80C56">
        <w:rPr>
          <w:rFonts w:ascii="Times New Roman" w:eastAsia="方正仿宋_GBK" w:hAnsi="Times New Roman" w:cs="Times New Roman"/>
          <w:sz w:val="32"/>
          <w:szCs w:val="32"/>
        </w:rPr>
        <w:t>如：</w:t>
      </w:r>
      <w:r w:rsidR="00C90C4B">
        <w:rPr>
          <w:rFonts w:ascii="Times New Roman" w:eastAsia="方正仿宋_GBK" w:hAnsi="Times New Roman" w:cs="Times New Roman" w:hint="eastAsia"/>
          <w:sz w:val="32"/>
          <w:szCs w:val="32"/>
        </w:rPr>
        <w:t>“</w:t>
      </w:r>
      <w:r w:rsidR="00C90C4B" w:rsidRPr="00D80C56">
        <w:rPr>
          <w:rFonts w:ascii="Times New Roman" w:eastAsia="方正仿宋_GBK" w:hAnsi="Times New Roman" w:cs="Times New Roman"/>
          <w:sz w:val="32"/>
          <w:szCs w:val="32"/>
        </w:rPr>
        <w:t>本办法所称养老机构，是指依法办理登记，为老年人提供全日集中</w:t>
      </w:r>
      <w:r w:rsidR="00C90C4B" w:rsidRPr="00D80C56">
        <w:rPr>
          <w:rFonts w:ascii="Times New Roman" w:eastAsia="方正仿宋_GBK" w:hAnsi="Times New Roman" w:cs="Times New Roman"/>
          <w:sz w:val="32"/>
          <w:szCs w:val="32"/>
        </w:rPr>
        <w:lastRenderedPageBreak/>
        <w:t>住宿和照料护理服务，床位数在</w:t>
      </w:r>
      <w:r w:rsidR="00C90C4B" w:rsidRPr="00D80C56">
        <w:rPr>
          <w:rFonts w:ascii="Times New Roman" w:eastAsia="方正仿宋_GBK" w:hAnsi="Times New Roman" w:cs="Times New Roman"/>
          <w:sz w:val="32"/>
          <w:szCs w:val="32"/>
        </w:rPr>
        <w:t>10</w:t>
      </w:r>
      <w:r w:rsidR="00C90C4B" w:rsidRPr="00D80C56">
        <w:rPr>
          <w:rFonts w:ascii="Times New Roman" w:eastAsia="方正仿宋_GBK" w:hAnsi="Times New Roman" w:cs="Times New Roman"/>
          <w:sz w:val="32"/>
          <w:szCs w:val="32"/>
        </w:rPr>
        <w:t>张以上的机构。养老机构包括营利性养老机构和非营利性养老机构</w:t>
      </w:r>
      <w:r w:rsidR="00C90C4B">
        <w:rPr>
          <w:rFonts w:ascii="Times New Roman" w:eastAsia="方正仿宋_GBK" w:hAnsi="Times New Roman" w:cs="Times New Roman" w:hint="eastAsia"/>
          <w:sz w:val="32"/>
          <w:szCs w:val="32"/>
        </w:rPr>
        <w:t>”</w:t>
      </w:r>
      <w:r w:rsidRPr="00D80C56">
        <w:rPr>
          <w:rFonts w:ascii="Times New Roman" w:eastAsia="方正仿宋_GBK" w:hAnsi="Times New Roman" w:cs="Times New Roman"/>
          <w:sz w:val="32"/>
          <w:szCs w:val="32"/>
        </w:rPr>
        <w:t>（第二条）。</w:t>
      </w:r>
      <w:r w:rsidR="00C90C4B">
        <w:rPr>
          <w:rFonts w:ascii="Times New Roman" w:eastAsia="方正仿宋_GBK" w:hAnsi="Times New Roman" w:cs="Times New Roman" w:hint="eastAsia"/>
          <w:sz w:val="32"/>
          <w:szCs w:val="32"/>
        </w:rPr>
        <w:t>“</w:t>
      </w:r>
      <w:r w:rsidR="00C90C4B" w:rsidRPr="00D80C56">
        <w:rPr>
          <w:rFonts w:ascii="Times New Roman" w:eastAsia="方正仿宋_GBK" w:hAnsi="Times New Roman" w:cs="Times New Roman"/>
          <w:sz w:val="32"/>
          <w:szCs w:val="32"/>
        </w:rPr>
        <w:t>养老机构等级分为五个等级，从低到高依次为一级、二级、三级、四级、五级。颁发牌匾上分别用一星、二星、三星、四星、五星表示等级标志。养老机构评定的等级有效期为</w:t>
      </w:r>
      <w:r w:rsidR="00C90C4B" w:rsidRPr="00D80C56">
        <w:rPr>
          <w:rFonts w:ascii="Times New Roman" w:eastAsia="方正仿宋_GBK" w:hAnsi="Times New Roman" w:cs="Times New Roman"/>
          <w:sz w:val="32"/>
          <w:szCs w:val="32"/>
        </w:rPr>
        <w:t>3</w:t>
      </w:r>
      <w:r w:rsidR="00C90C4B" w:rsidRPr="00D80C56">
        <w:rPr>
          <w:rFonts w:ascii="Times New Roman" w:eastAsia="方正仿宋_GBK" w:hAnsi="Times New Roman" w:cs="Times New Roman"/>
          <w:sz w:val="32"/>
          <w:szCs w:val="32"/>
        </w:rPr>
        <w:t>年（自颁发等级证书之日起计算）</w:t>
      </w:r>
      <w:r w:rsidR="00C90C4B">
        <w:rPr>
          <w:rFonts w:ascii="Times New Roman" w:eastAsia="方正仿宋_GBK" w:hAnsi="Times New Roman" w:cs="Times New Roman" w:hint="eastAsia"/>
          <w:sz w:val="32"/>
          <w:szCs w:val="32"/>
        </w:rPr>
        <w:t>”</w:t>
      </w:r>
      <w:r w:rsidRPr="00D80C56">
        <w:rPr>
          <w:rFonts w:ascii="Times New Roman" w:eastAsia="方正仿宋_GBK" w:hAnsi="Times New Roman" w:cs="Times New Roman"/>
          <w:sz w:val="32"/>
          <w:szCs w:val="32"/>
        </w:rPr>
        <w:t>（第五条）。</w:t>
      </w:r>
      <w:r w:rsidR="00C90C4B">
        <w:rPr>
          <w:rFonts w:ascii="Times New Roman" w:eastAsia="方正仿宋_GBK" w:hAnsi="Times New Roman" w:cs="Times New Roman" w:hint="eastAsia"/>
          <w:sz w:val="32"/>
          <w:szCs w:val="32"/>
        </w:rPr>
        <w:t>“</w:t>
      </w:r>
      <w:r w:rsidR="00C90C4B" w:rsidRPr="00D80C56">
        <w:rPr>
          <w:rFonts w:ascii="Times New Roman" w:eastAsia="方正仿宋_GBK" w:hAnsi="Times New Roman" w:cs="Times New Roman"/>
          <w:sz w:val="32"/>
          <w:szCs w:val="32"/>
        </w:rPr>
        <w:t>养老机构等级评定坚持自愿申请、分级评定、全面客观、质量为重、公平公正、动态管理的原则</w:t>
      </w:r>
      <w:r w:rsidR="00C90C4B">
        <w:rPr>
          <w:rFonts w:ascii="Times New Roman" w:eastAsia="方正仿宋_GBK" w:hAnsi="Times New Roman" w:cs="Times New Roman" w:hint="eastAsia"/>
          <w:sz w:val="32"/>
          <w:szCs w:val="32"/>
        </w:rPr>
        <w:t>”</w:t>
      </w:r>
      <w:r w:rsidRPr="00D80C56">
        <w:rPr>
          <w:rFonts w:ascii="Times New Roman" w:eastAsia="方正仿宋_GBK" w:hAnsi="Times New Roman" w:cs="Times New Roman"/>
          <w:sz w:val="32"/>
          <w:szCs w:val="32"/>
        </w:rPr>
        <w:t>（第六条）。</w:t>
      </w:r>
      <w:r w:rsidR="00C90C4B">
        <w:rPr>
          <w:rFonts w:ascii="Times New Roman" w:eastAsia="方正仿宋_GBK" w:hAnsi="Times New Roman" w:cs="Times New Roman" w:hint="eastAsia"/>
          <w:sz w:val="32"/>
          <w:szCs w:val="32"/>
        </w:rPr>
        <w:t>“</w:t>
      </w:r>
      <w:r w:rsidR="00C90C4B" w:rsidRPr="00D80C56">
        <w:rPr>
          <w:rFonts w:ascii="Times New Roman" w:eastAsia="方正仿宋_GBK" w:hAnsi="Times New Roman" w:cs="Times New Roman"/>
          <w:sz w:val="32"/>
          <w:szCs w:val="32"/>
        </w:rPr>
        <w:t>在等级有效期内，评定委员会根据层级权限每年应对本级评定的养老机构按照不低于</w:t>
      </w:r>
      <w:r w:rsidR="00C90C4B" w:rsidRPr="00D80C56">
        <w:rPr>
          <w:rFonts w:ascii="Times New Roman" w:eastAsia="方正仿宋_GBK" w:hAnsi="Times New Roman" w:cs="Times New Roman"/>
          <w:sz w:val="32"/>
          <w:szCs w:val="32"/>
        </w:rPr>
        <w:t>20%</w:t>
      </w:r>
      <w:r w:rsidR="00C90C4B" w:rsidRPr="00D80C56">
        <w:rPr>
          <w:rFonts w:ascii="Times New Roman" w:eastAsia="方正仿宋_GBK" w:hAnsi="Times New Roman" w:cs="Times New Roman"/>
          <w:sz w:val="32"/>
          <w:szCs w:val="32"/>
        </w:rPr>
        <w:t>的比例进行抽查复评。省评定委员会每年抽查复评四级、三级养老机构的比例分别不低于获评相应等级养老机构数的</w:t>
      </w:r>
      <w:r w:rsidR="00C90C4B" w:rsidRPr="00D80C56">
        <w:rPr>
          <w:rFonts w:ascii="Times New Roman" w:eastAsia="方正仿宋_GBK" w:hAnsi="Times New Roman" w:cs="Times New Roman"/>
          <w:sz w:val="32"/>
          <w:szCs w:val="32"/>
        </w:rPr>
        <w:t>5%</w:t>
      </w:r>
      <w:r w:rsidR="00C90C4B" w:rsidRPr="00D80C56">
        <w:rPr>
          <w:rFonts w:ascii="Times New Roman" w:eastAsia="方正仿宋_GBK" w:hAnsi="Times New Roman" w:cs="Times New Roman"/>
          <w:sz w:val="32"/>
          <w:szCs w:val="32"/>
        </w:rPr>
        <w:t>、</w:t>
      </w:r>
      <w:r w:rsidR="00C90C4B" w:rsidRPr="00D80C56">
        <w:rPr>
          <w:rFonts w:ascii="Times New Roman" w:eastAsia="方正仿宋_GBK" w:hAnsi="Times New Roman" w:cs="Times New Roman"/>
          <w:sz w:val="32"/>
          <w:szCs w:val="32"/>
        </w:rPr>
        <w:t>3%</w:t>
      </w:r>
      <w:r w:rsidR="00C90C4B" w:rsidRPr="00D80C56">
        <w:rPr>
          <w:rFonts w:ascii="Times New Roman" w:eastAsia="方正仿宋_GBK" w:hAnsi="Times New Roman" w:cs="Times New Roman"/>
          <w:sz w:val="32"/>
          <w:szCs w:val="32"/>
        </w:rPr>
        <w:t>。设区市评定委员会每年抽查复评下级评定的养老机构比例不低于获评相应等级养老机构数的</w:t>
      </w:r>
      <w:r w:rsidR="00C90C4B" w:rsidRPr="00D80C56">
        <w:rPr>
          <w:rFonts w:ascii="Times New Roman" w:eastAsia="方正仿宋_GBK" w:hAnsi="Times New Roman" w:cs="Times New Roman"/>
          <w:sz w:val="32"/>
          <w:szCs w:val="32"/>
        </w:rPr>
        <w:t>10%</w:t>
      </w:r>
      <w:r w:rsidR="00C90C4B" w:rsidRPr="00D80C56">
        <w:rPr>
          <w:rFonts w:ascii="Times New Roman" w:eastAsia="方正仿宋_GBK" w:hAnsi="Times New Roman" w:cs="Times New Roman"/>
          <w:sz w:val="32"/>
          <w:szCs w:val="32"/>
        </w:rPr>
        <w:t>。复评后不符合原评定等级标准的，由评定委员会根据情节轻重作出降低或者取消原评定等级的决议</w:t>
      </w:r>
      <w:r w:rsidR="00C90C4B">
        <w:rPr>
          <w:rFonts w:ascii="Times New Roman" w:eastAsia="方正仿宋_GBK" w:hAnsi="Times New Roman" w:cs="Times New Roman" w:hint="eastAsia"/>
          <w:sz w:val="32"/>
          <w:szCs w:val="32"/>
        </w:rPr>
        <w:t>”</w:t>
      </w:r>
      <w:r w:rsidRPr="00D80C56">
        <w:rPr>
          <w:rFonts w:ascii="Times New Roman" w:eastAsia="方正仿宋_GBK" w:hAnsi="Times New Roman" w:cs="Times New Roman"/>
          <w:sz w:val="32"/>
          <w:szCs w:val="32"/>
        </w:rPr>
        <w:t>（第三十三条）。</w:t>
      </w:r>
      <w:r w:rsidR="00C90C4B">
        <w:rPr>
          <w:rFonts w:ascii="Times New Roman" w:eastAsia="方正仿宋_GBK" w:hAnsi="Times New Roman" w:cs="Times New Roman" w:hint="eastAsia"/>
          <w:sz w:val="32"/>
          <w:szCs w:val="32"/>
        </w:rPr>
        <w:t>“</w:t>
      </w:r>
      <w:r w:rsidR="00C90C4B" w:rsidRPr="00D80C56">
        <w:rPr>
          <w:rFonts w:ascii="Times New Roman" w:eastAsia="方正仿宋_GBK" w:hAnsi="Times New Roman" w:cs="Times New Roman"/>
          <w:sz w:val="32"/>
          <w:szCs w:val="32"/>
        </w:rPr>
        <w:t>等级评定所需经费由各级民政部门在工作预算经费中列支，不得向被评定机构收取费用</w:t>
      </w:r>
      <w:r w:rsidR="00C90C4B">
        <w:rPr>
          <w:rFonts w:ascii="Times New Roman" w:eastAsia="方正仿宋_GBK" w:hAnsi="Times New Roman" w:cs="Times New Roman" w:hint="eastAsia"/>
          <w:sz w:val="32"/>
          <w:szCs w:val="32"/>
        </w:rPr>
        <w:t>”</w:t>
      </w:r>
      <w:r w:rsidRPr="00D80C56">
        <w:rPr>
          <w:rFonts w:ascii="Times New Roman" w:eastAsia="方正仿宋_GBK" w:hAnsi="Times New Roman" w:cs="Times New Roman"/>
          <w:sz w:val="32"/>
          <w:szCs w:val="32"/>
        </w:rPr>
        <w:t>（第四十三条）。</w:t>
      </w:r>
    </w:p>
    <w:p w:rsidR="007A10C5" w:rsidRPr="00D80C56" w:rsidRDefault="00D80C56" w:rsidP="00D80C56">
      <w:pPr>
        <w:spacing w:line="600" w:lineRule="exact"/>
        <w:ind w:firstLineChars="200" w:firstLine="640"/>
        <w:rPr>
          <w:rFonts w:ascii="Times New Roman" w:eastAsia="方正仿宋_GBK" w:hAnsi="Times New Roman" w:cs="Times New Roman"/>
          <w:sz w:val="32"/>
          <w:szCs w:val="32"/>
        </w:rPr>
      </w:pPr>
      <w:r w:rsidRPr="00AA16EE">
        <w:rPr>
          <w:rFonts w:ascii="方正楷体_GBK" w:eastAsia="方正楷体_GBK" w:hAnsi="Times New Roman" w:cs="Times New Roman" w:hint="eastAsia"/>
          <w:sz w:val="32"/>
          <w:szCs w:val="32"/>
        </w:rPr>
        <w:t>二是对相关措辞</w:t>
      </w:r>
      <w:r w:rsidR="00C90C4B">
        <w:rPr>
          <w:rFonts w:ascii="方正楷体_GBK" w:eastAsia="方正楷体_GBK" w:hAnsi="Times New Roman" w:cs="Times New Roman" w:hint="eastAsia"/>
          <w:sz w:val="32"/>
          <w:szCs w:val="32"/>
        </w:rPr>
        <w:t>表述</w:t>
      </w:r>
      <w:r w:rsidRPr="00AA16EE">
        <w:rPr>
          <w:rFonts w:ascii="方正楷体_GBK" w:eastAsia="方正楷体_GBK" w:hAnsi="Times New Roman" w:cs="Times New Roman" w:hint="eastAsia"/>
          <w:sz w:val="32"/>
          <w:szCs w:val="32"/>
        </w:rPr>
        <w:t>进行了修订规范</w:t>
      </w:r>
      <w:r w:rsidR="00E12BFE" w:rsidRPr="00AA16EE">
        <w:rPr>
          <w:rFonts w:ascii="方正楷体_GBK" w:eastAsia="方正楷体_GBK" w:hAnsi="Times New Roman" w:cs="Times New Roman" w:hint="eastAsia"/>
          <w:sz w:val="32"/>
          <w:szCs w:val="32"/>
        </w:rPr>
        <w:t>。</w:t>
      </w:r>
      <w:r w:rsidR="00E12BFE" w:rsidRPr="00D80C56">
        <w:rPr>
          <w:rFonts w:ascii="Times New Roman" w:eastAsia="方正仿宋_GBK" w:hAnsi="Times New Roman" w:cs="Times New Roman"/>
          <w:sz w:val="32"/>
          <w:szCs w:val="32"/>
        </w:rPr>
        <w:t>修订稿紧扣等级评定</w:t>
      </w:r>
      <w:r w:rsidR="00C90C4B">
        <w:rPr>
          <w:rFonts w:ascii="Times New Roman" w:eastAsia="方正仿宋_GBK" w:hAnsi="Times New Roman" w:cs="Times New Roman" w:hint="eastAsia"/>
          <w:sz w:val="32"/>
          <w:szCs w:val="32"/>
        </w:rPr>
        <w:t>工作实际</w:t>
      </w:r>
      <w:r w:rsidR="00E12BFE" w:rsidRPr="00D80C56">
        <w:rPr>
          <w:rFonts w:ascii="Times New Roman" w:eastAsia="方正仿宋_GBK" w:hAnsi="Times New Roman" w:cs="Times New Roman"/>
          <w:sz w:val="32"/>
          <w:szCs w:val="32"/>
        </w:rPr>
        <w:t>，对有关措施</w:t>
      </w:r>
      <w:r w:rsidR="00C90C4B">
        <w:rPr>
          <w:rFonts w:ascii="Times New Roman" w:eastAsia="方正仿宋_GBK" w:hAnsi="Times New Roman" w:cs="Times New Roman" w:hint="eastAsia"/>
          <w:sz w:val="32"/>
          <w:szCs w:val="32"/>
        </w:rPr>
        <w:t>表述</w:t>
      </w:r>
      <w:r w:rsidR="00C90C4B">
        <w:rPr>
          <w:rFonts w:ascii="Times New Roman" w:eastAsia="方正仿宋_GBK" w:hAnsi="Times New Roman" w:cs="Times New Roman"/>
          <w:sz w:val="32"/>
          <w:szCs w:val="32"/>
        </w:rPr>
        <w:t>进行了调整</w:t>
      </w:r>
      <w:r w:rsidR="00E12BFE" w:rsidRPr="00D80C56">
        <w:rPr>
          <w:rFonts w:ascii="Times New Roman" w:eastAsia="方正仿宋_GBK" w:hAnsi="Times New Roman" w:cs="Times New Roman"/>
          <w:sz w:val="32"/>
          <w:szCs w:val="32"/>
        </w:rPr>
        <w:t>。如：</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本办法所称养老机构等级评定，是指按照本办法要求，通过自愿申报、组织评定、确定等级并向社会公示、颁发等级证书和牌匾的过程</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（第四条）。</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养老机构评定的等级有效期满前</w:t>
      </w:r>
      <w:r w:rsidR="00AE23D6" w:rsidRPr="00D80C56">
        <w:rPr>
          <w:rFonts w:ascii="Times New Roman" w:eastAsia="方正仿宋_GBK" w:hAnsi="Times New Roman" w:cs="Times New Roman"/>
          <w:sz w:val="32"/>
          <w:szCs w:val="32"/>
        </w:rPr>
        <w:t>3</w:t>
      </w:r>
      <w:r w:rsidR="00AE23D6" w:rsidRPr="00D80C56">
        <w:rPr>
          <w:rFonts w:ascii="Times New Roman" w:eastAsia="方正仿宋_GBK" w:hAnsi="Times New Roman" w:cs="Times New Roman"/>
          <w:sz w:val="32"/>
          <w:szCs w:val="32"/>
        </w:rPr>
        <w:t>个月，养老机构可以申请重新评定，评定程序按照本办法规定程序</w:t>
      </w:r>
      <w:r w:rsidR="00AE23D6" w:rsidRPr="00D80C56">
        <w:rPr>
          <w:rFonts w:ascii="Times New Roman" w:eastAsia="方正仿宋_GBK" w:hAnsi="Times New Roman" w:cs="Times New Roman"/>
          <w:sz w:val="32"/>
          <w:szCs w:val="32"/>
        </w:rPr>
        <w:lastRenderedPageBreak/>
        <w:t>实施</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（第十条）。</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省评定委员会委员由评定委员会聘任，任期</w:t>
      </w:r>
      <w:r w:rsidR="00AE23D6" w:rsidRPr="00D80C56">
        <w:rPr>
          <w:rFonts w:ascii="Times New Roman" w:eastAsia="方正仿宋_GBK" w:hAnsi="Times New Roman" w:cs="Times New Roman"/>
          <w:sz w:val="32"/>
          <w:szCs w:val="32"/>
        </w:rPr>
        <w:t>3</w:t>
      </w:r>
      <w:r w:rsidR="00AE23D6" w:rsidRPr="00D80C56">
        <w:rPr>
          <w:rFonts w:ascii="Times New Roman" w:eastAsia="方正仿宋_GBK" w:hAnsi="Times New Roman" w:cs="Times New Roman"/>
          <w:sz w:val="32"/>
          <w:szCs w:val="32"/>
        </w:rPr>
        <w:t>年。省评定委员会下设办公室在省民政厅养老服务处，负责评定委员会的日常工作</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（第十三条）。</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各市、县（市、区）民政部门应根据本办法规定设立本级养老机构等级评定委员会，制定本地区养老机构等级评定管理制度并组织实施。四级、三级养老机构评定由设区市民政部门负责，二级、一级养老机构评定权限由设区市民政部门自主确定（第十七条）。评定委员会应建立评定专家库，由评定委员会对专家进行资格审核</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（第十八条）。</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民政部门根据评定等级权限负责本层级养老机构等级评定申请的受理。申请五级评定的养老机构，应向设区市民政部门提出申请，报送自评和相关评定材料，由设区市民政部门予以初评，初评符合条件的，方可汇总上报至省民政厅</w:t>
      </w:r>
      <w:r w:rsidR="00AE23D6">
        <w:rPr>
          <w:rFonts w:ascii="Times New Roman" w:eastAsia="方正仿宋_GBK" w:hAnsi="Times New Roman" w:cs="Times New Roman" w:hint="eastAsia"/>
          <w:sz w:val="32"/>
          <w:szCs w:val="32"/>
        </w:rPr>
        <w:t>”</w:t>
      </w:r>
      <w:r w:rsidRPr="00D80C56">
        <w:rPr>
          <w:rFonts w:ascii="Times New Roman" w:eastAsia="方正仿宋_GBK" w:hAnsi="Times New Roman" w:cs="Times New Roman"/>
          <w:sz w:val="32"/>
          <w:szCs w:val="32"/>
        </w:rPr>
        <w:t>（第二十二条（三））。</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申请材料齐全且符合要求，或者在规定期限内补正符合要求的，应当在</w:t>
      </w:r>
      <w:r w:rsidR="00AE23D6" w:rsidRPr="00D80C56">
        <w:rPr>
          <w:rFonts w:ascii="Times New Roman" w:eastAsia="方正仿宋_GBK" w:hAnsi="Times New Roman" w:cs="Times New Roman"/>
          <w:sz w:val="32"/>
          <w:szCs w:val="32"/>
        </w:rPr>
        <w:t>10</w:t>
      </w:r>
      <w:r w:rsidR="00AE23D6" w:rsidRPr="00D80C56">
        <w:rPr>
          <w:rFonts w:ascii="Times New Roman" w:eastAsia="方正仿宋_GBK" w:hAnsi="Times New Roman" w:cs="Times New Roman"/>
          <w:sz w:val="32"/>
          <w:szCs w:val="32"/>
        </w:rPr>
        <w:t>个工作日内予以受理，并给予书面或电子回执（第二十五条（一））。养老机构逾期不补正或者补正不完全的，视为放弃申请，自动终止评定程序</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第三十条</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。申请评定的养老机构对评定结果有异议的，可以在公示期内向实施等级评定的上一级评定委员会提出书面复核申请</w:t>
      </w:r>
      <w:r w:rsidR="00AE23D6">
        <w:rPr>
          <w:rFonts w:ascii="Times New Roman" w:eastAsia="方正仿宋_GBK" w:hAnsi="Times New Roman" w:cs="Times New Roman" w:hint="eastAsia"/>
          <w:sz w:val="32"/>
          <w:szCs w:val="32"/>
        </w:rPr>
        <w:t>”</w:t>
      </w:r>
      <w:r w:rsidRPr="00D80C56">
        <w:rPr>
          <w:rFonts w:ascii="Times New Roman" w:eastAsia="方正仿宋_GBK" w:hAnsi="Times New Roman" w:cs="Times New Roman"/>
          <w:sz w:val="32"/>
          <w:szCs w:val="32"/>
        </w:rPr>
        <w:t>（第二十五条（二））</w:t>
      </w:r>
      <w:r w:rsidR="00E12BFE" w:rsidRPr="00D80C56">
        <w:rPr>
          <w:rFonts w:ascii="Times New Roman" w:eastAsia="方正仿宋_GBK" w:hAnsi="Times New Roman" w:cs="Times New Roman"/>
          <w:sz w:val="32"/>
          <w:szCs w:val="32"/>
        </w:rPr>
        <w:t>。</w:t>
      </w:r>
      <w:r w:rsidR="00AE23D6">
        <w:rPr>
          <w:rFonts w:ascii="Times New Roman" w:eastAsia="方正仿宋_GBK" w:hAnsi="Times New Roman" w:cs="Times New Roman" w:hint="eastAsia"/>
          <w:sz w:val="32"/>
          <w:szCs w:val="32"/>
        </w:rPr>
        <w:t>“</w:t>
      </w:r>
      <w:r w:rsidR="00AE23D6" w:rsidRPr="000B06A2">
        <w:rPr>
          <w:rFonts w:ascii="Times New Roman" w:eastAsia="方正仿宋_GBK" w:hAnsi="Times New Roman" w:cs="Times New Roman" w:hint="eastAsia"/>
          <w:sz w:val="32"/>
          <w:szCs w:val="32"/>
        </w:rPr>
        <w:t>被降低评定等级的养老机构在</w:t>
      </w:r>
      <w:r w:rsidR="00AE23D6" w:rsidRPr="000B06A2">
        <w:rPr>
          <w:rFonts w:ascii="Times New Roman" w:eastAsia="方正仿宋_GBK" w:hAnsi="Times New Roman" w:cs="Times New Roman"/>
          <w:sz w:val="32"/>
          <w:szCs w:val="32"/>
        </w:rPr>
        <w:t>1</w:t>
      </w:r>
      <w:r w:rsidR="00AE23D6" w:rsidRPr="000B06A2">
        <w:rPr>
          <w:rFonts w:ascii="Times New Roman" w:eastAsia="方正仿宋_GBK" w:hAnsi="Times New Roman" w:cs="Times New Roman"/>
          <w:sz w:val="32"/>
          <w:szCs w:val="32"/>
        </w:rPr>
        <w:t>年内不得提出等级晋升的评定申请，被取消评定等级的养老机构在</w:t>
      </w:r>
      <w:r w:rsidR="00AE23D6" w:rsidRPr="000B06A2">
        <w:rPr>
          <w:rFonts w:ascii="Times New Roman" w:eastAsia="方正仿宋_GBK" w:hAnsi="Times New Roman" w:cs="Times New Roman"/>
          <w:sz w:val="32"/>
          <w:szCs w:val="32"/>
        </w:rPr>
        <w:t>2</w:t>
      </w:r>
      <w:r w:rsidR="00AE23D6" w:rsidRPr="000B06A2">
        <w:rPr>
          <w:rFonts w:ascii="Times New Roman" w:eastAsia="方正仿宋_GBK" w:hAnsi="Times New Roman" w:cs="Times New Roman"/>
          <w:sz w:val="32"/>
          <w:szCs w:val="32"/>
        </w:rPr>
        <w:t>年内不得提出等级评定申请。</w:t>
      </w:r>
      <w:r w:rsidR="00AE23D6">
        <w:rPr>
          <w:rFonts w:ascii="Times New Roman" w:eastAsia="方正仿宋_GBK" w:hAnsi="Times New Roman" w:cs="Times New Roman" w:hint="eastAsia"/>
          <w:sz w:val="32"/>
          <w:szCs w:val="32"/>
        </w:rPr>
        <w:t>”</w:t>
      </w:r>
      <w:r w:rsidRPr="00D80C56">
        <w:rPr>
          <w:rFonts w:ascii="Times New Roman" w:eastAsia="方正仿宋_GBK" w:hAnsi="Times New Roman" w:cs="Times New Roman"/>
          <w:sz w:val="32"/>
          <w:szCs w:val="32"/>
        </w:rPr>
        <w:t>（第三十五条）</w:t>
      </w:r>
      <w:r w:rsidR="00E12BFE" w:rsidRPr="00D80C56">
        <w:rPr>
          <w:rFonts w:ascii="Times New Roman" w:eastAsia="方正仿宋_GBK" w:hAnsi="Times New Roman" w:cs="Times New Roman"/>
          <w:sz w:val="32"/>
          <w:szCs w:val="32"/>
        </w:rPr>
        <w:t>。</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评定委员会委员、评定专家有下列情形之一的，应当提出回避申请：（一）与申请评定的养老</w:t>
      </w:r>
      <w:r w:rsidR="00AE23D6" w:rsidRPr="00D80C56">
        <w:rPr>
          <w:rFonts w:ascii="Times New Roman" w:eastAsia="方正仿宋_GBK" w:hAnsi="Times New Roman" w:cs="Times New Roman"/>
          <w:sz w:val="32"/>
          <w:szCs w:val="32"/>
        </w:rPr>
        <w:lastRenderedPageBreak/>
        <w:t>机构有利害关系的；（二）在申请评定的养老机构任职，或离职（退休）不满</w:t>
      </w:r>
      <w:r w:rsidR="00AE23D6" w:rsidRPr="00D80C56">
        <w:rPr>
          <w:rFonts w:ascii="Times New Roman" w:eastAsia="方正仿宋_GBK" w:hAnsi="Times New Roman" w:cs="Times New Roman"/>
          <w:sz w:val="32"/>
          <w:szCs w:val="32"/>
        </w:rPr>
        <w:t>3</w:t>
      </w:r>
      <w:r w:rsidR="00AE23D6" w:rsidRPr="00D80C56">
        <w:rPr>
          <w:rFonts w:ascii="Times New Roman" w:eastAsia="方正仿宋_GBK" w:hAnsi="Times New Roman" w:cs="Times New Roman"/>
          <w:sz w:val="32"/>
          <w:szCs w:val="32"/>
        </w:rPr>
        <w:t>年的；（三）复核或复评的专家曾参加被复核或复评养老机构等级评定的；（四）存在其他可能影响评定结果公正情形的。评定委员会受理回避申请，并应当在</w:t>
      </w:r>
      <w:r w:rsidR="00AE23D6" w:rsidRPr="00D80C56">
        <w:rPr>
          <w:rFonts w:ascii="Times New Roman" w:eastAsia="方正仿宋_GBK" w:hAnsi="Times New Roman" w:cs="Times New Roman"/>
          <w:sz w:val="32"/>
          <w:szCs w:val="32"/>
        </w:rPr>
        <w:t>5</w:t>
      </w:r>
      <w:r w:rsidR="00AE23D6" w:rsidRPr="00D80C56">
        <w:rPr>
          <w:rFonts w:ascii="Times New Roman" w:eastAsia="方正仿宋_GBK" w:hAnsi="Times New Roman" w:cs="Times New Roman"/>
          <w:sz w:val="32"/>
          <w:szCs w:val="32"/>
        </w:rPr>
        <w:t>日内作出是否回避的决定</w:t>
      </w:r>
      <w:r w:rsidR="00AE23D6">
        <w:rPr>
          <w:rFonts w:ascii="Times New Roman" w:eastAsia="方正仿宋_GBK" w:hAnsi="Times New Roman" w:cs="Times New Roman" w:hint="eastAsia"/>
          <w:sz w:val="32"/>
          <w:szCs w:val="32"/>
        </w:rPr>
        <w:t>”</w:t>
      </w:r>
      <w:r w:rsidRPr="00D80C56">
        <w:rPr>
          <w:rFonts w:ascii="Times New Roman" w:eastAsia="方正仿宋_GBK" w:hAnsi="Times New Roman" w:cs="Times New Roman"/>
          <w:sz w:val="32"/>
          <w:szCs w:val="32"/>
        </w:rPr>
        <w:t>（第三十六条）</w:t>
      </w:r>
      <w:r w:rsidR="00E12BFE" w:rsidRPr="00D80C56">
        <w:rPr>
          <w:rFonts w:ascii="Times New Roman" w:eastAsia="方正仿宋_GBK" w:hAnsi="Times New Roman" w:cs="Times New Roman"/>
          <w:sz w:val="32"/>
          <w:szCs w:val="32"/>
        </w:rPr>
        <w:t>。</w:t>
      </w:r>
    </w:p>
    <w:p w:rsidR="00E12BFE" w:rsidRPr="00D80C56" w:rsidRDefault="00D80C56" w:rsidP="00D80C56">
      <w:pPr>
        <w:spacing w:line="600" w:lineRule="exact"/>
        <w:ind w:firstLineChars="200" w:firstLine="640"/>
        <w:rPr>
          <w:rFonts w:ascii="Times New Roman" w:eastAsia="方正仿宋_GBK" w:hAnsi="Times New Roman" w:cs="Times New Roman"/>
          <w:sz w:val="32"/>
          <w:szCs w:val="32"/>
        </w:rPr>
      </w:pPr>
      <w:r w:rsidRPr="00AA16EE">
        <w:rPr>
          <w:rFonts w:ascii="方正楷体_GBK" w:eastAsia="方正楷体_GBK" w:hAnsi="Times New Roman" w:cs="Times New Roman" w:hint="eastAsia"/>
          <w:sz w:val="32"/>
          <w:szCs w:val="32"/>
        </w:rPr>
        <w:t>三是增加完善等级评定</w:t>
      </w:r>
      <w:r w:rsidR="000B06A2">
        <w:rPr>
          <w:rFonts w:ascii="方正楷体_GBK" w:eastAsia="方正楷体_GBK" w:hAnsi="Times New Roman" w:cs="Times New Roman" w:hint="eastAsia"/>
          <w:sz w:val="32"/>
          <w:szCs w:val="32"/>
        </w:rPr>
        <w:t>工作</w:t>
      </w:r>
      <w:r w:rsidRPr="00AA16EE">
        <w:rPr>
          <w:rFonts w:ascii="方正楷体_GBK" w:eastAsia="方正楷体_GBK" w:hAnsi="Times New Roman" w:cs="Times New Roman" w:hint="eastAsia"/>
          <w:sz w:val="32"/>
          <w:szCs w:val="32"/>
        </w:rPr>
        <w:t>相关要求。</w:t>
      </w:r>
      <w:r w:rsidR="000B06A2" w:rsidRPr="000B06A2">
        <w:rPr>
          <w:rFonts w:ascii="Times New Roman" w:eastAsia="方正仿宋_GBK" w:hAnsi="Times New Roman" w:cs="Times New Roman" w:hint="eastAsia"/>
          <w:sz w:val="32"/>
          <w:szCs w:val="32"/>
        </w:rPr>
        <w:t>为进一步规范等级评定工作，修订稿提出：</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首次参加评定的养老机构，最高可申报评定等级四级</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（第十二条）。</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具有大专（含）以上学历或中级（含）以上职称并从事本行业工作满</w:t>
      </w:r>
      <w:r w:rsidR="00AE23D6" w:rsidRPr="00D80C56">
        <w:rPr>
          <w:rFonts w:ascii="Times New Roman" w:eastAsia="方正仿宋_GBK" w:hAnsi="Times New Roman" w:cs="Times New Roman"/>
          <w:sz w:val="32"/>
          <w:szCs w:val="32"/>
        </w:rPr>
        <w:t>3</w:t>
      </w:r>
      <w:r w:rsidR="00AE23D6" w:rsidRPr="00D80C56">
        <w:rPr>
          <w:rFonts w:ascii="Times New Roman" w:eastAsia="方正仿宋_GBK" w:hAnsi="Times New Roman" w:cs="Times New Roman"/>
          <w:sz w:val="32"/>
          <w:szCs w:val="32"/>
        </w:rPr>
        <w:t>年；具有中专以上学历、从事本行业工作满</w:t>
      </w:r>
      <w:r w:rsidR="00AE23D6" w:rsidRPr="00D80C56">
        <w:rPr>
          <w:rFonts w:ascii="Times New Roman" w:eastAsia="方正仿宋_GBK" w:hAnsi="Times New Roman" w:cs="Times New Roman"/>
          <w:sz w:val="32"/>
          <w:szCs w:val="32"/>
        </w:rPr>
        <w:t>5</w:t>
      </w:r>
      <w:r w:rsidR="00AE23D6" w:rsidRPr="00D80C56">
        <w:rPr>
          <w:rFonts w:ascii="Times New Roman" w:eastAsia="方正仿宋_GBK" w:hAnsi="Times New Roman" w:cs="Times New Roman"/>
          <w:sz w:val="32"/>
          <w:szCs w:val="32"/>
        </w:rPr>
        <w:t>年</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（第十九条（三））。</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建立评定专家异地交流机制，设区市和县（市、区）组建评定专家组时，异地专家人数占比不少于</w:t>
      </w:r>
      <w:r w:rsidR="00AE23D6" w:rsidRPr="00D80C56">
        <w:rPr>
          <w:rFonts w:ascii="Times New Roman" w:eastAsia="方正仿宋_GBK" w:hAnsi="Times New Roman" w:cs="Times New Roman"/>
          <w:sz w:val="32"/>
          <w:szCs w:val="32"/>
        </w:rPr>
        <w:t>20%</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（第二十条）。</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专家库实行动态管理，评定专家每</w:t>
      </w:r>
      <w:r w:rsidR="00AE23D6" w:rsidRPr="00D80C56">
        <w:rPr>
          <w:rFonts w:ascii="Times New Roman" w:eastAsia="方正仿宋_GBK" w:hAnsi="Times New Roman" w:cs="Times New Roman"/>
          <w:sz w:val="32"/>
          <w:szCs w:val="32"/>
        </w:rPr>
        <w:t>2</w:t>
      </w:r>
      <w:r w:rsidR="00AE23D6" w:rsidRPr="00D80C56">
        <w:rPr>
          <w:rFonts w:ascii="Times New Roman" w:eastAsia="方正仿宋_GBK" w:hAnsi="Times New Roman" w:cs="Times New Roman"/>
          <w:sz w:val="32"/>
          <w:szCs w:val="32"/>
        </w:rPr>
        <w:t>年至少参加一次省级以上等级评定培训，考核不合格的移出专家库</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（第二十一条）。</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评定结束后，评定组织应做好档案收集、整理和归档工作，评定资料文件应移交给评定委员会办公室妥善保管</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（第二十八条）。</w:t>
      </w:r>
      <w:r w:rsidR="00AE23D6">
        <w:rPr>
          <w:rFonts w:ascii="Times New Roman" w:eastAsia="方正仿宋_GBK" w:hAnsi="Times New Roman" w:cs="Times New Roman" w:hint="eastAsia"/>
          <w:sz w:val="32"/>
          <w:szCs w:val="32"/>
        </w:rPr>
        <w:t>“</w:t>
      </w:r>
      <w:r w:rsidR="00AE23D6" w:rsidRPr="00D80C56">
        <w:rPr>
          <w:rFonts w:ascii="Times New Roman" w:eastAsia="方正仿宋_GBK" w:hAnsi="Times New Roman" w:cs="Times New Roman"/>
          <w:sz w:val="32"/>
          <w:szCs w:val="32"/>
        </w:rPr>
        <w:t>在等级评定、复核、复评过程中，出现有关申报信息、数据与</w:t>
      </w:r>
      <w:r w:rsidR="00AE23D6" w:rsidRPr="00D80C56">
        <w:rPr>
          <w:rFonts w:ascii="Times New Roman" w:eastAsia="方正仿宋_GBK" w:hAnsi="Times New Roman" w:cs="Times New Roman"/>
          <w:sz w:val="32"/>
          <w:szCs w:val="32"/>
        </w:rPr>
        <w:t>“</w:t>
      </w:r>
      <w:r w:rsidR="00AE23D6" w:rsidRPr="00D80C56">
        <w:rPr>
          <w:rFonts w:ascii="Times New Roman" w:eastAsia="方正仿宋_GBK" w:hAnsi="Times New Roman" w:cs="Times New Roman"/>
          <w:sz w:val="32"/>
          <w:szCs w:val="32"/>
        </w:rPr>
        <w:t>金民工程</w:t>
      </w:r>
      <w:r w:rsidR="00AE23D6" w:rsidRPr="00D80C56">
        <w:rPr>
          <w:rFonts w:ascii="Times New Roman" w:eastAsia="方正仿宋_GBK" w:hAnsi="Times New Roman" w:cs="Times New Roman"/>
          <w:sz w:val="32"/>
          <w:szCs w:val="32"/>
        </w:rPr>
        <w:t>”</w:t>
      </w:r>
      <w:r w:rsidR="00AE23D6" w:rsidRPr="00D80C56">
        <w:rPr>
          <w:rFonts w:ascii="Times New Roman" w:eastAsia="方正仿宋_GBK" w:hAnsi="Times New Roman" w:cs="Times New Roman"/>
          <w:sz w:val="32"/>
          <w:szCs w:val="32"/>
        </w:rPr>
        <w:t>养老服务系统中的信息、数据不相符时，以</w:t>
      </w:r>
      <w:r w:rsidR="00AE23D6" w:rsidRPr="00D80C56">
        <w:rPr>
          <w:rFonts w:ascii="Times New Roman" w:eastAsia="方正仿宋_GBK" w:hAnsi="Times New Roman" w:cs="Times New Roman"/>
          <w:sz w:val="32"/>
          <w:szCs w:val="32"/>
        </w:rPr>
        <w:t>“</w:t>
      </w:r>
      <w:r w:rsidR="00AE23D6" w:rsidRPr="00D80C56">
        <w:rPr>
          <w:rFonts w:ascii="Times New Roman" w:eastAsia="方正仿宋_GBK" w:hAnsi="Times New Roman" w:cs="Times New Roman"/>
          <w:sz w:val="32"/>
          <w:szCs w:val="32"/>
        </w:rPr>
        <w:t>金民工程</w:t>
      </w:r>
      <w:r w:rsidR="00AE23D6" w:rsidRPr="00D80C56">
        <w:rPr>
          <w:rFonts w:ascii="Times New Roman" w:eastAsia="方正仿宋_GBK" w:hAnsi="Times New Roman" w:cs="Times New Roman"/>
          <w:sz w:val="32"/>
          <w:szCs w:val="32"/>
        </w:rPr>
        <w:t>”</w:t>
      </w:r>
      <w:r w:rsidR="00AE23D6" w:rsidRPr="00D80C56">
        <w:rPr>
          <w:rFonts w:ascii="Times New Roman" w:eastAsia="方正仿宋_GBK" w:hAnsi="Times New Roman" w:cs="Times New Roman"/>
          <w:sz w:val="32"/>
          <w:szCs w:val="32"/>
        </w:rPr>
        <w:t>养老服务系统中的信息、数据为准</w:t>
      </w:r>
      <w:r w:rsidR="00AE23D6">
        <w:rPr>
          <w:rFonts w:ascii="Times New Roman" w:eastAsia="方正仿宋_GBK" w:hAnsi="Times New Roman" w:cs="Times New Roman" w:hint="eastAsia"/>
          <w:sz w:val="32"/>
          <w:szCs w:val="32"/>
        </w:rPr>
        <w:t>”</w:t>
      </w:r>
      <w:r w:rsidR="00E12BFE" w:rsidRPr="00D80C56">
        <w:rPr>
          <w:rFonts w:ascii="Times New Roman" w:eastAsia="方正仿宋_GBK" w:hAnsi="Times New Roman" w:cs="Times New Roman"/>
          <w:sz w:val="32"/>
          <w:szCs w:val="32"/>
        </w:rPr>
        <w:t>（第四十五条）。</w:t>
      </w:r>
      <w:bookmarkStart w:id="1" w:name="_GoBack"/>
      <w:bookmarkEnd w:id="1"/>
    </w:p>
    <w:sectPr w:rsidR="00E12BFE" w:rsidRPr="00D80C5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3234" w:rsidRDefault="00DE3234" w:rsidP="007A10C5">
      <w:r>
        <w:separator/>
      </w:r>
    </w:p>
  </w:endnote>
  <w:endnote w:type="continuationSeparator" w:id="0">
    <w:p w:rsidR="00DE3234" w:rsidRDefault="00DE3234" w:rsidP="007A1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3234" w:rsidRDefault="00DE3234" w:rsidP="007A10C5">
      <w:r>
        <w:separator/>
      </w:r>
    </w:p>
  </w:footnote>
  <w:footnote w:type="continuationSeparator" w:id="0">
    <w:p w:rsidR="00DE3234" w:rsidRDefault="00DE3234" w:rsidP="007A10C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82D"/>
    <w:rsid w:val="000B06A2"/>
    <w:rsid w:val="000F3EF0"/>
    <w:rsid w:val="00363C2D"/>
    <w:rsid w:val="0044282D"/>
    <w:rsid w:val="007A10C5"/>
    <w:rsid w:val="00A82C80"/>
    <w:rsid w:val="00AA16EE"/>
    <w:rsid w:val="00AC0098"/>
    <w:rsid w:val="00AE23D6"/>
    <w:rsid w:val="00B255F2"/>
    <w:rsid w:val="00C76632"/>
    <w:rsid w:val="00C90C4B"/>
    <w:rsid w:val="00D80C56"/>
    <w:rsid w:val="00DE3234"/>
    <w:rsid w:val="00E07288"/>
    <w:rsid w:val="00E12BFE"/>
    <w:rsid w:val="00E319AA"/>
    <w:rsid w:val="00E42F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7929EE"/>
  <w15:chartTrackingRefBased/>
  <w15:docId w15:val="{BBE2310B-41FC-4EB3-B6C7-D9C577C91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A10C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7A10C5"/>
    <w:rPr>
      <w:sz w:val="18"/>
      <w:szCs w:val="18"/>
    </w:rPr>
  </w:style>
  <w:style w:type="paragraph" w:styleId="a5">
    <w:name w:val="footer"/>
    <w:basedOn w:val="a"/>
    <w:link w:val="a6"/>
    <w:uiPriority w:val="99"/>
    <w:unhideWhenUsed/>
    <w:rsid w:val="007A10C5"/>
    <w:pPr>
      <w:tabs>
        <w:tab w:val="center" w:pos="4153"/>
        <w:tab w:val="right" w:pos="8306"/>
      </w:tabs>
      <w:snapToGrid w:val="0"/>
      <w:jc w:val="left"/>
    </w:pPr>
    <w:rPr>
      <w:sz w:val="18"/>
      <w:szCs w:val="18"/>
    </w:rPr>
  </w:style>
  <w:style w:type="character" w:customStyle="1" w:styleId="a6">
    <w:name w:val="页脚 字符"/>
    <w:basedOn w:val="a0"/>
    <w:link w:val="a5"/>
    <w:uiPriority w:val="99"/>
    <w:rsid w:val="007A10C5"/>
    <w:rPr>
      <w:sz w:val="18"/>
      <w:szCs w:val="18"/>
    </w:rPr>
  </w:style>
  <w:style w:type="paragraph" w:styleId="a7">
    <w:name w:val="List Paragraph"/>
    <w:basedOn w:val="a"/>
    <w:uiPriority w:val="34"/>
    <w:qFormat/>
    <w:rsid w:val="007A10C5"/>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834718">
      <w:bodyDiv w:val="1"/>
      <w:marLeft w:val="0"/>
      <w:marRight w:val="0"/>
      <w:marTop w:val="0"/>
      <w:marBottom w:val="0"/>
      <w:divBdr>
        <w:top w:val="none" w:sz="0" w:space="0" w:color="auto"/>
        <w:left w:val="none" w:sz="0" w:space="0" w:color="auto"/>
        <w:bottom w:val="none" w:sz="0" w:space="0" w:color="auto"/>
        <w:right w:val="none" w:sz="0" w:space="0" w:color="auto"/>
      </w:divBdr>
    </w:div>
    <w:div w:id="986055891">
      <w:bodyDiv w:val="1"/>
      <w:marLeft w:val="0"/>
      <w:marRight w:val="0"/>
      <w:marTop w:val="0"/>
      <w:marBottom w:val="0"/>
      <w:divBdr>
        <w:top w:val="none" w:sz="0" w:space="0" w:color="auto"/>
        <w:left w:val="none" w:sz="0" w:space="0" w:color="auto"/>
        <w:bottom w:val="none" w:sz="0" w:space="0" w:color="auto"/>
        <w:right w:val="none" w:sz="0" w:space="0" w:color="auto"/>
      </w:divBdr>
    </w:div>
    <w:div w:id="1153836375">
      <w:bodyDiv w:val="1"/>
      <w:marLeft w:val="0"/>
      <w:marRight w:val="0"/>
      <w:marTop w:val="0"/>
      <w:marBottom w:val="0"/>
      <w:divBdr>
        <w:top w:val="none" w:sz="0" w:space="0" w:color="auto"/>
        <w:left w:val="none" w:sz="0" w:space="0" w:color="auto"/>
        <w:bottom w:val="none" w:sz="0" w:space="0" w:color="auto"/>
        <w:right w:val="none" w:sz="0" w:space="0" w:color="auto"/>
      </w:divBdr>
      <w:divsChild>
        <w:div w:id="772869356">
          <w:marLeft w:val="0"/>
          <w:marRight w:val="0"/>
          <w:marTop w:val="0"/>
          <w:marBottom w:val="0"/>
          <w:divBdr>
            <w:top w:val="none" w:sz="0" w:space="0" w:color="auto"/>
            <w:left w:val="none" w:sz="0" w:space="0" w:color="auto"/>
            <w:bottom w:val="none" w:sz="0" w:space="0" w:color="auto"/>
            <w:right w:val="none" w:sz="0" w:space="0" w:color="auto"/>
          </w:divBdr>
        </w:div>
      </w:divsChild>
    </w:div>
    <w:div w:id="1320815569">
      <w:bodyDiv w:val="1"/>
      <w:marLeft w:val="0"/>
      <w:marRight w:val="0"/>
      <w:marTop w:val="0"/>
      <w:marBottom w:val="0"/>
      <w:divBdr>
        <w:top w:val="none" w:sz="0" w:space="0" w:color="auto"/>
        <w:left w:val="none" w:sz="0" w:space="0" w:color="auto"/>
        <w:bottom w:val="none" w:sz="0" w:space="0" w:color="auto"/>
        <w:right w:val="none" w:sz="0" w:space="0" w:color="auto"/>
      </w:divBdr>
      <w:divsChild>
        <w:div w:id="2057504565">
          <w:marLeft w:val="0"/>
          <w:marRight w:val="0"/>
          <w:marTop w:val="0"/>
          <w:marBottom w:val="0"/>
          <w:divBdr>
            <w:top w:val="none" w:sz="0" w:space="0" w:color="auto"/>
            <w:left w:val="none" w:sz="0" w:space="0" w:color="auto"/>
            <w:bottom w:val="none" w:sz="0" w:space="0" w:color="auto"/>
            <w:right w:val="none" w:sz="0" w:space="0" w:color="auto"/>
          </w:divBdr>
        </w:div>
      </w:divsChild>
    </w:div>
    <w:div w:id="1503231276">
      <w:bodyDiv w:val="1"/>
      <w:marLeft w:val="0"/>
      <w:marRight w:val="0"/>
      <w:marTop w:val="0"/>
      <w:marBottom w:val="0"/>
      <w:divBdr>
        <w:top w:val="none" w:sz="0" w:space="0" w:color="auto"/>
        <w:left w:val="none" w:sz="0" w:space="0" w:color="auto"/>
        <w:bottom w:val="none" w:sz="0" w:space="0" w:color="auto"/>
        <w:right w:val="none" w:sz="0" w:space="0" w:color="auto"/>
      </w:divBdr>
      <w:divsChild>
        <w:div w:id="1721911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4</Pages>
  <Words>325</Words>
  <Characters>1857</Characters>
  <Application>Microsoft Office Word</Application>
  <DocSecurity>0</DocSecurity>
  <Lines>15</Lines>
  <Paragraphs>4</Paragraphs>
  <ScaleCrop>false</ScaleCrop>
  <Company/>
  <LinksUpToDate>false</LinksUpToDate>
  <CharactersWithSpaces>2178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盛勇</dc:creator>
  <cp:keywords/>
  <dc:description/>
  <cp:lastModifiedBy>盛勇</cp:lastModifiedBy>
  <cp:revision>9</cp:revision>
  <dcterms:created xsi:type="dcterms:W3CDTF">2023-08-11T08:23:00Z</dcterms:created>
  <dcterms:modified xsi:type="dcterms:W3CDTF">2023-08-11T11:01:00Z</dcterms:modified>
</cp:coreProperties>
</file>