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4"/>
        <w:tblW w:w="1040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4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054" w:hRule="atLeast"/>
        </w:trPr>
        <w:tc>
          <w:tcPr>
            <w:tcW w:w="10402" w:type="dxa"/>
            <w:tcBorders>
              <w:top w:val="nil"/>
              <w:left w:val="nil"/>
              <w:bottom w:val="nil"/>
              <w:right w:val="nil"/>
            </w:tcBorders>
          </w:tcPr>
          <w:p>
            <w:pPr>
              <w:pStyle w:val="8"/>
              <w:spacing w:line="550" w:lineRule="exact"/>
              <w:rPr>
                <w:rFonts w:hint="eastAsia" w:ascii="仿宋" w:hAnsi="仿宋" w:eastAsia="仿宋" w:cs="仿宋"/>
                <w:b/>
                <w:bCs/>
                <w:color w:val="FF0000"/>
                <w:sz w:val="22"/>
                <w:szCs w:val="2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45" w:hRule="atLeast"/>
        </w:trPr>
        <w:tc>
          <w:tcPr>
            <w:tcW w:w="10402" w:type="dxa"/>
            <w:tcBorders>
              <w:top w:val="nil"/>
              <w:left w:val="nil"/>
              <w:bottom w:val="nil"/>
              <w:right w:val="nil"/>
            </w:tcBorders>
            <w:vAlign w:val="center"/>
          </w:tcPr>
          <w:p>
            <w:pPr>
              <w:ind w:right="284" w:rightChars="129"/>
              <w:jc w:val="center"/>
              <w:rPr>
                <w:rFonts w:hint="eastAsia" w:ascii="仿宋" w:hAnsi="仿宋" w:eastAsia="仿宋" w:cs="仿宋"/>
                <w:b/>
                <w:bCs/>
                <w:color w:val="FF0000"/>
                <w:sz w:val="22"/>
                <w:szCs w:val="22"/>
                <w:vertAlign w:val="baseline"/>
              </w:rPr>
            </w:pPr>
            <w:r>
              <w:rPr>
                <w:rFonts w:ascii="宋体" w:hAnsi="宋体" w:eastAsia="宋体" w:cs="宋体"/>
                <w:b/>
                <w:sz w:val="52"/>
              </w:rPr>
              <w:t>2020年度</w:t>
            </w:r>
            <w:r>
              <w:rPr>
                <w:rFonts w:ascii="宋体" w:hAnsi="宋体" w:eastAsia="宋体" w:cs="宋体"/>
                <w:b/>
                <w:sz w:val="52"/>
              </w:rPr>
              <w:cr/>
            </w:r>
            <w:r>
              <w:rPr>
                <w:rFonts w:ascii="宋体" w:hAnsi="宋体" w:eastAsia="宋体" w:cs="宋体"/>
                <w:b/>
                <w:sz w:val="52"/>
              </w:rPr>
              <w:br w:type="textWrapping"/>
            </w:r>
            <w:r>
              <w:rPr>
                <w:rFonts w:ascii="宋体" w:hAnsi="宋体" w:eastAsia="宋体" w:cs="宋体"/>
                <w:b/>
                <w:sz w:val="52"/>
              </w:rPr>
              <w:t>江苏省社会捐助服务中心</w:t>
            </w:r>
            <w:r>
              <w:rPr>
                <w:rFonts w:ascii="宋体" w:hAnsi="宋体" w:eastAsia="宋体" w:cs="宋体"/>
                <w:b/>
                <w:sz w:val="52"/>
              </w:rPr>
              <w:cr/>
            </w:r>
            <w:r>
              <w:rPr>
                <w:rFonts w:ascii="宋体" w:hAnsi="宋体" w:eastAsia="宋体" w:cs="宋体"/>
                <w:b/>
                <w:sz w:val="52"/>
              </w:rPr>
              <w:br w:type="textWrapping"/>
            </w:r>
            <w:r>
              <w:rPr>
                <w:rFonts w:ascii="宋体" w:hAnsi="宋体" w:eastAsia="宋体" w:cs="宋体"/>
                <w:b/>
                <w:sz w:val="52"/>
              </w:rPr>
              <w:t>单位决算公开</w:t>
            </w:r>
          </w:p>
        </w:tc>
      </w:tr>
    </w:tbl>
    <w:p>
      <w:pPr>
        <w:ind w:right="284" w:rightChars="129"/>
        <w:jc w:val="both"/>
        <w:rPr>
          <w:rFonts w:hint="eastAsia" w:ascii="宋体" w:hAnsi="宋体" w:eastAsia="宋体" w:cs="宋体"/>
          <w:b/>
          <w:bCs/>
          <w:sz w:val="52"/>
          <w:szCs w:val="52"/>
        </w:rPr>
        <w:sectPr>
          <w:headerReference r:id="rId4" w:type="first"/>
          <w:headerReference r:id="rId3" w:type="default"/>
          <w:pgSz w:w="11906" w:h="16838"/>
          <w:pgMar w:top="1580" w:right="700" w:bottom="770" w:left="1020" w:header="170" w:footer="280" w:gutter="0"/>
          <w:pgBorders>
            <w:top w:val="none" w:color="auto" w:sz="0" w:space="0"/>
            <w:left w:val="none" w:color="auto" w:sz="0" w:space="0"/>
            <w:bottom w:val="none" w:color="auto" w:sz="0" w:space="0"/>
            <w:right w:val="none" w:color="auto" w:sz="0" w:space="0"/>
          </w:pgBorders>
          <w:pgNumType w:fmt="decimal"/>
          <w:cols w:space="720" w:num="1"/>
          <w:formProt w:val="0"/>
          <w:titlePg/>
          <w:docGrid w:linePitch="100" w:charSpace="0"/>
        </w:sectPr>
      </w:pPr>
    </w:p>
    <w:p>
      <w:pPr>
        <w:pStyle w:val="8"/>
        <w:spacing w:before="4" w:after="0"/>
        <w:rPr>
          <w:rFonts w:ascii="华文仿宋" w:hAnsi="华文仿宋" w:eastAsia="华文仿宋" w:cs="仿宋"/>
          <w:sz w:val="10"/>
        </w:rPr>
      </w:pPr>
    </w:p>
    <w:p>
      <w:pPr>
        <w:pStyle w:val="3"/>
        <w:tabs>
          <w:tab w:val="left" w:pos="880"/>
        </w:tabs>
        <w:spacing w:line="718" w:lineRule="exact"/>
        <w:ind w:right="313" w:firstLine="0"/>
        <w:rPr>
          <w:rFonts w:hint="eastAsia" w:ascii="仿宋" w:hAnsi="仿宋" w:eastAsia="仿宋" w:cs="仿宋"/>
        </w:rPr>
      </w:pPr>
      <w:r>
        <w:rPr>
          <w:rFonts w:hint="eastAsia" w:ascii="仿宋" w:hAnsi="仿宋" w:eastAsia="仿宋" w:cs="仿宋"/>
          <w:b/>
          <w:bCs/>
        </w:rPr>
        <w:t>目</w:t>
      </w:r>
      <w:r>
        <w:rPr>
          <w:rFonts w:hint="eastAsia" w:ascii="仿宋" w:hAnsi="仿宋" w:eastAsia="仿宋" w:cs="仿宋"/>
          <w:b/>
          <w:bCs/>
        </w:rPr>
        <w:tab/>
      </w:r>
      <w:r>
        <w:rPr>
          <w:rFonts w:hint="eastAsia" w:ascii="仿宋" w:hAnsi="仿宋" w:eastAsia="仿宋" w:cs="仿宋"/>
          <w:b/>
          <w:bCs/>
        </w:rPr>
        <w:t>录</w:t>
      </w:r>
    </w:p>
    <w:p>
      <w:pPr>
        <w:pStyle w:val="8"/>
        <w:spacing w:before="7" w:after="0"/>
        <w:rPr>
          <w:rFonts w:hint="eastAsia" w:ascii="仿宋" w:hAnsi="仿宋" w:eastAsia="仿宋" w:cs="仿宋"/>
          <w:sz w:val="27"/>
        </w:rPr>
      </w:pP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b/>
          <w:bCs/>
        </w:rPr>
        <w:t xml:space="preserve">第一部分 </w:t>
      </w:r>
      <w:r>
        <w:rPr>
          <w:rFonts w:hint="eastAsia" w:ascii="仿宋" w:hAnsi="仿宋" w:eastAsia="仿宋" w:cs="仿宋"/>
          <w:b/>
          <w:bCs/>
          <w:lang w:val="en-US" w:eastAsia="zh-CN"/>
        </w:rPr>
        <w:t>单位</w:t>
      </w:r>
      <w:r>
        <w:rPr>
          <w:rFonts w:hint="eastAsia" w:ascii="仿宋" w:hAnsi="仿宋" w:eastAsia="仿宋" w:cs="仿宋"/>
          <w:b/>
          <w:bCs/>
        </w:rPr>
        <w:t>概况</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一、主要职能</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二、</w:t>
      </w:r>
      <w:r>
        <w:rPr>
          <w:rFonts w:hint="eastAsia" w:ascii="仿宋" w:hAnsi="仿宋" w:eastAsia="仿宋" w:cs="仿宋"/>
          <w:lang w:val="en-US" w:eastAsia="zh-CN"/>
        </w:rPr>
        <w:t>单位</w:t>
      </w:r>
      <w:r>
        <w:rPr>
          <w:rFonts w:hint="eastAsia" w:ascii="仿宋" w:hAnsi="仿宋" w:eastAsia="仿宋" w:cs="仿宋"/>
        </w:rPr>
        <w:t>机构设置及决算单位构成情况</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三、2020年度主要工作完成情况</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b/>
          <w:bCs/>
        </w:rPr>
      </w:pPr>
      <w:r>
        <w:rPr>
          <w:rFonts w:hint="eastAsia" w:ascii="仿宋" w:hAnsi="仿宋" w:eastAsia="仿宋" w:cs="仿宋"/>
          <w:b/>
          <w:bCs/>
          <w:lang w:val="en-US" w:eastAsia="zh-CN"/>
        </w:rPr>
        <w:t xml:space="preserve">第二部分 </w:t>
      </w:r>
      <w:r>
        <w:rPr>
          <w:rFonts w:hint="eastAsia" w:ascii="仿宋" w:hAnsi="仿宋" w:eastAsia="仿宋" w:cs="仿宋"/>
          <w:b/>
          <w:bCs/>
          <w:color w:val="000000"/>
          <w:sz w:val="30"/>
          <w:szCs w:val="30"/>
          <w:lang w:val="en-US" w:eastAsia="zh-CN" w:bidi="ar"/>
        </w:rPr>
        <w:t>2020</w:t>
      </w:r>
      <w:r>
        <w:rPr>
          <w:rFonts w:hint="eastAsia" w:ascii="仿宋" w:hAnsi="仿宋" w:eastAsia="仿宋" w:cs="仿宋"/>
          <w:b/>
          <w:bCs/>
          <w:lang w:val="en-US" w:eastAsia="zh-CN"/>
        </w:rPr>
        <w:t>年度</w:t>
      </w:r>
      <w:r>
        <w:rPr>
          <w:rFonts w:ascii="仿宋" w:hAnsi="仿宋" w:eastAsia="仿宋" w:cs="仿宋"/>
          <w:b/>
        </w:rPr>
        <w:t>单位决算表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5774" w:hanging="11" w:firstLineChars="0"/>
        <w:jc w:val="both"/>
        <w:textAlignment w:val="auto"/>
        <w:rPr>
          <w:rFonts w:hint="eastAsia" w:ascii="仿宋" w:hAnsi="仿宋" w:eastAsia="仿宋" w:cs="仿宋"/>
        </w:rPr>
      </w:pPr>
      <w:r>
        <w:rPr>
          <w:rFonts w:hint="eastAsia" w:ascii="仿宋" w:hAnsi="仿宋" w:eastAsia="仿宋" w:cs="仿宋"/>
          <w:spacing w:val="-2"/>
        </w:rPr>
        <w:t>一、收入支出决算总表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5774" w:hanging="11" w:firstLineChars="0"/>
        <w:jc w:val="both"/>
        <w:textAlignment w:val="auto"/>
        <w:rPr>
          <w:rFonts w:hint="eastAsia" w:ascii="仿宋" w:hAnsi="仿宋" w:eastAsia="仿宋" w:cs="仿宋"/>
        </w:rPr>
      </w:pPr>
      <w:r>
        <w:rPr>
          <w:rFonts w:hint="eastAsia" w:ascii="仿宋" w:hAnsi="仿宋" w:eastAsia="仿宋" w:cs="仿宋"/>
        </w:rPr>
        <w:t>二、收入决算表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w w:val="95"/>
        </w:rPr>
        <w:t>三、支出决算表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四、财政拨款收入支出决算总表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五、财政拨款支出决算表（功能科目）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894" w:hanging="11" w:firstLineChars="0"/>
        <w:jc w:val="both"/>
        <w:textAlignment w:val="auto"/>
        <w:rPr>
          <w:rFonts w:hint="eastAsia" w:ascii="仿宋" w:hAnsi="仿宋" w:eastAsia="仿宋" w:cs="仿宋"/>
        </w:rPr>
      </w:pPr>
      <w:r>
        <w:rPr>
          <w:rFonts w:hint="eastAsia" w:ascii="仿宋" w:hAnsi="仿宋" w:eastAsia="仿宋" w:cs="仿宋"/>
        </w:rPr>
        <w:t>六、财政拨款基本支出决算表（经济科目） 七、一般公共预算支出决算表（功能科目）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八、一般公共预算基本支出决算表（经济科目）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九、一般公共预算“三公”经费、会议费、培训费支出决算表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十、政府性基金预算收入支出决算表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rPr>
      </w:pPr>
      <w:r>
        <w:rPr>
          <w:rFonts w:hint="eastAsia" w:ascii="仿宋" w:hAnsi="仿宋" w:eastAsia="仿宋" w:cs="仿宋"/>
        </w:rPr>
        <w:t>十一、一般公共预算机关运行经费支出决算表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rPr>
      </w:pPr>
      <w:r>
        <w:rPr>
          <w:rFonts w:hint="eastAsia" w:ascii="仿宋" w:hAnsi="仿宋" w:eastAsia="仿宋" w:cs="仿宋"/>
        </w:rPr>
        <w:t>十二、政府采购支出决算表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b/>
          <w:bCs/>
          <w:color w:val="000000"/>
          <w:sz w:val="30"/>
          <w:szCs w:val="30"/>
          <w:lang w:val="en-US" w:bidi="ar"/>
        </w:rPr>
      </w:pPr>
      <w:r>
        <w:rPr>
          <w:rFonts w:hint="eastAsia" w:ascii="仿宋" w:hAnsi="仿宋" w:eastAsia="仿宋" w:cs="仿宋"/>
          <w:b/>
          <w:bCs/>
          <w:lang w:val="en-US"/>
        </w:rPr>
        <w:t xml:space="preserve">第三部分 </w:t>
      </w:r>
      <w:r>
        <w:rPr>
          <w:rFonts w:hint="eastAsia" w:ascii="仿宋" w:hAnsi="仿宋" w:eastAsia="仿宋" w:cs="仿宋"/>
          <w:b/>
          <w:bCs/>
          <w:color w:val="000000"/>
          <w:sz w:val="30"/>
          <w:szCs w:val="30"/>
          <w:lang w:val="en-US" w:bidi="ar"/>
        </w:rPr>
        <w:t>2020年度</w:t>
      </w:r>
      <w:r>
        <w:rPr>
          <w:rFonts w:ascii="仿宋" w:hAnsi="仿宋" w:eastAsia="仿宋" w:cs="仿宋"/>
          <w:b/>
          <w:color w:val="000000"/>
          <w:sz w:val="30"/>
        </w:rPr>
        <w:t>单位</w:t>
      </w:r>
      <w:r>
        <w:rPr>
          <w:rFonts w:hint="eastAsia" w:ascii="仿宋" w:hAnsi="仿宋" w:eastAsia="仿宋" w:cs="仿宋"/>
          <w:b/>
          <w:bCs/>
          <w:color w:val="000000"/>
          <w:sz w:val="30"/>
          <w:szCs w:val="30"/>
          <w:lang w:val="en-US" w:bidi="ar"/>
        </w:rPr>
        <w:t>决算情况说明</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default" w:ascii="仿宋" w:hAnsi="仿宋" w:eastAsia="仿宋" w:cs="仿宋"/>
          <w:b/>
          <w:bCs/>
          <w:color w:val="000000"/>
          <w:sz w:val="30"/>
          <w:szCs w:val="30"/>
          <w:lang w:val="en-US" w:eastAsia="zh-CN" w:bidi="ar"/>
        </w:rPr>
      </w:pPr>
      <w:r>
        <w:rPr>
          <w:rFonts w:hint="eastAsia" w:ascii="仿宋" w:hAnsi="仿宋" w:eastAsia="仿宋" w:cs="仿宋"/>
          <w:b/>
          <w:bCs/>
          <w:lang w:val="en-US"/>
        </w:rPr>
        <w:t>第</w:t>
      </w:r>
      <w:r>
        <w:rPr>
          <w:rFonts w:hint="eastAsia" w:ascii="仿宋" w:hAnsi="仿宋" w:eastAsia="仿宋" w:cs="仿宋"/>
          <w:b/>
          <w:bCs/>
          <w:lang w:val="en-US" w:eastAsia="zh-CN"/>
        </w:rPr>
        <w:t>四</w:t>
      </w:r>
      <w:r>
        <w:rPr>
          <w:rFonts w:hint="eastAsia" w:ascii="仿宋" w:hAnsi="仿宋" w:eastAsia="仿宋" w:cs="仿宋"/>
          <w:b/>
          <w:bCs/>
          <w:lang w:val="en-US"/>
        </w:rPr>
        <w:t xml:space="preserve">部分 </w:t>
      </w:r>
      <w:r>
        <w:rPr>
          <w:rFonts w:hint="eastAsia" w:ascii="仿宋" w:hAnsi="仿宋" w:eastAsia="仿宋" w:cs="仿宋"/>
          <w:b/>
          <w:bCs/>
          <w:lang w:val="en-US" w:eastAsia="zh-CN"/>
        </w:rPr>
        <w:t>名词解释</w:t>
      </w:r>
    </w:p>
    <w:p>
      <w:pPr>
        <w:pStyle w:val="8"/>
        <w:spacing w:line="235" w:lineRule="auto"/>
        <w:ind w:left="669" w:leftChars="300" w:right="2414" w:hanging="9" w:firstLineChars="0"/>
        <w:jc w:val="both"/>
        <w:rPr>
          <w:rFonts w:hint="eastAsia" w:ascii="仿宋" w:hAnsi="仿宋" w:eastAsia="仿宋" w:cs="仿宋"/>
        </w:rPr>
        <w:sectPr>
          <w:footerReference r:id="rId5" w:type="default"/>
          <w:pgSz w:w="11906" w:h="16838"/>
          <w:pgMar w:top="1580" w:right="700" w:bottom="770" w:left="1020" w:header="283" w:footer="280" w:gutter="0"/>
          <w:pgBorders>
            <w:top w:val="none" w:color="auto" w:sz="0" w:space="0"/>
            <w:left w:val="none" w:color="auto" w:sz="0" w:space="0"/>
            <w:bottom w:val="none" w:color="auto" w:sz="0" w:space="0"/>
            <w:right w:val="none" w:color="auto" w:sz="0" w:space="0"/>
          </w:pgBorders>
          <w:pgNumType w:fmt="numberInDash" w:start="1"/>
          <w:cols w:space="720" w:num="1"/>
          <w:formProt w:val="0"/>
          <w:docGrid w:linePitch="100" w:charSpace="0"/>
        </w:sectPr>
      </w:pPr>
    </w:p>
    <w:p>
      <w:pPr>
        <w:pStyle w:val="8"/>
        <w:spacing w:before="1" w:after="0"/>
        <w:rPr>
          <w:rFonts w:ascii="华文仿宋" w:hAnsi="华文仿宋" w:eastAsia="华文仿宋" w:cs="仿宋"/>
          <w:sz w:val="14"/>
        </w:rPr>
      </w:pPr>
    </w:p>
    <w:p>
      <w:pPr>
        <w:pStyle w:val="5"/>
        <w:tabs>
          <w:tab w:val="left" w:pos="4395"/>
        </w:tabs>
        <w:spacing w:line="606" w:lineRule="exact"/>
        <w:ind w:right="504" w:rightChars="229"/>
        <w:jc w:val="center"/>
        <w:rPr>
          <w:rFonts w:hint="eastAsia" w:ascii="仿宋" w:hAnsi="仿宋" w:eastAsia="仿宋" w:cs="仿宋"/>
          <w:b/>
          <w:bCs/>
        </w:rPr>
      </w:pPr>
      <w:r>
        <w:rPr>
          <w:rFonts w:hint="eastAsia" w:ascii="仿宋" w:hAnsi="仿宋" w:eastAsia="仿宋" w:cs="仿宋"/>
          <w:b/>
          <w:bCs/>
        </w:rPr>
        <w:t>第一部分</w:t>
      </w:r>
      <w:r>
        <w:rPr>
          <w:rFonts w:hint="eastAsia" w:ascii="仿宋" w:hAnsi="仿宋" w:eastAsia="仿宋" w:cs="仿宋"/>
          <w:b/>
          <w:bCs/>
          <w:lang w:val="en-US" w:eastAsia="zh-CN"/>
        </w:rPr>
        <w:t xml:space="preserve"> </w:t>
      </w:r>
      <w:r>
        <w:rPr>
          <w:rFonts w:hint="eastAsia" w:ascii="仿宋" w:hAnsi="仿宋" w:eastAsia="仿宋" w:cs="仿宋"/>
          <w:b/>
          <w:bCs/>
        </w:rPr>
        <w:t>单位概况</w:t>
      </w:r>
    </w:p>
    <w:p>
      <w:pPr>
        <w:ind w:right="504" w:rightChars="229"/>
        <w:jc w:val="both"/>
        <w:rPr>
          <w:rFonts w:hint="eastAsia"/>
        </w:r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一、主要职能</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省社会捐助服务中心职能：为社会捐助提供服务。捐助款物分配调剂、社会捐助工作信息统计发布。</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省申请救助家庭经济状况认定指导中心职能：承担申请救助家庭经济状况信息查询工作，开展申请救助家庭经济状况核对的指导核查、统计分析、宣传培训、调查研究工作，负责省级申请救助家庭经济状况核对信息系统的研发、管理和维护。</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二、</w:t>
      </w:r>
      <w:r>
        <w:rPr>
          <w:rFonts w:ascii="仿宋" w:hAnsi="仿宋" w:eastAsia="仿宋" w:cs="仿宋"/>
          <w:b/>
        </w:rPr>
        <w:t>单位</w:t>
      </w:r>
      <w:r>
        <w:rPr>
          <w:rFonts w:hint="eastAsia" w:ascii="仿宋" w:hAnsi="仿宋" w:eastAsia="仿宋" w:cs="仿宋"/>
          <w:b/>
          <w:bCs/>
        </w:rPr>
        <w:t>机构设置及决算单位构成情况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rPr>
      </w:pPr>
      <w:r>
        <w:rPr>
          <w:rFonts w:hint="eastAsia" w:ascii="仿宋" w:hAnsi="仿宋" w:eastAsia="仿宋" w:cs="仿宋"/>
          <w:lang w:val="en-US" w:eastAsia="zh-CN"/>
        </w:rPr>
        <w:t>1.</w:t>
      </w:r>
      <w:r>
        <w:rPr>
          <w:rFonts w:hint="eastAsia" w:ascii="仿宋" w:hAnsi="仿宋" w:eastAsia="仿宋" w:cs="仿宋"/>
        </w:rPr>
        <w:t>根据</w:t>
      </w:r>
      <w:r>
        <w:rPr>
          <w:rFonts w:hint="eastAsia" w:ascii="仿宋" w:hAnsi="仿宋" w:eastAsia="仿宋" w:cs="仿宋"/>
          <w:lang w:val="en-US" w:eastAsia="zh-CN"/>
        </w:rPr>
        <w:t>单位</w:t>
      </w:r>
      <w:r>
        <w:rPr>
          <w:rFonts w:hint="eastAsia" w:ascii="仿宋" w:hAnsi="仿宋" w:eastAsia="仿宋" w:cs="仿宋"/>
        </w:rPr>
        <w:t>职责分工，本</w:t>
      </w:r>
      <w:r>
        <w:rPr>
          <w:rFonts w:hint="eastAsia" w:ascii="仿宋" w:hAnsi="仿宋" w:eastAsia="仿宋" w:cs="仿宋"/>
          <w:lang w:val="en-US" w:eastAsia="zh-CN"/>
        </w:rPr>
        <w:t>单位</w:t>
      </w:r>
      <w:r>
        <w:rPr>
          <w:rFonts w:hint="eastAsia" w:ascii="仿宋" w:hAnsi="仿宋" w:eastAsia="仿宋" w:cs="仿宋"/>
        </w:rPr>
        <w:t>内设机构包括</w:t>
      </w:r>
      <w:r>
        <w:rPr>
          <w:rFonts w:hint="eastAsia" w:ascii="仿宋" w:hAnsi="仿宋" w:eastAsia="仿宋" w:cs="仿宋"/>
          <w:lang w:eastAsia="zh-CN"/>
        </w:rPr>
        <w:t>：</w:t>
      </w:r>
      <w:r>
        <w:rPr>
          <w:rFonts w:ascii="仿宋" w:hAnsi="仿宋" w:eastAsia="仿宋" w:cs="仿宋"/>
        </w:rPr>
        <w:t>本单位无内设机构，无下属单位。本单位无下属单位。</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rPr>
      </w:pPr>
      <w:r>
        <w:rPr>
          <w:rFonts w:hint="eastAsia" w:ascii="仿宋" w:hAnsi="仿宋" w:eastAsia="仿宋" w:cs="仿宋"/>
          <w:lang w:val="en-US" w:eastAsia="zh-CN"/>
        </w:rPr>
        <w:t>2.</w:t>
      </w:r>
      <w:r>
        <w:rPr>
          <w:rFonts w:hint="eastAsia" w:ascii="仿宋" w:hAnsi="仿宋" w:eastAsia="仿宋" w:cs="仿宋"/>
        </w:rPr>
        <w:t>从决算单位构成看，纳入本</w:t>
      </w:r>
      <w:r>
        <w:rPr>
          <w:rFonts w:hint="eastAsia" w:ascii="仿宋" w:hAnsi="仿宋" w:eastAsia="仿宋" w:cs="仿宋"/>
          <w:lang w:val="en-US" w:eastAsia="zh-CN"/>
        </w:rPr>
        <w:t>单位</w:t>
      </w:r>
      <w:r>
        <w:rPr>
          <w:rFonts w:hint="eastAsia" w:ascii="仿宋" w:hAnsi="仿宋" w:eastAsia="仿宋" w:cs="仿宋"/>
        </w:rPr>
        <w:t>2020年</w:t>
      </w:r>
      <w:r>
        <w:rPr>
          <w:rFonts w:hint="eastAsia" w:ascii="仿宋" w:hAnsi="仿宋" w:eastAsia="仿宋" w:cs="仿宋"/>
          <w:lang w:val="en-US" w:eastAsia="zh-CN"/>
        </w:rPr>
        <w:t>单位</w:t>
      </w:r>
      <w:r>
        <w:rPr>
          <w:rFonts w:hint="eastAsia" w:ascii="仿宋" w:hAnsi="仿宋" w:eastAsia="仿宋" w:cs="仿宋"/>
        </w:rPr>
        <w:t>汇总决算编制范围的预算单位共计</w:t>
      </w:r>
      <w:r>
        <w:rPr>
          <w:rFonts w:ascii="仿宋" w:hAnsi="仿宋" w:eastAsia="仿宋" w:cs="仿宋"/>
        </w:rPr>
        <w:t>1</w:t>
      </w:r>
      <w:r>
        <w:rPr>
          <w:rFonts w:hint="eastAsia" w:ascii="仿宋" w:hAnsi="仿宋" w:eastAsia="仿宋" w:cs="仿宋"/>
        </w:rPr>
        <w:t>家，具体包括：</w:t>
      </w:r>
      <w:r>
        <w:rPr>
          <w:rFonts w:ascii="仿宋" w:hAnsi="仿宋" w:eastAsia="仿宋" w:cs="仿宋"/>
        </w:rPr>
        <w:t>省社会捐助服务中心。</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三、2020年度主要工作完成情况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（一）疫情防控大考面前，勇于担当作为，交出一份合格答卷新冠肺炎疫情发生后，支部全体党员闻令而动，</w:t>
      </w:r>
      <w:bookmarkStart w:id="0" w:name="_GoBack"/>
      <w:bookmarkEnd w:id="0"/>
      <w:r>
        <w:rPr>
          <w:rFonts w:ascii="仿宋" w:hAnsi="仿宋" w:eastAsia="仿宋" w:cs="仿宋"/>
        </w:rPr>
        <w:t>坚守岗位，履职尽责，立即起草了网络募捐方案报省民政厅备案，2月24日20时开通了慈善网络募捐平台。通知全省各级捐助机构和慈善组织建立应急机制，确保上下贯通、工作规范、有序运作、提高效率。在做好接受社会捐赠的同时，本支部还组织全体党员及工作人员积极开展募捐，共收到捐款9400元，用实际行动践行慈善人初心使命和大爱情怀。省社会捐助服务中心接收社会捐款75.87万元，按照厅疫情防控工作领导小组要求，统一转赠给省慈善总会，全部用于疫情防控工作。所有捐赠款物支出，严格落实“三重一大”制度，集体研究后拿出支出方案，分别向省民政厅、省疫情防控领导小组报备。</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二）慈善救助面前，树立为民情怀，在解民忧、办实事上持续发力积极探索社会救助与慈善救助政策上有机衔接，以精准扶贫、慈善捐助为主线，组织开展“疫情防控”、“第二届江苏慈善论坛”、“情暖江苏”、“帮特困、助急难，防返贫再保险”以及“让善汇流、为家充电”为主题的贫困家庭慈善救助“家电包”等大项慈善活动，中心先后筹集资金110万元进行项目资助。注重理论学习和实践思考，撰写的《疫情面前亮身份，党建引领勇担当》、《“大考”之余抓好“大促”》、《慈善组织应对突发事件的启示》、《坚持系统观念，推动慈善事业高质量发展》等十多篇文章，在《新华日报》、《慈善公益报》、《江苏民政》等报刊杂志登载。</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三）全省低保家庭经济状况认定指导中心工作省级初步建立了以金融资产信息查询为重点的大数据核对平台，组织开展全省经济状况核对工作。省级平台对接16大项121个数据子项，包括“银行存款总额、房屋坐落面积、车辆种类号牌、企业投资人认缴出资额”等数据，基本实现“车子、房子、票子”全覆盖，全面构建“纵向到底、横向到边”的省、市、县3级联动核对体系。在部省对接上，省中心通过国家电子政务外网对接民政部认定中心，开展与中国证券登记结算有限公司的联网工作，省级核对平台实现了与部核对系统包括证券信息在内的各项数据的交换。在部门对接上，省民政厅与省法院、省扶贫办、省公安厅、省司法厅、省人社厅、省国土厅、省工商局、省地税局、省国税局、省总工会等10个省级部门签订《信息共享查询合作协议书》，实现联网数据交换。在银行对接上，省级核对平台与47家商业银行全部签订合作协议，其中与43家省级商业银行成功联网，正常开展数据查询等业务。在省市对接上，省级与13个设区市核对系统实现联网对接和数据交换。</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平台建成以来，组织开展在保对象以及新申请对象核对工作。在保对象核对方面，2018-2020年，连续3年对全省156.24万户次、331.1万人次在册低保对象及赡抚养人的“房子、车子、票子”等数据进行全量在线核对，全面核实清理存疑对象，提高低保对象精准率。新申请对象核对方面，按照“逢进必核、动态常核”的要求，为民政、扶贫、住建、教育、医保、总工会等救助管理部门开展核对服务，共完成核对219.26万户次、474.92万人次，覆盖低保、特困人员供养、扶贫建档立卡、住房救助、医疗救助、困难职工、慈善救助等16个救助类别。</w:t>
      </w:r>
    </w:p>
    <w:p>
      <w:pPr>
        <w:pStyle w:val="8"/>
        <w:spacing w:line="235" w:lineRule="auto"/>
        <w:ind w:left="669" w:leftChars="300" w:right="2414" w:hanging="9" w:firstLineChars="0"/>
        <w:jc w:val="both"/>
        <w:rPr>
          <w:rFonts w:hint="eastAsia" w:ascii="仿宋" w:hAnsi="仿宋" w:eastAsia="仿宋" w:cs="仿宋"/>
        </w:rPr>
        <w:sectPr>
          <w:footerReference r:id="rId6" w:type="default"/>
          <w:pgSz w:w="11906" w:h="16838"/>
          <w:pgMar w:top="1580" w:right="700" w:bottom="770" w:left="1020" w:header="283"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rPr>
        <w:t>第二部分</w:t>
      </w: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u w:val="none"/>
        </w:rPr>
        <w:t>江苏省社会捐助服务中心</w:t>
      </w: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rPr>
        <w:t>2020年度</w:t>
      </w:r>
    </w:p>
    <w:p>
      <w:pPr>
        <w:pStyle w:val="21"/>
        <w:widowControl w:val="0"/>
        <w:tabs>
          <w:tab w:val="left" w:pos="1609"/>
        </w:tabs>
        <w:suppressAutoHyphens/>
        <w:bidi w:val="0"/>
        <w:spacing w:before="12" w:after="0" w:line="300" w:lineRule="auto"/>
        <w:ind w:left="340" w:right="567" w:firstLine="0"/>
        <w:jc w:val="center"/>
        <w:rPr>
          <w:rFonts w:ascii="宋体" w:hAnsi="宋体" w:eastAsia="宋体" w:cs="仿宋"/>
          <w:b/>
          <w:bCs/>
          <w:sz w:val="44"/>
          <w:szCs w:val="44"/>
        </w:rPr>
      </w:pPr>
      <w:r>
        <w:rPr>
          <w:rFonts w:hint="eastAsia" w:ascii="仿宋" w:hAnsi="仿宋" w:eastAsia="仿宋" w:cs="仿宋"/>
          <w:b/>
          <w:bCs/>
          <w:sz w:val="44"/>
          <w:szCs w:val="44"/>
          <w:lang w:val="en-US" w:eastAsia="zh-CN"/>
        </w:rPr>
        <w:t>单位</w:t>
      </w:r>
      <w:r>
        <w:rPr>
          <w:rFonts w:ascii="仿宋" w:hAnsi="仿宋" w:eastAsia="仿宋" w:cs="仿宋"/>
          <w:b/>
          <w:sz w:val="44"/>
        </w:rPr>
        <w:t>决算表</w:t>
      </w:r>
    </w:p>
    <w:tbl>
      <w:tblPr>
        <w:tblStyle w:val="13"/>
        <w:tblW w:w="11331" w:type="dxa"/>
        <w:jc w:val="center"/>
        <w:tblInd w:w="0" w:type="dxa"/>
        <w:tblLayout w:type="fixed"/>
        <w:tblCellMar>
          <w:top w:w="0" w:type="dxa"/>
          <w:left w:w="108" w:type="dxa"/>
          <w:bottom w:w="0" w:type="dxa"/>
          <w:right w:w="108" w:type="dxa"/>
        </w:tblCellMar>
      </w:tblPr>
      <w:tblGrid>
        <w:gridCol w:w="3908"/>
        <w:gridCol w:w="1869"/>
        <w:gridCol w:w="3704"/>
        <w:gridCol w:w="67"/>
        <w:gridCol w:w="1781"/>
        <w:gridCol w:w="2"/>
      </w:tblGrid>
      <w:tr>
        <w:tblPrEx>
          <w:tblLayout w:type="fixed"/>
          <w:tblCellMar>
            <w:top w:w="0" w:type="dxa"/>
            <w:left w:w="108" w:type="dxa"/>
            <w:bottom w:w="0" w:type="dxa"/>
            <w:right w:w="108" w:type="dxa"/>
          </w:tblCellMar>
        </w:tblPrEx>
        <w:trPr>
          <w:trHeight w:val="544" w:hRule="atLeast"/>
          <w:jc w:val="center"/>
        </w:trPr>
        <w:tc>
          <w:tcPr>
            <w:tcW w:w="11329" w:type="dxa"/>
            <w:gridSpan w:val="5"/>
          </w:tcPr>
          <w:p>
            <w:pPr>
              <w:pageBreakBefore/>
              <w:widowControl w:val="0"/>
              <w:ind w:left="0" w:right="0" w:firstLine="0"/>
              <w:jc w:val="center"/>
              <w:textAlignment w:val="auto"/>
              <w:rPr>
                <w:rFonts w:hint="eastAsia" w:ascii="仿宋" w:hAnsi="仿宋" w:eastAsia="仿宋" w:cs="仿宋"/>
                <w:b/>
                <w:bCs/>
                <w:color w:val="000000"/>
              </w:rPr>
            </w:pPr>
            <w:r>
              <w:rPr>
                <w:rFonts w:hint="eastAsia" w:ascii="仿宋" w:hAnsi="仿宋" w:eastAsia="仿宋" w:cs="仿宋"/>
                <w:b/>
                <w:bCs/>
                <w:color w:val="000000"/>
                <w:sz w:val="44"/>
                <w:szCs w:val="44"/>
                <w:lang w:eastAsia="ar-SA"/>
              </w:rPr>
              <w:t>收入支出决算总表</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8" w:hRule="atLeast"/>
          <w:jc w:val="center"/>
        </w:trPr>
        <w:tc>
          <w:tcPr>
            <w:tcW w:w="3908" w:type="dxa"/>
          </w:tcPr>
          <w:p>
            <w:pPr>
              <w:widowControl w:val="0"/>
              <w:ind w:left="0" w:right="0" w:firstLine="0"/>
              <w:jc w:val="left"/>
              <w:textAlignment w:val="auto"/>
              <w:rPr>
                <w:rFonts w:hint="eastAsia" w:ascii="仿宋" w:hAnsi="仿宋" w:eastAsia="仿宋" w:cs="仿宋"/>
                <w:color w:val="000000"/>
                <w:sz w:val="20"/>
              </w:rPr>
            </w:pPr>
          </w:p>
        </w:tc>
        <w:tc>
          <w:tcPr>
            <w:tcW w:w="1869" w:type="dxa"/>
          </w:tcPr>
          <w:p>
            <w:pPr>
              <w:widowControl w:val="0"/>
              <w:ind w:left="0" w:right="0" w:firstLine="0"/>
              <w:jc w:val="left"/>
              <w:textAlignment w:val="auto"/>
              <w:rPr>
                <w:rFonts w:hint="eastAsia" w:ascii="仿宋" w:hAnsi="仿宋" w:eastAsia="仿宋" w:cs="仿宋"/>
                <w:color w:val="000000"/>
                <w:sz w:val="20"/>
              </w:rPr>
            </w:pPr>
          </w:p>
        </w:tc>
        <w:tc>
          <w:tcPr>
            <w:tcW w:w="5552" w:type="dxa"/>
            <w:gridSpan w:val="3"/>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ar-SA"/>
              </w:rPr>
              <w:t>公开01表</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33" w:hRule="atLeast"/>
          <w:jc w:val="center"/>
        </w:trPr>
        <w:tc>
          <w:tcPr>
            <w:tcW w:w="9481" w:type="dxa"/>
            <w:gridSpan w:val="3"/>
            <w:tcBorders>
              <w:bottom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color w:val="000000"/>
                <w:sz w:val="22"/>
                <w:szCs w:val="22"/>
                <w:lang w:eastAsia="ar-SA"/>
              </w:rPr>
              <w:t>江苏省社会捐助服务中心</w:t>
            </w:r>
          </w:p>
        </w:tc>
        <w:tc>
          <w:tcPr>
            <w:tcW w:w="1848" w:type="dxa"/>
            <w:gridSpan w:val="2"/>
            <w:tcBorders>
              <w:bottom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rPr>
              <w:t>金额单位：万元</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450" w:hRule="atLeast"/>
          <w:jc w:val="center"/>
        </w:trPr>
        <w:tc>
          <w:tcPr>
            <w:tcW w:w="5777"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收入</w:t>
            </w:r>
          </w:p>
        </w:tc>
        <w:tc>
          <w:tcPr>
            <w:tcW w:w="5552" w:type="dxa"/>
            <w:gridSpan w:val="3"/>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支出</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9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ascii="仿宋" w:hAnsi="仿宋" w:eastAsia="仿宋" w:cs="仿宋"/>
                <w:color w:val="000000"/>
                <w:sz w:val="22"/>
              </w:rPr>
              <w:t>项目</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决算数</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按功能分类</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决算数</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一、一般公共预算财政拨款收入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228.11</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一、一般公共服务支出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二、政府性基金预算财政拨款收入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二、外交支出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三、国有资本经营预算财政拨款收入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三、国防支出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四、上级补助收入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四、公共安全支出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五、事业收入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五、教育支出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六、经营收入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六、科学技术支出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七、附属单位上缴收入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七、文化旅游体育与传媒支出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八、其他收入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91.80</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八、社会保障和就业支出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361.39</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九、卫生健康支出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十、节能环保支出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十一、城乡社区支出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十二、农林水支出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十三、交通运输支出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十四、资源勘探工业信息等支出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十五、商业服务业等支出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十六、金融支出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十七、援助其他地区支出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十八、自然资源海洋气象等支出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十九、住房保障支出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50.45</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二十、粮油物资储备支出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二十一、国有资本经营预算支出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二十二、灾害防治及应急管理支出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二十三、其他支出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二十四、债务还本支出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二十五、债务付息支出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二十六、抗疫特别国债安排的支出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454" w:hRule="exac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本年收入合计</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319.91</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ar-SA"/>
              </w:rPr>
              <w:t>本年支出合计</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411.84</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413"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使用非财政拨款结余</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结余分配</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413"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年初结转和结余</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1,254.98</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年末结转和结余</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1,163.05</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83" w:hRule="atLeast"/>
          <w:jc w:val="center"/>
        </w:trPr>
        <w:tc>
          <w:tcPr>
            <w:tcW w:w="3908"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1869"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3771" w:type="dxa"/>
            <w:gridSpan w:val="2"/>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1781"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cantSplit/>
          <w:trHeight w:val="454" w:hRule="exac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eastAsia="ar-SA"/>
              </w:rPr>
              <w:t>总计</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1,574.89</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eastAsia="ar-SA"/>
              </w:rPr>
              <w:t>总计</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1,574.89</w:t>
            </w:r>
          </w:p>
        </w:tc>
        <w:tc>
          <w:tcPr>
            <w:tcW w:w="2" w:type="dxa"/>
          </w:tcPr>
          <w:p>
            <w:pPr>
              <w:widowControl w:val="0"/>
              <w:jc w:val="left"/>
              <w:rPr>
                <w:rFonts w:hint="eastAsia" w:ascii="仿宋" w:hAnsi="仿宋" w:eastAsia="仿宋" w:cs="仿宋"/>
                <w:sz w:val="20"/>
              </w:rPr>
            </w:pPr>
          </w:p>
        </w:tc>
      </w:tr>
    </w:tbl>
    <w:p>
      <w:pPr>
        <w:widowControl w:val="0"/>
        <w:suppressAutoHyphens/>
        <w:bidi w:val="0"/>
        <w:spacing w:before="66" w:after="0"/>
        <w:ind w:left="-440" w:leftChars="-200" w:right="0" w:firstLine="0" w:firstLineChars="0"/>
        <w:jc w:val="left"/>
        <w:rPr>
          <w:rFonts w:hint="eastAsia"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注：1.本表金额转换为万元时，因四舍五入可能存在尾差。</w:t>
      </w:r>
    </w:p>
    <w:p>
      <w:pPr>
        <w:widowControl w:val="0"/>
        <w:suppressAutoHyphens/>
        <w:bidi w:val="0"/>
        <w:spacing w:before="66" w:after="0"/>
        <w:ind w:right="0"/>
        <w:jc w:val="left"/>
        <w:rPr>
          <w:rFonts w:hint="eastAsia" w:ascii="仿宋" w:hAnsi="仿宋" w:eastAsia="仿宋" w:cs="仿宋"/>
          <w:b/>
          <w:bCs/>
          <w:color w:val="000000"/>
          <w:sz w:val="22"/>
          <w:szCs w:val="22"/>
        </w:rPr>
        <w:sectPr>
          <w:footerReference r:id="rId7" w:type="default"/>
          <w:pgSz w:w="11906" w:h="16838"/>
          <w:pgMar w:top="1580" w:right="700" w:bottom="770" w:left="10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6121" w:type="dxa"/>
        <w:jc w:val="center"/>
        <w:tblInd w:w="0" w:type="dxa"/>
        <w:tblLayout w:type="fixed"/>
        <w:tblCellMar>
          <w:top w:w="0" w:type="dxa"/>
          <w:left w:w="108" w:type="dxa"/>
          <w:bottom w:w="0" w:type="dxa"/>
          <w:right w:w="108" w:type="dxa"/>
        </w:tblCellMar>
      </w:tblPr>
      <w:tblGrid>
        <w:gridCol w:w="1599"/>
        <w:gridCol w:w="2236"/>
        <w:gridCol w:w="1680"/>
        <w:gridCol w:w="1646"/>
        <w:gridCol w:w="1354"/>
        <w:gridCol w:w="1646"/>
        <w:gridCol w:w="1543"/>
        <w:gridCol w:w="1457"/>
        <w:gridCol w:w="1509"/>
        <w:gridCol w:w="1451"/>
      </w:tblGrid>
      <w:tr>
        <w:tblPrEx>
          <w:tblLayout w:type="fixed"/>
          <w:tblCellMar>
            <w:top w:w="0" w:type="dxa"/>
            <w:left w:w="108" w:type="dxa"/>
            <w:bottom w:w="0" w:type="dxa"/>
            <w:right w:w="108" w:type="dxa"/>
          </w:tblCellMar>
        </w:tblPrEx>
        <w:trPr>
          <w:trHeight w:val="627" w:hRule="atLeast"/>
          <w:jc w:val="center"/>
        </w:trPr>
        <w:tc>
          <w:tcPr>
            <w:tcW w:w="16121" w:type="dxa"/>
            <w:gridSpan w:val="10"/>
            <w:vAlign w:val="center"/>
          </w:tcPr>
          <w:p>
            <w:pPr>
              <w:pStyle w:val="5"/>
              <w:widowControl w:val="0"/>
              <w:rPr>
                <w:rFonts w:hint="eastAsia" w:ascii="仿宋" w:hAnsi="仿宋" w:eastAsia="仿宋" w:cs="仿宋"/>
                <w:b/>
                <w:bCs/>
                <w:sz w:val="44"/>
                <w:szCs w:val="44"/>
                <w:lang w:val="en-US" w:eastAsia="zh-CN"/>
              </w:rPr>
            </w:pPr>
            <w:r>
              <w:rPr>
                <w:rFonts w:hint="eastAsia" w:ascii="仿宋" w:hAnsi="仿宋" w:eastAsia="仿宋" w:cs="仿宋"/>
                <w:b/>
                <w:bCs/>
                <w:sz w:val="44"/>
                <w:szCs w:val="44"/>
              </w:rPr>
              <w:t>收入决算表</w:t>
            </w:r>
          </w:p>
        </w:tc>
      </w:tr>
      <w:tr>
        <w:tblPrEx>
          <w:tblLayout w:type="fixed"/>
          <w:tblCellMar>
            <w:top w:w="0" w:type="dxa"/>
            <w:left w:w="108" w:type="dxa"/>
            <w:bottom w:w="0" w:type="dxa"/>
            <w:right w:w="108" w:type="dxa"/>
          </w:tblCellMar>
        </w:tblPrEx>
        <w:trPr>
          <w:trHeight w:val="314" w:hRule="atLeast"/>
          <w:jc w:val="center"/>
        </w:trPr>
        <w:tc>
          <w:tcPr>
            <w:tcW w:w="3835" w:type="dxa"/>
            <w:gridSpan w:val="2"/>
            <w:vAlign w:val="center"/>
          </w:tcPr>
          <w:p>
            <w:pPr>
              <w:pStyle w:val="22"/>
              <w:widowControl w:val="0"/>
              <w:jc w:val="center"/>
              <w:rPr>
                <w:rFonts w:hint="eastAsia" w:ascii="仿宋" w:hAnsi="仿宋" w:eastAsia="仿宋" w:cs="仿宋"/>
              </w:rPr>
            </w:pPr>
          </w:p>
        </w:tc>
        <w:tc>
          <w:tcPr>
            <w:tcW w:w="1680" w:type="dxa"/>
            <w:vAlign w:val="center"/>
          </w:tcPr>
          <w:p>
            <w:pPr>
              <w:pStyle w:val="22"/>
              <w:widowControl w:val="0"/>
              <w:jc w:val="center"/>
              <w:rPr>
                <w:rFonts w:hint="eastAsia" w:ascii="仿宋" w:hAnsi="仿宋" w:eastAsia="仿宋" w:cs="仿宋"/>
              </w:rPr>
            </w:pPr>
          </w:p>
        </w:tc>
        <w:tc>
          <w:tcPr>
            <w:tcW w:w="1646" w:type="dxa"/>
            <w:vAlign w:val="center"/>
          </w:tcPr>
          <w:p>
            <w:pPr>
              <w:pStyle w:val="22"/>
              <w:widowControl w:val="0"/>
              <w:jc w:val="center"/>
              <w:rPr>
                <w:rFonts w:hint="eastAsia" w:ascii="仿宋" w:hAnsi="仿宋" w:eastAsia="仿宋" w:cs="仿宋"/>
              </w:rPr>
            </w:pPr>
          </w:p>
        </w:tc>
        <w:tc>
          <w:tcPr>
            <w:tcW w:w="1354" w:type="dxa"/>
            <w:vAlign w:val="center"/>
          </w:tcPr>
          <w:p>
            <w:pPr>
              <w:pStyle w:val="22"/>
              <w:widowControl w:val="0"/>
              <w:jc w:val="center"/>
              <w:rPr>
                <w:rFonts w:hint="eastAsia" w:ascii="仿宋" w:hAnsi="仿宋" w:eastAsia="仿宋" w:cs="仿宋"/>
              </w:rPr>
            </w:pPr>
          </w:p>
        </w:tc>
        <w:tc>
          <w:tcPr>
            <w:tcW w:w="3189" w:type="dxa"/>
            <w:gridSpan w:val="2"/>
            <w:vAlign w:val="center"/>
          </w:tcPr>
          <w:p>
            <w:pPr>
              <w:pStyle w:val="22"/>
              <w:widowControl w:val="0"/>
              <w:jc w:val="center"/>
              <w:rPr>
                <w:rFonts w:hint="eastAsia" w:ascii="仿宋" w:hAnsi="仿宋" w:eastAsia="仿宋" w:cs="仿宋"/>
              </w:rPr>
            </w:pPr>
          </w:p>
        </w:tc>
        <w:tc>
          <w:tcPr>
            <w:tcW w:w="1457" w:type="dxa"/>
            <w:vAlign w:val="center"/>
          </w:tcPr>
          <w:p>
            <w:pPr>
              <w:pStyle w:val="22"/>
              <w:widowControl w:val="0"/>
              <w:jc w:val="center"/>
              <w:rPr>
                <w:rFonts w:hint="eastAsia" w:ascii="仿宋" w:hAnsi="仿宋" w:eastAsia="仿宋" w:cs="仿宋"/>
              </w:rPr>
            </w:pPr>
          </w:p>
        </w:tc>
        <w:tc>
          <w:tcPr>
            <w:tcW w:w="2960"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公开02表</w:t>
            </w:r>
          </w:p>
        </w:tc>
      </w:tr>
      <w:tr>
        <w:tblPrEx>
          <w:tblLayout w:type="fixed"/>
          <w:tblCellMar>
            <w:top w:w="0" w:type="dxa"/>
            <w:left w:w="108" w:type="dxa"/>
            <w:bottom w:w="0" w:type="dxa"/>
            <w:right w:w="108" w:type="dxa"/>
          </w:tblCellMar>
        </w:tblPrEx>
        <w:trPr>
          <w:trHeight w:val="376" w:hRule="atLeast"/>
          <w:jc w:val="center"/>
        </w:trPr>
        <w:tc>
          <w:tcPr>
            <w:tcW w:w="13161" w:type="dxa"/>
            <w:gridSpan w:val="8"/>
            <w:vAlign w:val="center"/>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江苏省社会捐助服务中心</w:t>
            </w:r>
          </w:p>
        </w:tc>
        <w:tc>
          <w:tcPr>
            <w:tcW w:w="2960"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金额单位：万元</w:t>
            </w:r>
          </w:p>
        </w:tc>
      </w:tr>
      <w:tr>
        <w:tblPrEx>
          <w:tblLayout w:type="fixed"/>
          <w:tblCellMar>
            <w:top w:w="0" w:type="dxa"/>
            <w:left w:w="108" w:type="dxa"/>
            <w:bottom w:w="0" w:type="dxa"/>
            <w:right w:w="108" w:type="dxa"/>
          </w:tblCellMar>
        </w:tblPrEx>
        <w:trPr>
          <w:cantSplit/>
          <w:trHeight w:val="312" w:hRule="atLeast"/>
          <w:jc w:val="center"/>
        </w:trPr>
        <w:tc>
          <w:tcPr>
            <w:tcW w:w="3835"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w:t>
            </w:r>
          </w:p>
        </w:tc>
        <w:tc>
          <w:tcPr>
            <w:tcW w:w="1680"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本年收入合计</w:t>
            </w:r>
          </w:p>
        </w:tc>
        <w:tc>
          <w:tcPr>
            <w:tcW w:w="1646"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财政拨款收入</w:t>
            </w:r>
          </w:p>
        </w:tc>
        <w:tc>
          <w:tcPr>
            <w:tcW w:w="1354"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上级补助收入</w:t>
            </w:r>
          </w:p>
        </w:tc>
        <w:tc>
          <w:tcPr>
            <w:tcW w:w="3189"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事业收入</w:t>
            </w:r>
          </w:p>
        </w:tc>
        <w:tc>
          <w:tcPr>
            <w:tcW w:w="1457"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经营收入</w:t>
            </w:r>
          </w:p>
        </w:tc>
        <w:tc>
          <w:tcPr>
            <w:tcW w:w="1509"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附属单位上缴收入</w:t>
            </w:r>
          </w:p>
        </w:tc>
        <w:tc>
          <w:tcPr>
            <w:tcW w:w="1451"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其他收入</w:t>
            </w:r>
          </w:p>
        </w:tc>
      </w:tr>
      <w:tr>
        <w:tblPrEx>
          <w:tblLayout w:type="fixed"/>
          <w:tblCellMar>
            <w:top w:w="0" w:type="dxa"/>
            <w:left w:w="108" w:type="dxa"/>
            <w:bottom w:w="0" w:type="dxa"/>
            <w:right w:w="108" w:type="dxa"/>
          </w:tblCellMar>
        </w:tblPrEx>
        <w:trPr>
          <w:cantSplit/>
          <w:trHeight w:val="935" w:hRule="atLeast"/>
          <w:jc w:val="center"/>
        </w:trPr>
        <w:tc>
          <w:tcPr>
            <w:tcW w:w="159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w:t>
            </w:r>
          </w:p>
          <w:p>
            <w:pPr>
              <w:pStyle w:val="22"/>
              <w:widowControl w:val="0"/>
              <w:jc w:val="center"/>
              <w:rPr>
                <w:rFonts w:hint="eastAsia" w:ascii="仿宋" w:hAnsi="仿宋" w:eastAsia="仿宋" w:cs="仿宋"/>
              </w:rPr>
            </w:pPr>
            <w:r>
              <w:rPr>
                <w:rFonts w:hint="eastAsia" w:ascii="仿宋" w:hAnsi="仿宋" w:eastAsia="仿宋" w:cs="仿宋"/>
              </w:rPr>
              <w:t>科目编码</w:t>
            </w:r>
          </w:p>
        </w:tc>
        <w:tc>
          <w:tcPr>
            <w:tcW w:w="223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1680"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646"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354"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6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小计</w:t>
            </w:r>
          </w:p>
        </w:tc>
        <w:tc>
          <w:tcPr>
            <w:tcW w:w="1543"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其中：教育收费</w:t>
            </w:r>
          </w:p>
        </w:tc>
        <w:tc>
          <w:tcPr>
            <w:tcW w:w="1457"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509"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451"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32" w:hRule="exact"/>
          <w:jc w:val="center"/>
        </w:trPr>
        <w:tc>
          <w:tcPr>
            <w:tcW w:w="3835"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合计</w:t>
            </w:r>
          </w:p>
        </w:tc>
        <w:tc>
          <w:tcPr>
            <w:tcW w:w="168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319.91</w:t>
            </w:r>
          </w:p>
        </w:tc>
        <w:tc>
          <w:tcPr>
            <w:tcW w:w="1646"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228.11</w:t>
            </w:r>
          </w:p>
        </w:tc>
        <w:tc>
          <w:tcPr>
            <w:tcW w:w="135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543"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457"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509"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451"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91.80</w:t>
            </w: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社会保障和就业支出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269.46</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177.66</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91.80</w:t>
            </w: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20802</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民政管理事务</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16.83</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16.83</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2080201</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行政运行</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16.83</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16.83</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20805</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行政事业单位养老支出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18.57</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18.57</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2080505</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机关事业单位基本养老保险缴费支出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12.38</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12.38</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2080506</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机关事业单位职业年金缴费支出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6.19</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6.19</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20899</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其他社会保障和就业支出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234.06</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142.26</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91.80</w:t>
            </w: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2089901</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其他社会保障和就业支出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234.06</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142.26</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91.80</w:t>
            </w: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221</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住房保障支出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50.45</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50.45</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22102</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住房改革支出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50.45</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50.45</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2210201</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住房公积金</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15.94</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15.94</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2210202</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提租补贴</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34.51</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34.51</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widowControl w:val="0"/>
        <w:suppressAutoHyphens/>
        <w:bidi w:val="0"/>
        <w:spacing w:before="66" w:after="0"/>
        <w:ind w:left="-220" w:leftChars="0" w:right="0" w:firstLine="0" w:firstLineChars="0"/>
        <w:jc w:val="left"/>
        <w:rPr>
          <w:rFonts w:hint="eastAsia" w:ascii="仿宋" w:hAnsi="仿宋" w:eastAsia="仿宋" w:cs="仿宋"/>
          <w:b/>
          <w:bCs/>
          <w:sz w:val="22"/>
          <w:szCs w:val="22"/>
        </w:rPr>
      </w:pPr>
      <w:r>
        <w:rPr>
          <w:rFonts w:hint="eastAsia" w:ascii="仿宋" w:hAnsi="仿宋" w:eastAsia="仿宋" w:cs="仿宋"/>
          <w:b/>
          <w:bCs/>
          <w:color w:val="000000"/>
          <w:sz w:val="22"/>
          <w:szCs w:val="22"/>
        </w:rPr>
        <w:t>注：</w:t>
      </w:r>
      <w:r>
        <w:rPr>
          <w:rFonts w:hint="eastAsia" w:ascii="仿宋" w:hAnsi="仿宋" w:eastAsia="仿宋" w:cs="仿宋"/>
          <w:b/>
          <w:bCs/>
          <w:color w:val="000000"/>
          <w:sz w:val="22"/>
          <w:szCs w:val="22"/>
          <w:lang w:val="en-US" w:eastAsia="zh-CN"/>
        </w:rPr>
        <w:t>1.</w:t>
      </w:r>
      <w:r>
        <w:rPr>
          <w:rFonts w:hint="eastAsia" w:ascii="仿宋" w:hAnsi="仿宋" w:eastAsia="仿宋" w:cs="仿宋"/>
          <w:b/>
          <w:bCs/>
          <w:sz w:val="22"/>
          <w:szCs w:val="22"/>
        </w:rPr>
        <w:t>本表金额转换为万元时，因四舍五入可能存在尾差。</w:t>
      </w:r>
    </w:p>
    <w:p>
      <w:pPr>
        <w:widowControl w:val="0"/>
        <w:suppressAutoHyphens/>
        <w:bidi w:val="0"/>
        <w:spacing w:before="66" w:after="0"/>
        <w:ind w:left="57" w:right="0" w:firstLine="221" w:firstLineChars="100"/>
        <w:jc w:val="left"/>
        <w:rPr>
          <w:rFonts w:hint="eastAsia" w:ascii="仿宋" w:hAnsi="仿宋" w:eastAsia="仿宋" w:cs="仿宋"/>
          <w:b/>
          <w:bCs/>
          <w:sz w:val="22"/>
          <w:szCs w:val="22"/>
        </w:rPr>
        <w:sectPr>
          <w:footerReference r:id="rId8" w:type="default"/>
          <w:pgSz w:w="16838" w:h="11906" w:orient="landscape"/>
          <w:pgMar w:top="720" w:right="720" w:bottom="720" w:left="50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347" w:type="dxa"/>
        <w:tblInd w:w="96" w:type="dxa"/>
        <w:tblLayout w:type="fixed"/>
        <w:tblCellMar>
          <w:top w:w="55" w:type="dxa"/>
          <w:left w:w="55" w:type="dxa"/>
          <w:bottom w:w="55" w:type="dxa"/>
          <w:right w:w="55" w:type="dxa"/>
        </w:tblCellMar>
      </w:tblPr>
      <w:tblGrid>
        <w:gridCol w:w="1556"/>
        <w:gridCol w:w="3223"/>
        <w:gridCol w:w="1920"/>
        <w:gridCol w:w="1714"/>
        <w:gridCol w:w="1749"/>
        <w:gridCol w:w="1868"/>
        <w:gridCol w:w="1680"/>
        <w:gridCol w:w="1637"/>
      </w:tblGrid>
      <w:tr>
        <w:tblPrEx>
          <w:tblLayout w:type="fixed"/>
          <w:tblCellMar>
            <w:top w:w="55" w:type="dxa"/>
            <w:left w:w="55" w:type="dxa"/>
            <w:bottom w:w="55" w:type="dxa"/>
            <w:right w:w="55" w:type="dxa"/>
          </w:tblCellMar>
        </w:tblPrEx>
        <w:trPr>
          <w:trHeight w:val="341" w:hRule="atLeast"/>
        </w:trPr>
        <w:tc>
          <w:tcPr>
            <w:tcW w:w="15347" w:type="dxa"/>
            <w:gridSpan w:val="8"/>
            <w:vAlign w:val="center"/>
          </w:tcPr>
          <w:p>
            <w:pPr>
              <w:pStyle w:val="5"/>
              <w:widowControl w:val="0"/>
              <w:rPr>
                <w:rFonts w:hint="eastAsia" w:ascii="仿宋" w:hAnsi="仿宋" w:eastAsia="仿宋" w:cs="仿宋"/>
                <w:b/>
                <w:bCs/>
                <w:sz w:val="44"/>
                <w:szCs w:val="44"/>
              </w:rPr>
            </w:pPr>
            <w:r>
              <w:rPr>
                <w:rFonts w:hint="eastAsia" w:ascii="仿宋" w:hAnsi="仿宋" w:eastAsia="仿宋" w:cs="仿宋"/>
                <w:b/>
                <w:bCs/>
                <w:sz w:val="44"/>
                <w:szCs w:val="44"/>
              </w:rPr>
              <w:t>支出决算表</w:t>
            </w:r>
          </w:p>
        </w:tc>
      </w:tr>
      <w:tr>
        <w:tblPrEx>
          <w:tblLayout w:type="fixed"/>
          <w:tblCellMar>
            <w:top w:w="55" w:type="dxa"/>
            <w:left w:w="55" w:type="dxa"/>
            <w:bottom w:w="55" w:type="dxa"/>
            <w:right w:w="55" w:type="dxa"/>
          </w:tblCellMar>
        </w:tblPrEx>
        <w:trPr>
          <w:trHeight w:val="321" w:hRule="atLeast"/>
        </w:trPr>
        <w:tc>
          <w:tcPr>
            <w:tcW w:w="4779" w:type="dxa"/>
            <w:gridSpan w:val="2"/>
            <w:vAlign w:val="center"/>
          </w:tcPr>
          <w:p>
            <w:pPr>
              <w:pStyle w:val="22"/>
              <w:widowControl w:val="0"/>
              <w:jc w:val="center"/>
              <w:rPr>
                <w:rFonts w:hint="eastAsia" w:ascii="仿宋" w:hAnsi="仿宋" w:eastAsia="仿宋" w:cs="仿宋"/>
              </w:rPr>
            </w:pPr>
          </w:p>
        </w:tc>
        <w:tc>
          <w:tcPr>
            <w:tcW w:w="1920" w:type="dxa"/>
            <w:vAlign w:val="center"/>
          </w:tcPr>
          <w:p>
            <w:pPr>
              <w:pStyle w:val="22"/>
              <w:widowControl w:val="0"/>
              <w:spacing w:before="0" w:after="0"/>
              <w:ind w:firstLine="0"/>
              <w:jc w:val="center"/>
              <w:rPr>
                <w:rFonts w:hint="eastAsia" w:ascii="仿宋" w:hAnsi="仿宋" w:eastAsia="仿宋" w:cs="仿宋"/>
                <w:sz w:val="20"/>
              </w:rPr>
            </w:pPr>
          </w:p>
        </w:tc>
        <w:tc>
          <w:tcPr>
            <w:tcW w:w="1714" w:type="dxa"/>
            <w:vAlign w:val="center"/>
          </w:tcPr>
          <w:p>
            <w:pPr>
              <w:pStyle w:val="22"/>
              <w:widowControl w:val="0"/>
              <w:spacing w:before="0" w:after="0"/>
              <w:ind w:firstLine="0"/>
              <w:jc w:val="center"/>
              <w:rPr>
                <w:rFonts w:hint="eastAsia" w:ascii="仿宋" w:hAnsi="仿宋" w:eastAsia="仿宋" w:cs="仿宋"/>
                <w:sz w:val="20"/>
              </w:rPr>
            </w:pPr>
          </w:p>
        </w:tc>
        <w:tc>
          <w:tcPr>
            <w:tcW w:w="1749" w:type="dxa"/>
            <w:vAlign w:val="center"/>
          </w:tcPr>
          <w:p>
            <w:pPr>
              <w:pStyle w:val="22"/>
              <w:widowControl w:val="0"/>
              <w:spacing w:before="0" w:after="0"/>
              <w:ind w:firstLine="0"/>
              <w:jc w:val="center"/>
              <w:rPr>
                <w:rFonts w:hint="eastAsia" w:ascii="仿宋" w:hAnsi="仿宋" w:eastAsia="仿宋" w:cs="仿宋"/>
                <w:sz w:val="20"/>
              </w:rPr>
            </w:pPr>
          </w:p>
        </w:tc>
        <w:tc>
          <w:tcPr>
            <w:tcW w:w="1868" w:type="dxa"/>
            <w:vAlign w:val="center"/>
          </w:tcPr>
          <w:p>
            <w:pPr>
              <w:pStyle w:val="22"/>
              <w:widowControl w:val="0"/>
              <w:spacing w:before="0" w:after="0"/>
              <w:ind w:firstLine="0"/>
              <w:jc w:val="center"/>
              <w:rPr>
                <w:rFonts w:hint="eastAsia" w:ascii="仿宋" w:hAnsi="仿宋" w:eastAsia="仿宋" w:cs="仿宋"/>
                <w:sz w:val="20"/>
              </w:rPr>
            </w:pPr>
          </w:p>
        </w:tc>
        <w:tc>
          <w:tcPr>
            <w:tcW w:w="3317" w:type="dxa"/>
            <w:gridSpan w:val="2"/>
            <w:vAlign w:val="center"/>
          </w:tcPr>
          <w:p>
            <w:pPr>
              <w:pStyle w:val="22"/>
              <w:widowControl w:val="0"/>
              <w:spacing w:before="0" w:after="0"/>
              <w:ind w:firstLine="0"/>
              <w:jc w:val="right"/>
              <w:rPr>
                <w:rFonts w:hint="eastAsia" w:ascii="仿宋" w:hAnsi="仿宋" w:eastAsia="仿宋" w:cs="仿宋"/>
                <w:sz w:val="22"/>
                <w:szCs w:val="22"/>
              </w:rPr>
            </w:pPr>
            <w:r>
              <w:rPr>
                <w:rFonts w:hint="eastAsia" w:ascii="仿宋" w:hAnsi="仿宋" w:eastAsia="仿宋" w:cs="仿宋"/>
                <w:sz w:val="22"/>
                <w:szCs w:val="22"/>
              </w:rPr>
              <w:t>公开03表</w:t>
            </w:r>
          </w:p>
        </w:tc>
      </w:tr>
      <w:tr>
        <w:tblPrEx>
          <w:tblLayout w:type="fixed"/>
          <w:tblCellMar>
            <w:top w:w="55" w:type="dxa"/>
            <w:left w:w="55" w:type="dxa"/>
            <w:bottom w:w="55" w:type="dxa"/>
            <w:right w:w="55" w:type="dxa"/>
          </w:tblCellMar>
        </w:tblPrEx>
        <w:trPr>
          <w:trHeight w:val="321" w:hRule="atLeast"/>
        </w:trPr>
        <w:tc>
          <w:tcPr>
            <w:tcW w:w="12030" w:type="dxa"/>
            <w:gridSpan w:val="6"/>
            <w:vAlign w:val="center"/>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江苏省社会捐助服务中心</w:t>
            </w:r>
          </w:p>
        </w:tc>
        <w:tc>
          <w:tcPr>
            <w:tcW w:w="3317" w:type="dxa"/>
            <w:gridSpan w:val="2"/>
            <w:vAlign w:val="center"/>
          </w:tcPr>
          <w:p>
            <w:pPr>
              <w:pStyle w:val="22"/>
              <w:widowControl w:val="0"/>
              <w:spacing w:before="0" w:after="0"/>
              <w:ind w:firstLine="0"/>
              <w:jc w:val="right"/>
              <w:rPr>
                <w:rFonts w:hint="eastAsia" w:ascii="仿宋" w:hAnsi="仿宋" w:eastAsia="仿宋" w:cs="仿宋"/>
                <w:sz w:val="22"/>
                <w:szCs w:val="22"/>
              </w:rPr>
            </w:pPr>
            <w:r>
              <w:rPr>
                <w:rFonts w:hint="eastAsia" w:ascii="仿宋" w:hAnsi="仿宋" w:eastAsia="仿宋" w:cs="仿宋"/>
                <w:sz w:val="22"/>
                <w:szCs w:val="22"/>
              </w:rPr>
              <w:t>金额单位：万元</w:t>
            </w:r>
          </w:p>
        </w:tc>
      </w:tr>
      <w:tr>
        <w:tblPrEx>
          <w:tblLayout w:type="fixed"/>
          <w:tblCellMar>
            <w:top w:w="55" w:type="dxa"/>
            <w:left w:w="55" w:type="dxa"/>
            <w:bottom w:w="55" w:type="dxa"/>
            <w:right w:w="55" w:type="dxa"/>
          </w:tblCellMar>
        </w:tblPrEx>
        <w:trPr>
          <w:trHeight w:val="321" w:hRule="atLeast"/>
        </w:trPr>
        <w:tc>
          <w:tcPr>
            <w:tcW w:w="4779"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kern w:val="0"/>
                <w:sz w:val="22"/>
                <w:szCs w:val="22"/>
              </w:rPr>
              <w:t>项目</w:t>
            </w:r>
          </w:p>
        </w:tc>
        <w:tc>
          <w:tcPr>
            <w:tcW w:w="1920"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本年支出合计</w:t>
            </w:r>
          </w:p>
        </w:tc>
        <w:tc>
          <w:tcPr>
            <w:tcW w:w="1714"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基本支出</w:t>
            </w:r>
          </w:p>
        </w:tc>
        <w:tc>
          <w:tcPr>
            <w:tcW w:w="1749"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项目支出</w:t>
            </w:r>
          </w:p>
        </w:tc>
        <w:tc>
          <w:tcPr>
            <w:tcW w:w="1868"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上缴上级支出</w:t>
            </w:r>
          </w:p>
        </w:tc>
        <w:tc>
          <w:tcPr>
            <w:tcW w:w="1680"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经营支出</w:t>
            </w:r>
          </w:p>
        </w:tc>
        <w:tc>
          <w:tcPr>
            <w:tcW w:w="1637"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对附属单位补助支出</w:t>
            </w:r>
          </w:p>
        </w:tc>
      </w:tr>
      <w:tr>
        <w:tblPrEx>
          <w:tblLayout w:type="fixed"/>
          <w:tblCellMar>
            <w:top w:w="55" w:type="dxa"/>
            <w:left w:w="55" w:type="dxa"/>
            <w:bottom w:w="55" w:type="dxa"/>
            <w:right w:w="55" w:type="dxa"/>
          </w:tblCellMar>
        </w:tblPrEx>
        <w:trPr>
          <w:trHeight w:val="640" w:hRule="atLeast"/>
        </w:trPr>
        <w:tc>
          <w:tcPr>
            <w:tcW w:w="1556" w:type="dxa"/>
            <w:tcBorders>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kern w:val="0"/>
                <w:sz w:val="22"/>
                <w:szCs w:val="22"/>
              </w:rPr>
            </w:pPr>
            <w:r>
              <w:rPr>
                <w:rFonts w:hint="eastAsia" w:ascii="仿宋" w:hAnsi="仿宋" w:eastAsia="仿宋" w:cs="仿宋"/>
                <w:kern w:val="0"/>
                <w:sz w:val="22"/>
                <w:szCs w:val="22"/>
              </w:rPr>
              <w:t>功能分类</w:t>
            </w:r>
          </w:p>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科目编码</w:t>
            </w:r>
          </w:p>
        </w:tc>
        <w:tc>
          <w:tcPr>
            <w:tcW w:w="3223" w:type="dxa"/>
            <w:tcBorders>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科目名称</w:t>
            </w:r>
          </w:p>
        </w:tc>
        <w:tc>
          <w:tcPr>
            <w:tcW w:w="1920"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714"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749"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868"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680"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637" w:type="dxa"/>
            <w:vMerge w:val="continue"/>
            <w:tcBorders>
              <w:left w:val="single" w:color="000000" w:sz="4" w:space="0"/>
              <w:bottom w:val="single" w:color="000000" w:sz="4" w:space="0"/>
              <w:right w:val="single" w:color="000000" w:sz="4" w:space="0"/>
            </w:tcBorders>
          </w:tcPr>
          <w:p>
            <w:pPr>
              <w:widowControl w:val="0"/>
              <w:spacing w:before="0" w:after="0"/>
              <w:jc w:val="lef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403" w:hRule="exact"/>
        </w:trPr>
        <w:tc>
          <w:tcPr>
            <w:tcW w:w="4779"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合计</w:t>
            </w:r>
          </w:p>
        </w:tc>
        <w:tc>
          <w:tcPr>
            <w:tcW w:w="192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411.84</w:t>
            </w:r>
          </w:p>
        </w:tc>
        <w:tc>
          <w:tcPr>
            <w:tcW w:w="171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218.29</w:t>
            </w:r>
          </w:p>
        </w:tc>
        <w:tc>
          <w:tcPr>
            <w:tcW w:w="1749"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193.56</w:t>
            </w:r>
          </w:p>
        </w:tc>
        <w:tc>
          <w:tcPr>
            <w:tcW w:w="1868"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8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37"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社会保障和就业支出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361.39</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167.84</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193.56</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民政管理事务</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16.83</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16.83</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2080201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行政运行</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16.83</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16.83</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20805</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行政事业单位养老支出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18.57</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18.57</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2080505</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机关事业单位基本养老保险缴费支出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12.38</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12.38</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2080506</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机关事业单位职业年金缴费支出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6.19</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6.19</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20899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其他社会保障和就业支出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325.99</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132.44</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193.56</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2089901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其他社会保障和就业支出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325.99</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132.44</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193.56</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住房保障支出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50.45</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50.45</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22102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住房改革支出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50.45</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50.45</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2210201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住房公积金</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15.94</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15.94</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2210202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提租补贴</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34.51</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34.51</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bl>
    <w:p>
      <w:pPr>
        <w:widowControl w:val="0"/>
        <w:suppressAutoHyphens/>
        <w:bidi w:val="0"/>
        <w:spacing w:before="59" w:after="0"/>
        <w:ind w:left="57" w:right="0" w:firstLine="0"/>
        <w:jc w:val="left"/>
        <w:rPr>
          <w:rFonts w:hint="eastAsia" w:ascii="仿宋" w:hAnsi="仿宋" w:eastAsia="仿宋" w:cs="仿宋"/>
          <w:b/>
          <w:bCs/>
          <w:sz w:val="22"/>
          <w:szCs w:val="22"/>
        </w:rPr>
      </w:pPr>
      <w:r>
        <w:rPr>
          <w:rFonts w:hint="eastAsia" w:ascii="仿宋" w:hAnsi="仿宋" w:eastAsia="仿宋" w:cs="仿宋"/>
          <w:b/>
          <w:bCs/>
          <w:sz w:val="22"/>
          <w:szCs w:val="22"/>
        </w:rPr>
        <w:t>注：</w:t>
      </w:r>
      <w:r>
        <w:rPr>
          <w:rFonts w:hint="eastAsia" w:ascii="仿宋" w:hAnsi="仿宋" w:eastAsia="仿宋" w:cs="仿宋"/>
          <w:b/>
          <w:bCs/>
          <w:sz w:val="22"/>
          <w:szCs w:val="22"/>
          <w:lang w:val="en-US" w:eastAsia="zh-CN"/>
        </w:rPr>
        <w:t>1.</w:t>
      </w:r>
      <w:r>
        <w:rPr>
          <w:rFonts w:hint="eastAsia" w:ascii="仿宋" w:hAnsi="仿宋" w:eastAsia="仿宋" w:cs="仿宋"/>
          <w:b/>
          <w:bCs/>
          <w:sz w:val="22"/>
          <w:szCs w:val="22"/>
        </w:rPr>
        <w:t>本表金额转换为万元时，因四舍五入可能存在尾差。</w:t>
      </w:r>
    </w:p>
    <w:p>
      <w:pPr>
        <w:widowControl w:val="0"/>
        <w:suppressAutoHyphens/>
        <w:bidi w:val="0"/>
        <w:spacing w:before="59" w:after="0"/>
        <w:ind w:left="57" w:right="0" w:firstLine="0"/>
        <w:jc w:val="left"/>
        <w:rPr>
          <w:rFonts w:hint="eastAsia" w:ascii="仿宋" w:hAnsi="仿宋" w:eastAsia="仿宋" w:cs="仿宋"/>
          <w:b/>
          <w:bCs/>
          <w:sz w:val="22"/>
          <w:szCs w:val="22"/>
        </w:rPr>
        <w:sectPr>
          <w:footerReference r:id="rId9"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789" w:type="dxa"/>
        <w:tblInd w:w="-123" w:type="dxa"/>
        <w:tblLayout w:type="fixed"/>
        <w:tblCellMar>
          <w:top w:w="55" w:type="dxa"/>
          <w:left w:w="55" w:type="dxa"/>
          <w:bottom w:w="55" w:type="dxa"/>
          <w:right w:w="55" w:type="dxa"/>
        </w:tblCellMar>
      </w:tblPr>
      <w:tblGrid>
        <w:gridCol w:w="3669"/>
        <w:gridCol w:w="2091"/>
        <w:gridCol w:w="847"/>
        <w:gridCol w:w="1913"/>
        <w:gridCol w:w="754"/>
        <w:gridCol w:w="1800"/>
        <w:gridCol w:w="1275"/>
        <w:gridCol w:w="320"/>
        <w:gridCol w:w="1474"/>
        <w:gridCol w:w="1646"/>
      </w:tblGrid>
      <w:tr>
        <w:tblPrEx>
          <w:tblLayout w:type="fixed"/>
          <w:tblCellMar>
            <w:top w:w="55" w:type="dxa"/>
            <w:left w:w="55" w:type="dxa"/>
            <w:bottom w:w="55" w:type="dxa"/>
            <w:right w:w="55" w:type="dxa"/>
          </w:tblCellMar>
        </w:tblPrEx>
        <w:trPr>
          <w:trHeight w:val="319" w:hRule="atLeast"/>
        </w:trPr>
        <w:tc>
          <w:tcPr>
            <w:tcW w:w="15789" w:type="dxa"/>
            <w:gridSpan w:val="10"/>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财政拨款收入支出决算总表</w:t>
            </w:r>
          </w:p>
        </w:tc>
      </w:tr>
      <w:tr>
        <w:tblPrEx>
          <w:tblLayout w:type="fixed"/>
          <w:tblCellMar>
            <w:top w:w="55" w:type="dxa"/>
            <w:left w:w="55" w:type="dxa"/>
            <w:bottom w:w="55" w:type="dxa"/>
            <w:right w:w="55" w:type="dxa"/>
          </w:tblCellMar>
        </w:tblPrEx>
        <w:trPr>
          <w:trHeight w:val="319" w:hRule="atLeast"/>
        </w:trPr>
        <w:tc>
          <w:tcPr>
            <w:tcW w:w="5760" w:type="dxa"/>
            <w:gridSpan w:val="2"/>
          </w:tcPr>
          <w:p>
            <w:pPr>
              <w:pStyle w:val="22"/>
              <w:widowControl w:val="0"/>
              <w:rPr>
                <w:rFonts w:hint="eastAsia" w:ascii="仿宋" w:hAnsi="仿宋" w:eastAsia="仿宋" w:cs="仿宋"/>
                <w:sz w:val="20"/>
              </w:rPr>
            </w:pPr>
          </w:p>
        </w:tc>
        <w:tc>
          <w:tcPr>
            <w:tcW w:w="847" w:type="dxa"/>
          </w:tcPr>
          <w:p>
            <w:pPr>
              <w:pStyle w:val="22"/>
              <w:widowControl w:val="0"/>
              <w:rPr>
                <w:rFonts w:hint="eastAsia" w:ascii="仿宋" w:hAnsi="仿宋" w:eastAsia="仿宋" w:cs="仿宋"/>
                <w:sz w:val="20"/>
              </w:rPr>
            </w:pPr>
          </w:p>
        </w:tc>
        <w:tc>
          <w:tcPr>
            <w:tcW w:w="1913" w:type="dxa"/>
          </w:tcPr>
          <w:p>
            <w:pPr>
              <w:pStyle w:val="22"/>
              <w:widowControl w:val="0"/>
              <w:rPr>
                <w:rFonts w:hint="eastAsia" w:ascii="仿宋" w:hAnsi="仿宋" w:eastAsia="仿宋" w:cs="仿宋"/>
                <w:sz w:val="20"/>
              </w:rPr>
            </w:pPr>
          </w:p>
        </w:tc>
        <w:tc>
          <w:tcPr>
            <w:tcW w:w="2554" w:type="dxa"/>
            <w:gridSpan w:val="2"/>
          </w:tcPr>
          <w:p>
            <w:pPr>
              <w:pStyle w:val="22"/>
              <w:widowControl w:val="0"/>
              <w:rPr>
                <w:rFonts w:hint="eastAsia" w:ascii="仿宋" w:hAnsi="仿宋" w:eastAsia="仿宋" w:cs="仿宋"/>
                <w:sz w:val="20"/>
              </w:rPr>
            </w:pPr>
          </w:p>
        </w:tc>
        <w:tc>
          <w:tcPr>
            <w:tcW w:w="1275" w:type="dxa"/>
          </w:tcPr>
          <w:p>
            <w:pPr>
              <w:pStyle w:val="22"/>
              <w:widowControl w:val="0"/>
              <w:rPr>
                <w:rFonts w:hint="eastAsia" w:ascii="仿宋" w:hAnsi="仿宋" w:eastAsia="仿宋" w:cs="仿宋"/>
                <w:sz w:val="20"/>
              </w:rPr>
            </w:pPr>
          </w:p>
        </w:tc>
        <w:tc>
          <w:tcPr>
            <w:tcW w:w="3440" w:type="dxa"/>
            <w:gridSpan w:val="3"/>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公开04表</w:t>
            </w:r>
          </w:p>
        </w:tc>
      </w:tr>
      <w:tr>
        <w:tblPrEx>
          <w:tblLayout w:type="fixed"/>
          <w:tblCellMar>
            <w:top w:w="55" w:type="dxa"/>
            <w:left w:w="55" w:type="dxa"/>
            <w:bottom w:w="55" w:type="dxa"/>
            <w:right w:w="55" w:type="dxa"/>
          </w:tblCellMar>
        </w:tblPrEx>
        <w:trPr>
          <w:trHeight w:val="319" w:hRule="atLeast"/>
        </w:trPr>
        <w:tc>
          <w:tcPr>
            <w:tcW w:w="12349" w:type="dxa"/>
            <w:gridSpan w:val="7"/>
          </w:tcPr>
          <w:p>
            <w:pPr>
              <w:pStyle w:val="22"/>
              <w:widowControl w:val="0"/>
              <w:jc w:val="left"/>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sz w:val="22"/>
                <w:szCs w:val="22"/>
              </w:rPr>
              <w:t>江苏省社会捐助服务中心</w:t>
            </w:r>
          </w:p>
        </w:tc>
        <w:tc>
          <w:tcPr>
            <w:tcW w:w="3440" w:type="dxa"/>
            <w:gridSpan w:val="3"/>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金额单位：万元</w:t>
            </w:r>
          </w:p>
        </w:tc>
      </w:tr>
      <w:tr>
        <w:tblPrEx>
          <w:tblLayout w:type="fixed"/>
          <w:tblCellMar>
            <w:top w:w="55" w:type="dxa"/>
            <w:left w:w="55" w:type="dxa"/>
            <w:bottom w:w="55" w:type="dxa"/>
            <w:right w:w="55" w:type="dxa"/>
          </w:tblCellMar>
        </w:tblPrEx>
        <w:trPr>
          <w:trHeight w:val="319" w:hRule="atLeast"/>
        </w:trPr>
        <w:tc>
          <w:tcPr>
            <w:tcW w:w="5760" w:type="dxa"/>
            <w:gridSpan w:val="2"/>
            <w:tcBorders>
              <w:top w:val="single" w:color="000000" w:sz="4" w:space="0"/>
              <w:left w:val="single" w:color="000000" w:sz="4" w:space="0"/>
              <w:bottom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收</w:t>
            </w:r>
            <w:r>
              <w:rPr>
                <w:rFonts w:hint="eastAsia" w:ascii="仿宋" w:hAnsi="仿宋" w:eastAsia="仿宋" w:cs="仿宋"/>
                <w:sz w:val="22"/>
                <w:szCs w:val="22"/>
              </w:rPr>
              <w:tab/>
            </w:r>
            <w:r>
              <w:rPr>
                <w:rFonts w:hint="eastAsia" w:ascii="仿宋" w:hAnsi="仿宋" w:eastAsia="仿宋" w:cs="仿宋"/>
                <w:sz w:val="22"/>
                <w:szCs w:val="22"/>
              </w:rPr>
              <w:t>入</w:t>
            </w:r>
          </w:p>
        </w:tc>
        <w:tc>
          <w:tcPr>
            <w:tcW w:w="10029" w:type="dxa"/>
            <w:gridSpan w:val="8"/>
            <w:tcBorders>
              <w:top w:val="single" w:color="000000" w:sz="4" w:space="0"/>
              <w:left w:val="single" w:color="000000" w:sz="4" w:space="0"/>
              <w:bottom w:val="single" w:color="000000" w:sz="4" w:space="0"/>
              <w:right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支</w:t>
            </w:r>
            <w:r>
              <w:rPr>
                <w:rFonts w:hint="eastAsia" w:ascii="仿宋" w:hAnsi="仿宋" w:eastAsia="仿宋" w:cs="仿宋"/>
                <w:sz w:val="22"/>
                <w:szCs w:val="22"/>
              </w:rPr>
              <w:tab/>
            </w:r>
            <w:r>
              <w:rPr>
                <w:rFonts w:hint="eastAsia" w:ascii="仿宋" w:hAnsi="仿宋" w:eastAsia="仿宋" w:cs="仿宋"/>
                <w:sz w:val="22"/>
                <w:szCs w:val="22"/>
              </w:rPr>
              <w:t>出</w:t>
            </w:r>
          </w:p>
        </w:tc>
      </w:tr>
      <w:tr>
        <w:tblPrEx>
          <w:tblLayout w:type="fixed"/>
          <w:tblCellMar>
            <w:top w:w="55" w:type="dxa"/>
            <w:left w:w="55" w:type="dxa"/>
            <w:bottom w:w="55" w:type="dxa"/>
            <w:right w:w="55" w:type="dxa"/>
          </w:tblCellMar>
        </w:tblPrEx>
        <w:trPr>
          <w:trHeight w:val="159" w:hRule="atLeast"/>
        </w:trPr>
        <w:tc>
          <w:tcPr>
            <w:tcW w:w="3669"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2091"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决算数</w:t>
            </w:r>
          </w:p>
        </w:tc>
        <w:tc>
          <w:tcPr>
            <w:tcW w:w="3514" w:type="dxa"/>
            <w:gridSpan w:val="3"/>
            <w:vMerge w:val="restart"/>
            <w:tcBorders>
              <w:left w:val="single" w:color="000000" w:sz="4" w:space="0"/>
              <w:bottom w:val="single" w:color="000000" w:sz="4" w:space="0"/>
            </w:tcBorders>
            <w:vAlign w:val="center"/>
          </w:tcPr>
          <w:p>
            <w:pPr>
              <w:widowControl w:val="0"/>
              <w:jc w:val="center"/>
              <w:rPr>
                <w:rFonts w:hint="eastAsia" w:ascii="仿宋" w:hAnsi="仿宋" w:eastAsia="仿宋" w:cs="仿宋"/>
                <w:sz w:val="22"/>
                <w:szCs w:val="22"/>
              </w:rPr>
            </w:pPr>
            <w:r>
              <w:rPr>
                <w:rFonts w:hint="eastAsia" w:ascii="仿宋" w:hAnsi="仿宋" w:eastAsia="仿宋" w:cs="仿宋"/>
                <w:sz w:val="22"/>
                <w:szCs w:val="22"/>
              </w:rPr>
              <w:t>按功能分类</w:t>
            </w:r>
          </w:p>
        </w:tc>
        <w:tc>
          <w:tcPr>
            <w:tcW w:w="6515" w:type="dxa"/>
            <w:gridSpan w:val="5"/>
            <w:tcBorders>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sz w:val="22"/>
                <w:szCs w:val="22"/>
              </w:rPr>
            </w:pPr>
            <w:r>
              <w:rPr>
                <w:rFonts w:hint="eastAsia" w:ascii="仿宋" w:hAnsi="仿宋" w:eastAsia="仿宋" w:cs="仿宋"/>
                <w:sz w:val="22"/>
                <w:szCs w:val="22"/>
              </w:rPr>
              <w:t>决算数</w:t>
            </w:r>
          </w:p>
        </w:tc>
      </w:tr>
      <w:tr>
        <w:tblPrEx>
          <w:tblLayout w:type="fixed"/>
          <w:tblCellMar>
            <w:top w:w="55" w:type="dxa"/>
            <w:left w:w="55" w:type="dxa"/>
            <w:bottom w:w="55" w:type="dxa"/>
            <w:right w:w="55" w:type="dxa"/>
          </w:tblCellMar>
        </w:tblPrEx>
        <w:trPr>
          <w:trHeight w:val="635" w:hRule="atLeast"/>
        </w:trPr>
        <w:tc>
          <w:tcPr>
            <w:tcW w:w="3669" w:type="dxa"/>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2091" w:type="dxa"/>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3514" w:type="dxa"/>
            <w:gridSpan w:val="3"/>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小计</w:t>
            </w:r>
          </w:p>
        </w:tc>
        <w:tc>
          <w:tcPr>
            <w:tcW w:w="1595"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一般公共预算财政拨款</w:t>
            </w:r>
          </w:p>
        </w:tc>
        <w:tc>
          <w:tcPr>
            <w:tcW w:w="1474"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政府性基金预算财政拨款</w:t>
            </w:r>
          </w:p>
        </w:tc>
        <w:tc>
          <w:tcPr>
            <w:tcW w:w="1646"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国有资本经营预算财政拨款</w:t>
            </w: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一、一般公共预算财政拨款收入</w:t>
            </w: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228.11</w:t>
            </w: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一、一般公共服务支出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二、政府性基金预算财政拨款收入</w:t>
            </w: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二、外交支出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三、国有资本经营预算财政拨款收入</w:t>
            </w: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三、国防支出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四、公共安全支出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五、教育支出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六、科学技术支出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七、文化旅游体育与传媒支出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八、社会保障和就业支出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175.52</w:t>
            </w: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175.52</w:t>
            </w: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九、卫生健康支出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十、节能环保支出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十一、城乡社区支出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十二、农林水支出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十三、交通运输支出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十四、资源勘探工业信息等支出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十五、商业服务业等支出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十六、金融支出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十七、援助其他地区支出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十八、自然资源海洋气象等支出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十九、住房保障支出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50.45</w:t>
            </w: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50.45</w:t>
            </w: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二十、粮油物资储备支出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二十一、国有资本经营预算支出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二十二、灾害防治及应急管理支出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二十三、其他支出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二十四、债务还本支出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二十五、债务付息支出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二十六、抗疫特别国债安排的支出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567" w:hRule="exact"/>
        </w:trPr>
        <w:tc>
          <w:tcPr>
            <w:tcW w:w="3669" w:type="dxa"/>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本年收入合计</w:t>
            </w:r>
          </w:p>
        </w:tc>
        <w:tc>
          <w:tcPr>
            <w:tcW w:w="2091"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228.11</w:t>
            </w:r>
          </w:p>
        </w:tc>
        <w:tc>
          <w:tcPr>
            <w:tcW w:w="3514" w:type="dxa"/>
            <w:gridSpan w:val="3"/>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本年支出合计</w:t>
            </w:r>
          </w:p>
        </w:tc>
        <w:tc>
          <w:tcPr>
            <w:tcW w:w="1800"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225.97</w:t>
            </w:r>
          </w:p>
        </w:tc>
        <w:tc>
          <w:tcPr>
            <w:tcW w:w="1595" w:type="dxa"/>
            <w:gridSpan w:val="2"/>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225.97</w:t>
            </w:r>
          </w:p>
        </w:tc>
        <w:tc>
          <w:tcPr>
            <w:tcW w:w="1474"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年初财政拨款结转和结余</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108.57</w:t>
            </w: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年末财政拨款结转和结余</w:t>
            </w: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110.71</w:t>
            </w: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110.71</w:t>
            </w: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一、一般公共预算财政拨款</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108.57</w:t>
            </w: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二、政府性基金预算财政拨款</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三、国有资本经营预算财政拨款</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567" w:hRule="exact"/>
        </w:trPr>
        <w:tc>
          <w:tcPr>
            <w:tcW w:w="366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总计</w:t>
            </w:r>
          </w:p>
        </w:tc>
        <w:tc>
          <w:tcPr>
            <w:tcW w:w="2091"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336.68</w:t>
            </w:r>
          </w:p>
        </w:tc>
        <w:tc>
          <w:tcPr>
            <w:tcW w:w="3514" w:type="dxa"/>
            <w:gridSpan w:val="3"/>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总计</w:t>
            </w:r>
          </w:p>
        </w:tc>
        <w:tc>
          <w:tcPr>
            <w:tcW w:w="180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336.68</w:t>
            </w:r>
          </w:p>
        </w:tc>
        <w:tc>
          <w:tcPr>
            <w:tcW w:w="1595" w:type="dxa"/>
            <w:gridSpan w:val="2"/>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336.68</w:t>
            </w:r>
          </w:p>
        </w:tc>
        <w:tc>
          <w:tcPr>
            <w:tcW w:w="147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bl>
    <w:p>
      <w:pPr>
        <w:rPr>
          <w:rFonts w:hint="eastAsia" w:ascii="仿宋" w:hAnsi="仿宋" w:eastAsia="仿宋" w:cs="仿宋"/>
          <w:b/>
          <w:bCs/>
        </w:rPr>
      </w:pPr>
      <w:r>
        <w:rPr>
          <w:rFonts w:hint="eastAsia" w:ascii="仿宋" w:hAnsi="仿宋" w:eastAsia="仿宋" w:cs="仿宋"/>
          <w:b/>
          <w:bCs/>
          <w:lang w:val="en-US" w:eastAsia="zh-CN"/>
        </w:rPr>
        <w:t>注：1.</w:t>
      </w:r>
      <w:r>
        <w:rPr>
          <w:rFonts w:hint="eastAsia" w:ascii="仿宋" w:hAnsi="仿宋" w:eastAsia="仿宋" w:cs="仿宋"/>
          <w:b/>
          <w:bCs/>
        </w:rPr>
        <w:t>本表金额转换为万元时，因四舍五入可能存在尾差。</w:t>
      </w:r>
    </w:p>
    <w:p>
      <w:pPr>
        <w:rPr>
          <w:rFonts w:hint="eastAsia" w:ascii="仿宋" w:hAnsi="仿宋" w:eastAsia="仿宋" w:cs="仿宋"/>
          <w:b/>
          <w:bCs/>
        </w:rPr>
        <w:sectPr>
          <w:footerReference r:id="rId10"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216" w:type="dxa"/>
        <w:tblInd w:w="175" w:type="dxa"/>
        <w:tblLayout w:type="fixed"/>
        <w:tblCellMar>
          <w:top w:w="55" w:type="dxa"/>
          <w:left w:w="55" w:type="dxa"/>
          <w:bottom w:w="55" w:type="dxa"/>
          <w:right w:w="55" w:type="dxa"/>
        </w:tblCellMar>
      </w:tblPr>
      <w:tblGrid>
        <w:gridCol w:w="2045"/>
        <w:gridCol w:w="4137"/>
        <w:gridCol w:w="3171"/>
        <w:gridCol w:w="2778"/>
        <w:gridCol w:w="3085"/>
      </w:tblGrid>
      <w:tr>
        <w:tblPrEx>
          <w:tblLayout w:type="fixed"/>
          <w:tblCellMar>
            <w:top w:w="55" w:type="dxa"/>
            <w:left w:w="55" w:type="dxa"/>
            <w:bottom w:w="55" w:type="dxa"/>
            <w:right w:w="55" w:type="dxa"/>
          </w:tblCellMar>
        </w:tblPrEx>
        <w:trPr>
          <w:trHeight w:val="321" w:hRule="atLeast"/>
        </w:trPr>
        <w:tc>
          <w:tcPr>
            <w:tcW w:w="15216" w:type="dxa"/>
            <w:gridSpan w:val="5"/>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财政拨款支出决算表（功能科目）</w:t>
            </w:r>
          </w:p>
        </w:tc>
      </w:tr>
      <w:tr>
        <w:tblPrEx>
          <w:tblLayout w:type="fixed"/>
          <w:tblCellMar>
            <w:top w:w="55" w:type="dxa"/>
            <w:left w:w="55" w:type="dxa"/>
            <w:bottom w:w="55" w:type="dxa"/>
            <w:right w:w="55" w:type="dxa"/>
          </w:tblCellMar>
        </w:tblPrEx>
        <w:trPr>
          <w:trHeight w:val="321" w:hRule="atLeast"/>
        </w:trPr>
        <w:tc>
          <w:tcPr>
            <w:tcW w:w="6182" w:type="dxa"/>
            <w:gridSpan w:val="2"/>
          </w:tcPr>
          <w:p>
            <w:pPr>
              <w:pStyle w:val="22"/>
              <w:widowControl w:val="0"/>
              <w:rPr>
                <w:rFonts w:hint="eastAsia" w:ascii="仿宋" w:hAnsi="仿宋" w:eastAsia="仿宋" w:cs="仿宋"/>
                <w:sz w:val="20"/>
              </w:rPr>
            </w:pPr>
          </w:p>
        </w:tc>
        <w:tc>
          <w:tcPr>
            <w:tcW w:w="3171" w:type="dxa"/>
          </w:tcPr>
          <w:p>
            <w:pPr>
              <w:pStyle w:val="22"/>
              <w:widowControl w:val="0"/>
              <w:rPr>
                <w:rFonts w:hint="eastAsia" w:ascii="仿宋" w:hAnsi="仿宋" w:eastAsia="仿宋" w:cs="仿宋"/>
                <w:sz w:val="27"/>
              </w:rPr>
            </w:pPr>
          </w:p>
        </w:tc>
        <w:tc>
          <w:tcPr>
            <w:tcW w:w="5863" w:type="dxa"/>
            <w:gridSpan w:val="2"/>
            <w:vAlign w:val="center"/>
          </w:tcPr>
          <w:p>
            <w:pPr>
              <w:pStyle w:val="22"/>
              <w:widowControl w:val="0"/>
              <w:jc w:val="right"/>
              <w:rPr>
                <w:rFonts w:hint="eastAsia" w:ascii="仿宋" w:hAnsi="仿宋" w:eastAsia="仿宋" w:cs="仿宋"/>
                <w:sz w:val="27"/>
              </w:rPr>
            </w:pPr>
            <w:r>
              <w:rPr>
                <w:rFonts w:hint="eastAsia" w:ascii="仿宋" w:hAnsi="仿宋" w:eastAsia="仿宋" w:cs="仿宋"/>
              </w:rPr>
              <w:t>公开05表</w:t>
            </w:r>
          </w:p>
        </w:tc>
      </w:tr>
      <w:tr>
        <w:tblPrEx>
          <w:tblLayout w:type="fixed"/>
          <w:tblCellMar>
            <w:top w:w="55" w:type="dxa"/>
            <w:left w:w="55" w:type="dxa"/>
            <w:bottom w:w="55" w:type="dxa"/>
            <w:right w:w="55" w:type="dxa"/>
          </w:tblCellMar>
        </w:tblPrEx>
        <w:trPr>
          <w:trHeight w:val="288" w:hRule="atLeast"/>
        </w:trPr>
        <w:tc>
          <w:tcPr>
            <w:tcW w:w="6182" w:type="dxa"/>
            <w:gridSpan w:val="2"/>
          </w:tcPr>
          <w:p>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江苏省社会捐助服务中心</w:t>
            </w:r>
          </w:p>
        </w:tc>
        <w:tc>
          <w:tcPr>
            <w:tcW w:w="3171" w:type="dxa"/>
          </w:tcPr>
          <w:p>
            <w:pPr>
              <w:pStyle w:val="22"/>
              <w:widowControl w:val="0"/>
              <w:rPr>
                <w:rFonts w:hint="eastAsia" w:ascii="仿宋" w:hAnsi="仿宋" w:eastAsia="仿宋" w:cs="仿宋"/>
                <w:sz w:val="27"/>
              </w:rPr>
            </w:pPr>
          </w:p>
        </w:tc>
        <w:tc>
          <w:tcPr>
            <w:tcW w:w="2778" w:type="dxa"/>
            <w:vAlign w:val="center"/>
          </w:tcPr>
          <w:p>
            <w:pPr>
              <w:pStyle w:val="22"/>
              <w:widowControl w:val="0"/>
              <w:jc w:val="right"/>
              <w:rPr>
                <w:rFonts w:hint="eastAsia" w:ascii="仿宋" w:hAnsi="仿宋" w:eastAsia="仿宋" w:cs="仿宋"/>
                <w:sz w:val="27"/>
              </w:rPr>
            </w:pPr>
          </w:p>
        </w:tc>
        <w:tc>
          <w:tcPr>
            <w:tcW w:w="3085"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319" w:hRule="atLeast"/>
        </w:trPr>
        <w:tc>
          <w:tcPr>
            <w:tcW w:w="6182" w:type="dxa"/>
            <w:gridSpan w:val="2"/>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3171"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本年支出合计</w:t>
            </w:r>
          </w:p>
        </w:tc>
        <w:tc>
          <w:tcPr>
            <w:tcW w:w="2778"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基本支出</w:t>
            </w:r>
          </w:p>
        </w:tc>
        <w:tc>
          <w:tcPr>
            <w:tcW w:w="3085" w:type="dxa"/>
            <w:vMerge w:val="restart"/>
            <w:tcBorders>
              <w:top w:val="single" w:color="000000" w:sz="6" w:space="0"/>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项目支出</w:t>
            </w:r>
          </w:p>
        </w:tc>
      </w:tr>
      <w:tr>
        <w:tblPrEx>
          <w:tblLayout w:type="fixed"/>
          <w:tblCellMar>
            <w:top w:w="55" w:type="dxa"/>
            <w:left w:w="55" w:type="dxa"/>
            <w:bottom w:w="55" w:type="dxa"/>
            <w:right w:w="55" w:type="dxa"/>
          </w:tblCellMar>
        </w:tblPrEx>
        <w:trPr>
          <w:trHeight w:val="341" w:hRule="atLeast"/>
        </w:trPr>
        <w:tc>
          <w:tcPr>
            <w:tcW w:w="2045"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功能分类科目编码</w:t>
            </w:r>
          </w:p>
        </w:tc>
        <w:tc>
          <w:tcPr>
            <w:tcW w:w="4137"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3171" w:type="dxa"/>
            <w:vMerge w:val="continue"/>
            <w:tcBorders>
              <w:left w:val="single" w:color="000000" w:sz="6" w:space="0"/>
              <w:bottom w:val="single" w:color="000000" w:sz="6" w:space="0"/>
            </w:tcBorders>
          </w:tcPr>
          <w:p>
            <w:pPr>
              <w:widowControl w:val="0"/>
              <w:jc w:val="left"/>
              <w:rPr>
                <w:rFonts w:hint="eastAsia" w:ascii="仿宋" w:hAnsi="仿宋" w:eastAsia="仿宋" w:cs="仿宋"/>
                <w:sz w:val="22"/>
                <w:szCs w:val="22"/>
              </w:rPr>
            </w:pPr>
          </w:p>
        </w:tc>
        <w:tc>
          <w:tcPr>
            <w:tcW w:w="2778" w:type="dxa"/>
            <w:vMerge w:val="continue"/>
            <w:tcBorders>
              <w:left w:val="single" w:color="000000" w:sz="6" w:space="0"/>
              <w:bottom w:val="single" w:color="000000" w:sz="6" w:space="0"/>
            </w:tcBorders>
          </w:tcPr>
          <w:p>
            <w:pPr>
              <w:widowControl w:val="0"/>
              <w:jc w:val="left"/>
              <w:rPr>
                <w:rFonts w:hint="eastAsia" w:ascii="仿宋" w:hAnsi="仿宋" w:eastAsia="仿宋" w:cs="仿宋"/>
                <w:sz w:val="22"/>
                <w:szCs w:val="22"/>
              </w:rPr>
            </w:pPr>
          </w:p>
        </w:tc>
        <w:tc>
          <w:tcPr>
            <w:tcW w:w="3085" w:type="dxa"/>
            <w:vMerge w:val="continue"/>
            <w:tcBorders>
              <w:left w:val="single" w:color="000000" w:sz="6" w:space="0"/>
              <w:bottom w:val="single" w:color="000000" w:sz="6" w:space="0"/>
              <w:right w:val="single" w:color="000000" w:sz="6" w:space="0"/>
            </w:tcBorders>
          </w:tcPr>
          <w:p>
            <w:pPr>
              <w:widowControl w:val="0"/>
              <w:jc w:val="lef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75" w:hRule="atLeast"/>
        </w:trPr>
        <w:tc>
          <w:tcPr>
            <w:tcW w:w="6182"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栏次</w:t>
            </w:r>
          </w:p>
        </w:tc>
        <w:tc>
          <w:tcPr>
            <w:tcW w:w="3171"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1</w:t>
            </w:r>
          </w:p>
        </w:tc>
        <w:tc>
          <w:tcPr>
            <w:tcW w:w="2778"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2</w:t>
            </w:r>
          </w:p>
        </w:tc>
        <w:tc>
          <w:tcPr>
            <w:tcW w:w="3085" w:type="dxa"/>
            <w:tcBorders>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3</w:t>
            </w:r>
          </w:p>
        </w:tc>
      </w:tr>
      <w:tr>
        <w:tblPrEx>
          <w:tblLayout w:type="fixed"/>
          <w:tblCellMar>
            <w:top w:w="55" w:type="dxa"/>
            <w:left w:w="55" w:type="dxa"/>
            <w:bottom w:w="55" w:type="dxa"/>
            <w:right w:w="55" w:type="dxa"/>
          </w:tblCellMar>
        </w:tblPrEx>
        <w:trPr>
          <w:trHeight w:val="374" w:hRule="exact"/>
        </w:trPr>
        <w:tc>
          <w:tcPr>
            <w:tcW w:w="6182"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3171"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225.97</w:t>
            </w:r>
          </w:p>
        </w:tc>
        <w:tc>
          <w:tcPr>
            <w:tcW w:w="2778"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rPr>
              <w:t>218.29</w:t>
            </w:r>
          </w:p>
        </w:tc>
        <w:tc>
          <w:tcPr>
            <w:tcW w:w="3085" w:type="dxa"/>
            <w:tcBorders>
              <w:left w:val="single" w:color="000000" w:sz="6" w:space="0"/>
              <w:bottom w:val="single" w:color="000000" w:sz="6" w:space="0"/>
              <w:right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7.68</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175.52</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167.84</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7.68</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20802</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民政管理事务</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16.83</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16.83</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2080201</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行政运行</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16.83</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16.83</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行政事业单位养老支出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18.57</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18.57</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2080505</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机关事业单位基本养老保险缴费支出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12.38</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12.38</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2080506</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机关事业单位职业年金缴费支出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6.19</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6.19</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20899</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其他社会保障和就业支出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140.12</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132.44</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7.68</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2089901</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其他社会保障和就业支出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140.12</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132.44</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7.68</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住房保障支出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50.45</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50.45</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住房改革支出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50.45</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50.45</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2210201</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住房公积金</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15.94</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15.94</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2210202</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提租补贴</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34.51</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34.51</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bl>
    <w:p>
      <w:pPr>
        <w:widowControl w:val="0"/>
        <w:tabs>
          <w:tab w:val="left" w:pos="220"/>
        </w:tabs>
        <w:suppressAutoHyphens/>
        <w:bidi w:val="0"/>
        <w:spacing w:before="0" w:after="0"/>
        <w:ind w:left="220" w:leftChars="100" w:right="0" w:firstLine="0" w:firstLineChars="0"/>
        <w:jc w:val="both"/>
        <w:rPr>
          <w:rFonts w:hint="eastAsia" w:ascii="仿宋" w:hAnsi="仿宋" w:eastAsia="仿宋" w:cs="仿宋"/>
          <w:b/>
          <w:bCs/>
        </w:rPr>
      </w:pPr>
      <w:r>
        <w:rPr>
          <w:rFonts w:hint="eastAsia" w:ascii="仿宋" w:hAnsi="仿宋" w:eastAsia="仿宋" w:cs="仿宋"/>
          <w:b/>
          <w:bCs/>
        </w:rPr>
        <w:t>注：1.本表反映部门本年度按功能分类财政拨款实际支出情况。财政拨款指一般公共预算财政拨款、政府性基金预算财政拨款和国有资本经营预</w:t>
      </w:r>
    </w:p>
    <w:p>
      <w:pPr>
        <w:widowControl w:val="0"/>
        <w:tabs>
          <w:tab w:val="left" w:pos="55"/>
        </w:tabs>
        <w:suppressAutoHyphens/>
        <w:bidi w:val="0"/>
        <w:spacing w:before="0" w:after="0"/>
        <w:ind w:right="0" w:firstLine="663" w:firstLineChars="300"/>
        <w:jc w:val="both"/>
        <w:rPr>
          <w:rFonts w:hint="eastAsia" w:ascii="仿宋" w:hAnsi="仿宋" w:eastAsia="仿宋" w:cs="仿宋"/>
          <w:b/>
          <w:bCs/>
        </w:rPr>
      </w:pPr>
      <w:r>
        <w:rPr>
          <w:rFonts w:hint="eastAsia" w:ascii="仿宋" w:hAnsi="仿宋" w:eastAsia="仿宋" w:cs="仿宋"/>
          <w:b/>
          <w:bCs/>
        </w:rPr>
        <w:t>算财政拨款。</w:t>
      </w:r>
    </w:p>
    <w:p>
      <w:pPr>
        <w:widowControl w:val="0"/>
        <w:numPr>
          <w:ilvl w:val="0"/>
          <w:numId w:val="1"/>
        </w:numPr>
        <w:tabs>
          <w:tab w:val="left" w:pos="55"/>
          <w:tab w:val="clear" w:pos="312"/>
        </w:tabs>
        <w:suppressAutoHyphens/>
        <w:bidi w:val="0"/>
        <w:spacing w:before="0" w:after="0"/>
        <w:ind w:left="660" w:leftChars="0" w:right="0" w:firstLine="0" w:firstLineChars="0"/>
        <w:jc w:val="both"/>
        <w:rPr>
          <w:rFonts w:hint="eastAsia" w:ascii="仿宋" w:hAnsi="仿宋" w:eastAsia="仿宋" w:cs="仿宋"/>
          <w:b/>
          <w:bCs/>
        </w:rPr>
      </w:pPr>
      <w:r>
        <w:rPr>
          <w:rFonts w:hint="eastAsia" w:ascii="仿宋" w:hAnsi="仿宋" w:eastAsia="仿宋" w:cs="仿宋"/>
          <w:b/>
          <w:bCs/>
        </w:rPr>
        <w:t>本表金额转换为万元时，因四舍五入可能存在尾差。</w:t>
      </w:r>
    </w:p>
    <w:p>
      <w:pPr>
        <w:widowControl w:val="0"/>
        <w:numPr>
          <w:ilvl w:val="0"/>
          <w:numId w:val="0"/>
        </w:numPr>
        <w:tabs>
          <w:tab w:val="left" w:pos="55"/>
        </w:tabs>
        <w:suppressAutoHyphens/>
        <w:bidi w:val="0"/>
        <w:spacing w:before="0" w:after="0"/>
        <w:ind w:right="0" w:rightChars="0"/>
        <w:jc w:val="both"/>
        <w:rPr>
          <w:rFonts w:hint="eastAsia" w:ascii="仿宋" w:hAnsi="仿宋" w:eastAsia="仿宋" w:cs="仿宋"/>
          <w:b/>
          <w:bCs/>
        </w:rPr>
        <w:sectPr>
          <w:footerReference r:id="rId11"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rPr>
          <w:rFonts w:hint="eastAsia" w:ascii="仿宋" w:hAnsi="仿宋" w:eastAsia="仿宋" w:cs="仿宋"/>
          <w:sz w:val="20"/>
        </w:rPr>
      </w:pPr>
    </w:p>
    <w:tbl>
      <w:tblPr>
        <w:tblStyle w:val="13"/>
        <w:tblW w:w="10817" w:type="dxa"/>
        <w:tblInd w:w="-103" w:type="dxa"/>
        <w:tblLayout w:type="fixed"/>
        <w:tblCellMar>
          <w:top w:w="55" w:type="dxa"/>
          <w:left w:w="55" w:type="dxa"/>
          <w:bottom w:w="55" w:type="dxa"/>
          <w:right w:w="55" w:type="dxa"/>
        </w:tblCellMar>
      </w:tblPr>
      <w:tblGrid>
        <w:gridCol w:w="1131"/>
        <w:gridCol w:w="3542"/>
        <w:gridCol w:w="2047"/>
        <w:gridCol w:w="2040"/>
        <w:gridCol w:w="2057"/>
      </w:tblGrid>
      <w:tr>
        <w:tblPrEx>
          <w:tblLayout w:type="fixed"/>
          <w:tblCellMar>
            <w:top w:w="55" w:type="dxa"/>
            <w:left w:w="55" w:type="dxa"/>
            <w:bottom w:w="55" w:type="dxa"/>
            <w:right w:w="55" w:type="dxa"/>
          </w:tblCellMar>
        </w:tblPrEx>
        <w:trPr>
          <w:trHeight w:val="319" w:hRule="atLeast"/>
        </w:trPr>
        <w:tc>
          <w:tcPr>
            <w:tcW w:w="10817" w:type="dxa"/>
            <w:gridSpan w:val="5"/>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财政拨款基本支出决算表（经济科目）</w:t>
            </w:r>
          </w:p>
        </w:tc>
      </w:tr>
      <w:tr>
        <w:tblPrEx>
          <w:tblLayout w:type="fixed"/>
          <w:tblCellMar>
            <w:top w:w="55" w:type="dxa"/>
            <w:left w:w="55" w:type="dxa"/>
            <w:bottom w:w="55" w:type="dxa"/>
            <w:right w:w="55" w:type="dxa"/>
          </w:tblCellMar>
        </w:tblPrEx>
        <w:trPr>
          <w:trHeight w:val="319" w:hRule="atLeast"/>
        </w:trPr>
        <w:tc>
          <w:tcPr>
            <w:tcW w:w="4673" w:type="dxa"/>
            <w:gridSpan w:val="2"/>
          </w:tcPr>
          <w:p>
            <w:pPr>
              <w:pStyle w:val="22"/>
              <w:widowControl w:val="0"/>
              <w:rPr>
                <w:rFonts w:hint="eastAsia" w:ascii="仿宋" w:hAnsi="仿宋" w:eastAsia="仿宋" w:cs="仿宋"/>
                <w:sz w:val="20"/>
              </w:rPr>
            </w:pPr>
          </w:p>
        </w:tc>
        <w:tc>
          <w:tcPr>
            <w:tcW w:w="2047" w:type="dxa"/>
          </w:tcPr>
          <w:p>
            <w:pPr>
              <w:pStyle w:val="22"/>
              <w:widowControl w:val="0"/>
              <w:rPr>
                <w:rFonts w:hint="eastAsia" w:ascii="仿宋" w:hAnsi="仿宋" w:eastAsia="仿宋" w:cs="仿宋"/>
                <w:sz w:val="20"/>
              </w:rPr>
            </w:pPr>
          </w:p>
        </w:tc>
        <w:tc>
          <w:tcPr>
            <w:tcW w:w="2040" w:type="dxa"/>
          </w:tcPr>
          <w:p>
            <w:pPr>
              <w:pStyle w:val="22"/>
              <w:widowControl w:val="0"/>
              <w:rPr>
                <w:rFonts w:hint="eastAsia" w:ascii="仿宋" w:hAnsi="仿宋" w:eastAsia="仿宋" w:cs="仿宋"/>
                <w:sz w:val="20"/>
              </w:rPr>
            </w:pPr>
          </w:p>
        </w:tc>
        <w:tc>
          <w:tcPr>
            <w:tcW w:w="205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公开06表</w:t>
            </w:r>
          </w:p>
        </w:tc>
      </w:tr>
      <w:tr>
        <w:tblPrEx>
          <w:tblLayout w:type="fixed"/>
          <w:tblCellMar>
            <w:top w:w="55" w:type="dxa"/>
            <w:left w:w="55" w:type="dxa"/>
            <w:bottom w:w="55" w:type="dxa"/>
            <w:right w:w="55" w:type="dxa"/>
          </w:tblCellMar>
        </w:tblPrEx>
        <w:trPr>
          <w:trHeight w:val="319" w:hRule="atLeast"/>
        </w:trPr>
        <w:tc>
          <w:tcPr>
            <w:tcW w:w="8760" w:type="dxa"/>
            <w:gridSpan w:val="4"/>
          </w:tcPr>
          <w:p>
            <w:pPr>
              <w:pStyle w:val="22"/>
              <w:widowControl w:val="0"/>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sz w:val="22"/>
                <w:szCs w:val="22"/>
              </w:rPr>
              <w:t>江苏省社会捐助服务中心</w:t>
            </w:r>
          </w:p>
        </w:tc>
        <w:tc>
          <w:tcPr>
            <w:tcW w:w="205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243" w:hRule="atLeast"/>
        </w:trPr>
        <w:tc>
          <w:tcPr>
            <w:tcW w:w="4673"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614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财政拨款基本支出</w:t>
            </w:r>
          </w:p>
        </w:tc>
      </w:tr>
      <w:tr>
        <w:tblPrEx>
          <w:tblLayout w:type="fixed"/>
          <w:tblCellMar>
            <w:top w:w="55" w:type="dxa"/>
            <w:left w:w="55" w:type="dxa"/>
            <w:bottom w:w="55" w:type="dxa"/>
            <w:right w:w="55" w:type="dxa"/>
          </w:tblCellMar>
        </w:tblPrEx>
        <w:trPr>
          <w:trHeight w:val="483" w:hRule="atLeast"/>
        </w:trPr>
        <w:tc>
          <w:tcPr>
            <w:tcW w:w="113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经济分类科目编码</w:t>
            </w:r>
          </w:p>
        </w:tc>
        <w:tc>
          <w:tcPr>
            <w:tcW w:w="354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04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04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2057"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Layout w:type="fixed"/>
          <w:tblCellMar>
            <w:top w:w="55" w:type="dxa"/>
            <w:left w:w="55" w:type="dxa"/>
            <w:bottom w:w="55" w:type="dxa"/>
            <w:right w:w="55" w:type="dxa"/>
          </w:tblCellMar>
        </w:tblPrEx>
        <w:trPr>
          <w:trHeight w:val="409" w:hRule="exact"/>
        </w:trPr>
        <w:tc>
          <w:tcPr>
            <w:tcW w:w="4673"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ascii="仿宋" w:hAnsi="仿宋" w:eastAsia="仿宋" w:cs="仿宋"/>
              </w:rPr>
              <w:t>合计</w:t>
            </w:r>
          </w:p>
        </w:tc>
        <w:tc>
          <w:tcPr>
            <w:tcW w:w="204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218.29</w:t>
            </w:r>
          </w:p>
        </w:tc>
        <w:tc>
          <w:tcPr>
            <w:tcW w:w="204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203.46</w:t>
            </w:r>
          </w:p>
        </w:tc>
        <w:tc>
          <w:tcPr>
            <w:tcW w:w="205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14.83</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203.46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203.46</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基本工资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32.02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32.02</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津贴补贴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44.24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44.24</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伙食补助费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绩效工资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94.94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94.94</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10.12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10.12</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职业年金缴费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3.54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3.54</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职工基本医疗保险缴费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公务员医疗补助缴费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其他社会保障缴费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17.40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17.40</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1.20</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14.83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14.83</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3.31</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印刷费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咨询费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0.80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0.80</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手续费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邮电费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0.06</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取暖费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物业管理费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差旅费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1.01</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因公出国（境）费用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维修（护）费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租赁费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会议费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培训费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公务接待费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专用材料费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被装购置费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专用燃料费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劳务费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委托业务费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工会经费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2.18</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福利费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3.09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3.09</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公务用车运行维护费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0.82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0.82</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30240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税金及附加费用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3.55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3.55</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离休费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退职（役）费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抚恤金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生活补助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救济费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助学金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奖励金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个人农业生产补贴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代缴社会保险费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债务利息及费用支出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房屋建筑物购建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基础设施建设</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大型修缮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信息网络及软件购置更新</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物资储备</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土地补偿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安置补助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地上附着物和青苗补偿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拆迁补偿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其他交通工具购置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文物和陈列品购置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无形资产购置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资本金注入</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政府投资基金股权投资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费用补贴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利息补贴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赠与</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国家赔偿费用支出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对民间非营利组织和群众性自治组织补贴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widowControl w:val="0"/>
        <w:tabs>
          <w:tab w:val="left" w:pos="660"/>
        </w:tabs>
        <w:suppressAutoHyphens/>
        <w:bidi w:val="0"/>
        <w:spacing w:before="25" w:after="0" w:line="290" w:lineRule="auto"/>
        <w:ind w:left="220" w:leftChars="0" w:right="397" w:hanging="460" w:firstLineChars="0"/>
        <w:jc w:val="left"/>
        <w:rPr>
          <w:rFonts w:hint="eastAsia" w:ascii="仿宋" w:hAnsi="仿宋" w:eastAsia="仿宋" w:cs="仿宋"/>
          <w:b/>
          <w:bCs/>
          <w:sz w:val="22"/>
          <w:szCs w:val="22"/>
        </w:rPr>
      </w:pPr>
      <w:r>
        <w:rPr>
          <w:rFonts w:hint="eastAsia" w:ascii="仿宋" w:hAnsi="仿宋" w:eastAsia="仿宋" w:cs="仿宋"/>
          <w:b/>
          <w:bCs/>
          <w:sz w:val="22"/>
          <w:szCs w:val="22"/>
        </w:rPr>
        <w:t>注：1.本表反映部门本年度按经济分类财政拨款基本支出明细情况。财政拨款指一般公共预算财政拨款、政府性基金预算财政拨款和国有资本经营预算财政拨款。</w:t>
      </w:r>
    </w:p>
    <w:p>
      <w:pPr>
        <w:keepNext w:val="0"/>
        <w:keepLines w:val="0"/>
        <w:pageBreakBefore w:val="0"/>
        <w:widowControl w:val="0"/>
        <w:numPr>
          <w:ilvl w:val="0"/>
          <w:numId w:val="2"/>
        </w:numPr>
        <w:tabs>
          <w:tab w:val="left" w:pos="0"/>
        </w:tabs>
        <w:kinsoku/>
        <w:wordWrap/>
        <w:overflowPunct/>
        <w:topLinePunct w:val="0"/>
        <w:autoSpaceDE/>
        <w:autoSpaceDN/>
        <w:bidi w:val="0"/>
        <w:adjustRightInd/>
        <w:snapToGrid/>
        <w:spacing w:line="255" w:lineRule="exact"/>
        <w:ind w:left="220" w:leftChars="0" w:firstLine="0" w:firstLineChars="0"/>
        <w:textAlignment w:val="auto"/>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0"/>
        </w:numPr>
        <w:suppressAutoHyphens/>
        <w:bidi w:val="0"/>
        <w:spacing w:before="0" w:after="0" w:line="255" w:lineRule="exact"/>
        <w:jc w:val="left"/>
        <w:rPr>
          <w:rFonts w:hint="eastAsia" w:ascii="仿宋" w:hAnsi="仿宋" w:eastAsia="仿宋" w:cs="仿宋"/>
          <w:b/>
          <w:bCs/>
          <w:sz w:val="22"/>
          <w:szCs w:val="22"/>
        </w:rPr>
        <w:sectPr>
          <w:footerReference r:id="rId12"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1040" w:type="dxa"/>
        <w:tblInd w:w="-240" w:type="dxa"/>
        <w:tblLayout w:type="fixed"/>
        <w:tblCellMar>
          <w:top w:w="55" w:type="dxa"/>
          <w:left w:w="55" w:type="dxa"/>
          <w:bottom w:w="55" w:type="dxa"/>
          <w:right w:w="55" w:type="dxa"/>
        </w:tblCellMar>
      </w:tblPr>
      <w:tblGrid>
        <w:gridCol w:w="1397"/>
        <w:gridCol w:w="3420"/>
        <w:gridCol w:w="2537"/>
        <w:gridCol w:w="1800"/>
        <w:gridCol w:w="1886"/>
      </w:tblGrid>
      <w:tr>
        <w:tblPrEx>
          <w:tblLayout w:type="fixed"/>
          <w:tblCellMar>
            <w:top w:w="55" w:type="dxa"/>
            <w:left w:w="55" w:type="dxa"/>
            <w:bottom w:w="55" w:type="dxa"/>
            <w:right w:w="55" w:type="dxa"/>
          </w:tblCellMar>
        </w:tblPrEx>
        <w:trPr>
          <w:trHeight w:val="560" w:hRule="atLeast"/>
        </w:trPr>
        <w:tc>
          <w:tcPr>
            <w:tcW w:w="11040" w:type="dxa"/>
            <w:gridSpan w:val="5"/>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一般公共预算支出决算表（功能科目）</w:t>
            </w:r>
          </w:p>
        </w:tc>
      </w:tr>
      <w:tr>
        <w:tblPrEx>
          <w:tblLayout w:type="fixed"/>
          <w:tblCellMar>
            <w:top w:w="55" w:type="dxa"/>
            <w:left w:w="55" w:type="dxa"/>
            <w:bottom w:w="55" w:type="dxa"/>
            <w:right w:w="55" w:type="dxa"/>
          </w:tblCellMar>
        </w:tblPrEx>
        <w:trPr>
          <w:trHeight w:val="243" w:hRule="atLeast"/>
        </w:trPr>
        <w:tc>
          <w:tcPr>
            <w:tcW w:w="4817" w:type="dxa"/>
            <w:gridSpan w:val="2"/>
          </w:tcPr>
          <w:p>
            <w:pPr>
              <w:pStyle w:val="22"/>
              <w:widowControl w:val="0"/>
              <w:rPr>
                <w:rFonts w:hint="eastAsia" w:ascii="仿宋" w:hAnsi="仿宋" w:eastAsia="仿宋" w:cs="仿宋"/>
                <w:sz w:val="20"/>
              </w:rPr>
            </w:pPr>
          </w:p>
        </w:tc>
        <w:tc>
          <w:tcPr>
            <w:tcW w:w="2537" w:type="dxa"/>
          </w:tcPr>
          <w:p>
            <w:pPr>
              <w:pStyle w:val="22"/>
              <w:widowControl w:val="0"/>
              <w:rPr>
                <w:rFonts w:hint="eastAsia" w:ascii="仿宋" w:hAnsi="仿宋" w:eastAsia="仿宋" w:cs="仿宋"/>
                <w:sz w:val="20"/>
              </w:rPr>
            </w:pPr>
          </w:p>
        </w:tc>
        <w:tc>
          <w:tcPr>
            <w:tcW w:w="1800" w:type="dxa"/>
          </w:tcPr>
          <w:p>
            <w:pPr>
              <w:pStyle w:val="22"/>
              <w:widowControl w:val="0"/>
              <w:rPr>
                <w:rFonts w:hint="eastAsia" w:ascii="仿宋" w:hAnsi="仿宋" w:eastAsia="仿宋" w:cs="仿宋"/>
                <w:sz w:val="20"/>
              </w:rPr>
            </w:pPr>
          </w:p>
        </w:tc>
        <w:tc>
          <w:tcPr>
            <w:tcW w:w="1886"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公开07表</w:t>
            </w:r>
          </w:p>
        </w:tc>
      </w:tr>
      <w:tr>
        <w:tblPrEx>
          <w:tblLayout w:type="fixed"/>
          <w:tblCellMar>
            <w:top w:w="55" w:type="dxa"/>
            <w:left w:w="55" w:type="dxa"/>
            <w:bottom w:w="55" w:type="dxa"/>
            <w:right w:w="55" w:type="dxa"/>
          </w:tblCellMar>
        </w:tblPrEx>
        <w:trPr>
          <w:trHeight w:val="191" w:hRule="atLeast"/>
        </w:trPr>
        <w:tc>
          <w:tcPr>
            <w:tcW w:w="7354" w:type="dxa"/>
            <w:gridSpan w:val="3"/>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江苏省社会捐助服务中心</w:t>
            </w:r>
          </w:p>
        </w:tc>
        <w:tc>
          <w:tcPr>
            <w:tcW w:w="3686" w:type="dxa"/>
            <w:gridSpan w:val="2"/>
          </w:tcPr>
          <w:p>
            <w:pPr>
              <w:pStyle w:val="22"/>
              <w:widowControl w:val="0"/>
              <w:jc w:val="right"/>
              <w:rPr>
                <w:rFonts w:hint="eastAsia" w:ascii="仿宋" w:hAnsi="仿宋" w:eastAsia="仿宋" w:cs="仿宋"/>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220" w:hRule="atLeast"/>
        </w:trPr>
        <w:tc>
          <w:tcPr>
            <w:tcW w:w="4817" w:type="dxa"/>
            <w:gridSpan w:val="2"/>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537"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本年支出合计</w:t>
            </w:r>
          </w:p>
        </w:tc>
        <w:tc>
          <w:tcPr>
            <w:tcW w:w="1800"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1886" w:type="dxa"/>
            <w:vMerge w:val="restart"/>
            <w:tcBorders>
              <w:top w:val="single" w:color="000000" w:sz="6" w:space="0"/>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r>
      <w:tr>
        <w:tblPrEx>
          <w:tblLayout w:type="fixed"/>
          <w:tblCellMar>
            <w:top w:w="55" w:type="dxa"/>
            <w:left w:w="55" w:type="dxa"/>
            <w:bottom w:w="55" w:type="dxa"/>
            <w:right w:w="55" w:type="dxa"/>
          </w:tblCellMar>
        </w:tblPrEx>
        <w:trPr>
          <w:trHeight w:val="389" w:hRule="atLeast"/>
        </w:trPr>
        <w:tc>
          <w:tcPr>
            <w:tcW w:w="1397"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功能分类科目编码</w:t>
            </w:r>
          </w:p>
        </w:tc>
        <w:tc>
          <w:tcPr>
            <w:tcW w:w="3420"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537" w:type="dxa"/>
            <w:vMerge w:val="continue"/>
            <w:tcBorders>
              <w:left w:val="single" w:color="000000" w:sz="6" w:space="0"/>
              <w:bottom w:val="single" w:color="000000" w:sz="6" w:space="0"/>
            </w:tcBorders>
          </w:tcPr>
          <w:p>
            <w:pPr>
              <w:widowControl w:val="0"/>
              <w:jc w:val="left"/>
              <w:rPr>
                <w:rFonts w:hint="eastAsia" w:ascii="仿宋" w:hAnsi="仿宋" w:eastAsia="仿宋" w:cs="仿宋"/>
                <w:sz w:val="2"/>
                <w:szCs w:val="2"/>
              </w:rPr>
            </w:pPr>
          </w:p>
        </w:tc>
        <w:tc>
          <w:tcPr>
            <w:tcW w:w="1800" w:type="dxa"/>
            <w:vMerge w:val="continue"/>
            <w:tcBorders>
              <w:left w:val="single" w:color="000000" w:sz="6" w:space="0"/>
              <w:bottom w:val="single" w:color="000000" w:sz="6" w:space="0"/>
            </w:tcBorders>
          </w:tcPr>
          <w:p>
            <w:pPr>
              <w:widowControl w:val="0"/>
              <w:jc w:val="left"/>
              <w:rPr>
                <w:rFonts w:hint="eastAsia" w:ascii="仿宋" w:hAnsi="仿宋" w:eastAsia="仿宋" w:cs="仿宋"/>
                <w:sz w:val="2"/>
                <w:szCs w:val="2"/>
              </w:rPr>
            </w:pPr>
          </w:p>
        </w:tc>
        <w:tc>
          <w:tcPr>
            <w:tcW w:w="1886" w:type="dxa"/>
            <w:vMerge w:val="continue"/>
            <w:tcBorders>
              <w:left w:val="single" w:color="000000" w:sz="6" w:space="0"/>
              <w:bottom w:val="single" w:color="000000" w:sz="6" w:space="0"/>
              <w:right w:val="single" w:color="000000" w:sz="6" w:space="0"/>
            </w:tcBorders>
          </w:tcPr>
          <w:p>
            <w:pPr>
              <w:widowControl w:val="0"/>
              <w:jc w:val="left"/>
              <w:rPr>
                <w:rFonts w:hint="eastAsia" w:ascii="仿宋" w:hAnsi="仿宋" w:eastAsia="仿宋" w:cs="仿宋"/>
                <w:sz w:val="2"/>
                <w:szCs w:val="2"/>
              </w:rPr>
            </w:pPr>
          </w:p>
        </w:tc>
      </w:tr>
      <w:tr>
        <w:tblPrEx>
          <w:tblLayout w:type="fixed"/>
          <w:tblCellMar>
            <w:top w:w="55" w:type="dxa"/>
            <w:left w:w="55" w:type="dxa"/>
            <w:bottom w:w="55" w:type="dxa"/>
            <w:right w:w="55" w:type="dxa"/>
          </w:tblCellMar>
        </w:tblPrEx>
        <w:trPr>
          <w:trHeight w:val="152" w:hRule="atLeast"/>
        </w:trPr>
        <w:tc>
          <w:tcPr>
            <w:tcW w:w="4817"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栏次</w:t>
            </w:r>
          </w:p>
        </w:tc>
        <w:tc>
          <w:tcPr>
            <w:tcW w:w="2537"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1</w:t>
            </w:r>
          </w:p>
        </w:tc>
        <w:tc>
          <w:tcPr>
            <w:tcW w:w="1800"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2</w:t>
            </w:r>
          </w:p>
        </w:tc>
        <w:tc>
          <w:tcPr>
            <w:tcW w:w="1886" w:type="dxa"/>
            <w:tcBorders>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3</w:t>
            </w:r>
          </w:p>
        </w:tc>
      </w:tr>
      <w:tr>
        <w:tblPrEx>
          <w:tblLayout w:type="fixed"/>
          <w:tblCellMar>
            <w:top w:w="55" w:type="dxa"/>
            <w:left w:w="55" w:type="dxa"/>
            <w:bottom w:w="55" w:type="dxa"/>
            <w:right w:w="55" w:type="dxa"/>
          </w:tblCellMar>
        </w:tblPrEx>
        <w:trPr>
          <w:trHeight w:val="361" w:hRule="exact"/>
        </w:trPr>
        <w:tc>
          <w:tcPr>
            <w:tcW w:w="4817"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合计</w:t>
            </w:r>
          </w:p>
        </w:tc>
        <w:tc>
          <w:tcPr>
            <w:tcW w:w="2537" w:type="dxa"/>
            <w:tcBorders>
              <w:left w:val="single" w:color="000000" w:sz="6" w:space="0"/>
              <w:bottom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225.97</w:t>
            </w:r>
          </w:p>
        </w:tc>
        <w:tc>
          <w:tcPr>
            <w:tcW w:w="1800" w:type="dxa"/>
            <w:tcBorders>
              <w:left w:val="single" w:color="000000" w:sz="6" w:space="0"/>
              <w:bottom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218.29</w:t>
            </w:r>
          </w:p>
        </w:tc>
        <w:tc>
          <w:tcPr>
            <w:tcW w:w="1886" w:type="dxa"/>
            <w:tcBorders>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7.68</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社会保障和就业支出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175.52</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167.84</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7.68</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20802</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民政管理事务</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16.83</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16.83</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2080201</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行政运行</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16.83</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16.83</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20805</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行政事业单位养老支出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18.57</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18.57</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2080505</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机关事业单位基本养老保险缴费支出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12.38</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12.38</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2080506</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机关事业单位职业年金缴费支出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6.19</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6.19</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20899</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其他社会保障和就业支出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140.12</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132.44</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7.68</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2089901</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其他社会保障和就业支出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140.12</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132.44</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7.68</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221</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住房保障支出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50.45</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50.45</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22102</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住房改革支出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50.45</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50.45</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2210201</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住房公积金</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15.94</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15.94</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2210202</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提租补贴</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34.51</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34.51</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bl>
    <w:p>
      <w:pPr>
        <w:tabs>
          <w:tab w:val="left" w:pos="0"/>
        </w:tabs>
        <w:spacing w:before="25" w:after="0"/>
        <w:ind w:left="-220" w:leftChars="-100" w:firstLine="0" w:firstLineChars="0"/>
        <w:rPr>
          <w:rFonts w:hint="eastAsia" w:ascii="仿宋" w:hAnsi="仿宋" w:eastAsia="仿宋" w:cs="仿宋"/>
          <w:b/>
          <w:bCs/>
          <w:sz w:val="22"/>
          <w:szCs w:val="22"/>
        </w:rPr>
      </w:pPr>
      <w:r>
        <w:rPr>
          <w:rFonts w:hint="eastAsia" w:ascii="仿宋" w:hAnsi="仿宋" w:eastAsia="仿宋" w:cs="仿宋"/>
          <w:b/>
          <w:bCs/>
          <w:sz w:val="22"/>
          <w:szCs w:val="22"/>
        </w:rPr>
        <w:t>注：1.本表反映部门本年度按功能分类一般公共预算财政拨款实际支出情况。</w:t>
      </w:r>
    </w:p>
    <w:p>
      <w:pPr>
        <w:numPr>
          <w:ilvl w:val="0"/>
          <w:numId w:val="3"/>
        </w:numPr>
        <w:tabs>
          <w:tab w:val="left" w:pos="0"/>
          <w:tab w:val="clear" w:pos="312"/>
        </w:tabs>
        <w:spacing w:before="25" w:after="0"/>
        <w:ind w:left="20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0"/>
        </w:numPr>
        <w:suppressAutoHyphens/>
        <w:bidi w:val="0"/>
        <w:spacing w:before="25" w:after="0"/>
        <w:jc w:val="left"/>
        <w:rPr>
          <w:rFonts w:hint="eastAsia" w:ascii="仿宋" w:hAnsi="仿宋" w:eastAsia="仿宋" w:cs="仿宋"/>
          <w:b/>
          <w:bCs/>
          <w:sz w:val="22"/>
          <w:szCs w:val="22"/>
        </w:rPr>
        <w:sectPr>
          <w:footerReference r:id="rId13"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0954" w:type="dxa"/>
        <w:tblInd w:w="-206" w:type="dxa"/>
        <w:tblLayout w:type="fixed"/>
        <w:tblCellMar>
          <w:top w:w="55" w:type="dxa"/>
          <w:left w:w="55" w:type="dxa"/>
          <w:bottom w:w="55" w:type="dxa"/>
          <w:right w:w="55" w:type="dxa"/>
        </w:tblCellMar>
      </w:tblPr>
      <w:tblGrid>
        <w:gridCol w:w="1114"/>
        <w:gridCol w:w="2777"/>
        <w:gridCol w:w="644"/>
        <w:gridCol w:w="1996"/>
        <w:gridCol w:w="2246"/>
        <w:gridCol w:w="2177"/>
      </w:tblGrid>
      <w:tr>
        <w:tblPrEx>
          <w:tblLayout w:type="fixed"/>
          <w:tblCellMar>
            <w:top w:w="55" w:type="dxa"/>
            <w:left w:w="55" w:type="dxa"/>
            <w:bottom w:w="55" w:type="dxa"/>
            <w:right w:w="55" w:type="dxa"/>
          </w:tblCellMar>
        </w:tblPrEx>
        <w:trPr>
          <w:trHeight w:val="319" w:hRule="atLeast"/>
        </w:trPr>
        <w:tc>
          <w:tcPr>
            <w:tcW w:w="10954" w:type="dxa"/>
            <w:gridSpan w:val="6"/>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一般公共预算基本支出决算表（经济科目）</w:t>
            </w:r>
          </w:p>
        </w:tc>
      </w:tr>
      <w:tr>
        <w:tblPrEx>
          <w:tblLayout w:type="fixed"/>
          <w:tblCellMar>
            <w:top w:w="55" w:type="dxa"/>
            <w:left w:w="55" w:type="dxa"/>
            <w:bottom w:w="55" w:type="dxa"/>
            <w:right w:w="55" w:type="dxa"/>
          </w:tblCellMar>
        </w:tblPrEx>
        <w:trPr>
          <w:trHeight w:val="189" w:hRule="atLeast"/>
        </w:trPr>
        <w:tc>
          <w:tcPr>
            <w:tcW w:w="3891" w:type="dxa"/>
            <w:gridSpan w:val="2"/>
          </w:tcPr>
          <w:p>
            <w:pPr>
              <w:pStyle w:val="22"/>
              <w:widowControl w:val="0"/>
              <w:rPr>
                <w:rFonts w:hint="eastAsia" w:ascii="仿宋" w:hAnsi="仿宋" w:eastAsia="仿宋" w:cs="仿宋"/>
                <w:sz w:val="20"/>
              </w:rPr>
            </w:pPr>
          </w:p>
        </w:tc>
        <w:tc>
          <w:tcPr>
            <w:tcW w:w="644" w:type="dxa"/>
          </w:tcPr>
          <w:p>
            <w:pPr>
              <w:pStyle w:val="22"/>
              <w:widowControl w:val="0"/>
              <w:rPr>
                <w:rFonts w:hint="eastAsia" w:ascii="仿宋" w:hAnsi="仿宋" w:eastAsia="仿宋" w:cs="仿宋"/>
                <w:sz w:val="20"/>
              </w:rPr>
            </w:pPr>
          </w:p>
        </w:tc>
        <w:tc>
          <w:tcPr>
            <w:tcW w:w="4242" w:type="dxa"/>
            <w:gridSpan w:val="2"/>
          </w:tcPr>
          <w:p>
            <w:pPr>
              <w:pStyle w:val="22"/>
              <w:widowControl w:val="0"/>
              <w:rPr>
                <w:rFonts w:hint="eastAsia" w:ascii="仿宋" w:hAnsi="仿宋" w:eastAsia="仿宋" w:cs="仿宋"/>
                <w:sz w:val="20"/>
              </w:rPr>
            </w:pPr>
          </w:p>
        </w:tc>
        <w:tc>
          <w:tcPr>
            <w:tcW w:w="217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公开08表</w:t>
            </w:r>
          </w:p>
        </w:tc>
      </w:tr>
      <w:tr>
        <w:tblPrEx>
          <w:tblLayout w:type="fixed"/>
          <w:tblCellMar>
            <w:top w:w="55" w:type="dxa"/>
            <w:left w:w="55" w:type="dxa"/>
            <w:bottom w:w="55" w:type="dxa"/>
            <w:right w:w="55" w:type="dxa"/>
          </w:tblCellMar>
        </w:tblPrEx>
        <w:trPr>
          <w:trHeight w:val="138" w:hRule="atLeast"/>
        </w:trPr>
        <w:tc>
          <w:tcPr>
            <w:tcW w:w="8777" w:type="dxa"/>
            <w:gridSpan w:val="5"/>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江苏省社会捐助服务中心</w:t>
            </w:r>
          </w:p>
        </w:tc>
        <w:tc>
          <w:tcPr>
            <w:tcW w:w="217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180" w:hRule="atLeast"/>
        </w:trPr>
        <w:tc>
          <w:tcPr>
            <w:tcW w:w="3891"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7063" w:type="dxa"/>
            <w:gridSpan w:val="4"/>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一般公共预算财政拨款基本支出</w:t>
            </w:r>
          </w:p>
        </w:tc>
      </w:tr>
      <w:tr>
        <w:tblPrEx>
          <w:tblLayout w:type="fixed"/>
          <w:tblCellMar>
            <w:top w:w="55" w:type="dxa"/>
            <w:left w:w="55" w:type="dxa"/>
            <w:bottom w:w="55" w:type="dxa"/>
            <w:right w:w="55" w:type="dxa"/>
          </w:tblCellMar>
        </w:tblPrEx>
        <w:trPr>
          <w:trHeight w:val="474" w:hRule="atLeast"/>
        </w:trPr>
        <w:tc>
          <w:tcPr>
            <w:tcW w:w="1114"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经济分类科目编码</w:t>
            </w:r>
          </w:p>
        </w:tc>
        <w:tc>
          <w:tcPr>
            <w:tcW w:w="277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640"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2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2177"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Layout w:type="fixed"/>
          <w:tblCellMar>
            <w:top w:w="55" w:type="dxa"/>
            <w:left w:w="55" w:type="dxa"/>
            <w:bottom w:w="55" w:type="dxa"/>
            <w:right w:w="55" w:type="dxa"/>
          </w:tblCellMar>
        </w:tblPrEx>
        <w:trPr>
          <w:trHeight w:val="394" w:hRule="exact"/>
        </w:trPr>
        <w:tc>
          <w:tcPr>
            <w:tcW w:w="3891"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640"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218.29</w:t>
            </w:r>
          </w:p>
        </w:tc>
        <w:tc>
          <w:tcPr>
            <w:tcW w:w="2246"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203.46</w:t>
            </w:r>
          </w:p>
        </w:tc>
        <w:tc>
          <w:tcPr>
            <w:tcW w:w="217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14.83</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工资福利支出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203.46</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203.46</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基本工资</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32.02</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32.02</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津贴补贴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44.24</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44.24</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伙食补助费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绩效工资</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94.94</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94.94</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10.12</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10.12</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职业年金缴费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3.54</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3.54</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职工基本医疗保险缴费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公务员医疗补助缴费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其他社会保障缴费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17.40</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17.40</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1.20</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1.20</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其他工资福利支出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商品和服务支出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14.83</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14.83</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3.31</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3.31</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印刷费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咨询费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0.80</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0.80</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手续费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电费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邮电费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0.06</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0.06</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取暖费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物业管理费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差旅费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1.01</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1.01</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因公出国（境）费用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维修（护）费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租赁费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会议费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培训费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公务接待费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专用材料费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被装购置费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专用燃料费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劳务费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委托业务费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工会经费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2.18</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2.18</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福利费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3.09</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3.09</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公务用车运行维护费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0.82</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0.82</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30240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税金及附加费用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其他商品和服务支出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3.55</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3.55</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对个人和家庭的补助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离休费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退休费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退职（役）费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抚恤金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生活补助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救济费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助学金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奖励金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个人农业生产补贴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代缴社会保险费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其他对个人和家庭的补助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债务利息及费用支出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国内债务付息</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国外债务付息</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国内债务发行费用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国外债务发行费用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资本性支出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房屋建筑物购建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办公设备购置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专用设备购置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基础设施建设</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大型修缮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信息网络及软件购置更新</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物资储备</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土地补偿</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安置补助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地上附着物和青苗补偿</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拆迁补偿</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其他交通工具购置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文物和陈列品购置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无形资产购置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其他资本性支出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对企业补助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资本金注入</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政府投资基金股权投资</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费用补贴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利息补贴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其他对企业补助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赠与</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国家赔偿费用支出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对民间非营利组织和群众性自治组织补贴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spacing w:before="25" w:after="0"/>
        <w:ind w:left="-220" w:leftChars="-100" w:firstLine="0" w:firstLineChars="0"/>
        <w:rPr>
          <w:rFonts w:hint="eastAsia" w:ascii="仿宋" w:hAnsi="仿宋" w:eastAsia="仿宋" w:cs="仿宋"/>
          <w:b/>
          <w:bCs/>
          <w:sz w:val="22"/>
          <w:szCs w:val="22"/>
        </w:rPr>
      </w:pPr>
      <w:r>
        <w:rPr>
          <w:rFonts w:hint="eastAsia" w:ascii="仿宋" w:hAnsi="仿宋" w:eastAsia="仿宋" w:cs="仿宋"/>
          <w:b/>
          <w:bCs/>
          <w:sz w:val="22"/>
          <w:szCs w:val="22"/>
        </w:rPr>
        <w:t>注：1. 本表反映部门本年度按经济分类一般公共预算财政拨款基本支出明细情况。</w:t>
      </w:r>
    </w:p>
    <w:p>
      <w:pPr>
        <w:numPr>
          <w:ilvl w:val="0"/>
          <w:numId w:val="4"/>
        </w:numPr>
        <w:spacing w:before="25" w:after="0"/>
        <w:ind w:left="20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0"/>
        </w:numPr>
        <w:suppressAutoHyphens/>
        <w:bidi w:val="0"/>
        <w:spacing w:before="25" w:after="0"/>
        <w:jc w:val="left"/>
        <w:rPr>
          <w:rFonts w:hint="eastAsia" w:ascii="仿宋" w:hAnsi="仿宋" w:eastAsia="仿宋" w:cs="仿宋"/>
          <w:b/>
          <w:bCs/>
          <w:sz w:val="22"/>
          <w:szCs w:val="22"/>
        </w:rPr>
        <w:sectPr>
          <w:footerReference r:id="rId14"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909" w:type="dxa"/>
        <w:tblInd w:w="-226" w:type="dxa"/>
        <w:tblLayout w:type="fixed"/>
        <w:tblCellMar>
          <w:top w:w="55" w:type="dxa"/>
          <w:left w:w="55" w:type="dxa"/>
          <w:bottom w:w="55" w:type="dxa"/>
          <w:right w:w="55" w:type="dxa"/>
        </w:tblCellMar>
      </w:tblPr>
      <w:tblGrid>
        <w:gridCol w:w="2471"/>
        <w:gridCol w:w="2332"/>
        <w:gridCol w:w="2037"/>
        <w:gridCol w:w="1697"/>
        <w:gridCol w:w="1680"/>
        <w:gridCol w:w="1852"/>
        <w:gridCol w:w="2057"/>
        <w:gridCol w:w="1783"/>
      </w:tblGrid>
      <w:tr>
        <w:tblPrEx>
          <w:tblLayout w:type="fixed"/>
          <w:tblCellMar>
            <w:top w:w="55" w:type="dxa"/>
            <w:left w:w="55" w:type="dxa"/>
            <w:bottom w:w="55" w:type="dxa"/>
            <w:right w:w="55" w:type="dxa"/>
          </w:tblCellMar>
        </w:tblPrEx>
        <w:trPr>
          <w:trHeight w:val="321" w:hRule="atLeast"/>
        </w:trPr>
        <w:tc>
          <w:tcPr>
            <w:tcW w:w="15909" w:type="dxa"/>
            <w:gridSpan w:val="8"/>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一般公共预算“三公”经费、会议费、培训费支出决算表</w:t>
            </w:r>
          </w:p>
        </w:tc>
      </w:tr>
      <w:tr>
        <w:tblPrEx>
          <w:tblLayout w:type="fixed"/>
          <w:tblCellMar>
            <w:top w:w="55" w:type="dxa"/>
            <w:left w:w="55" w:type="dxa"/>
            <w:bottom w:w="55" w:type="dxa"/>
            <w:right w:w="55" w:type="dxa"/>
          </w:tblCellMar>
        </w:tblPrEx>
        <w:trPr>
          <w:trHeight w:val="207" w:hRule="atLeast"/>
        </w:trPr>
        <w:tc>
          <w:tcPr>
            <w:tcW w:w="12069" w:type="dxa"/>
            <w:gridSpan w:val="6"/>
          </w:tcPr>
          <w:p>
            <w:pPr>
              <w:pStyle w:val="22"/>
              <w:widowControl w:val="0"/>
              <w:rPr>
                <w:rFonts w:hint="eastAsia" w:ascii="仿宋" w:hAnsi="仿宋" w:eastAsia="仿宋" w:cs="仿宋"/>
                <w:sz w:val="20"/>
              </w:rPr>
            </w:pPr>
          </w:p>
        </w:tc>
        <w:tc>
          <w:tcPr>
            <w:tcW w:w="3840" w:type="dxa"/>
            <w:gridSpan w:val="2"/>
            <w:vAlign w:val="center"/>
          </w:tcPr>
          <w:p>
            <w:pPr>
              <w:pStyle w:val="22"/>
              <w:widowControl w:val="0"/>
              <w:jc w:val="right"/>
              <w:rPr>
                <w:rFonts w:hint="eastAsia" w:ascii="仿宋" w:hAnsi="仿宋" w:eastAsia="仿宋" w:cs="仿宋"/>
                <w:sz w:val="20"/>
              </w:rPr>
            </w:pPr>
            <w:r>
              <w:rPr>
                <w:rFonts w:hint="eastAsia" w:ascii="仿宋" w:hAnsi="仿宋" w:eastAsia="仿宋" w:cs="仿宋"/>
              </w:rPr>
              <w:t>公开09表</w:t>
            </w:r>
          </w:p>
        </w:tc>
      </w:tr>
      <w:tr>
        <w:tblPrEx>
          <w:tblLayout w:type="fixed"/>
          <w:tblCellMar>
            <w:top w:w="55" w:type="dxa"/>
            <w:left w:w="55" w:type="dxa"/>
            <w:bottom w:w="55" w:type="dxa"/>
            <w:right w:w="55" w:type="dxa"/>
          </w:tblCellMar>
        </w:tblPrEx>
        <w:trPr>
          <w:trHeight w:val="103" w:hRule="atLeast"/>
        </w:trPr>
        <w:tc>
          <w:tcPr>
            <w:tcW w:w="12069" w:type="dxa"/>
            <w:gridSpan w:val="6"/>
          </w:tcPr>
          <w:p>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江苏省社会捐助服务中心</w:t>
            </w:r>
          </w:p>
        </w:tc>
        <w:tc>
          <w:tcPr>
            <w:tcW w:w="3840" w:type="dxa"/>
            <w:gridSpan w:val="2"/>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179" w:hRule="atLeast"/>
        </w:trPr>
        <w:tc>
          <w:tcPr>
            <w:tcW w:w="12069" w:type="dxa"/>
            <w:gridSpan w:val="6"/>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w:t>
            </w:r>
          </w:p>
        </w:tc>
        <w:tc>
          <w:tcPr>
            <w:tcW w:w="2057"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会议费</w:t>
            </w:r>
          </w:p>
        </w:tc>
        <w:tc>
          <w:tcPr>
            <w:tcW w:w="1783"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培训费</w:t>
            </w:r>
          </w:p>
        </w:tc>
      </w:tr>
      <w:tr>
        <w:tblPrEx>
          <w:tblLayout w:type="fixed"/>
          <w:tblCellMar>
            <w:top w:w="55" w:type="dxa"/>
            <w:left w:w="55" w:type="dxa"/>
            <w:bottom w:w="55" w:type="dxa"/>
            <w:right w:w="55" w:type="dxa"/>
          </w:tblCellMar>
        </w:tblPrEx>
        <w:trPr>
          <w:trHeight w:val="297" w:hRule="atLeast"/>
        </w:trPr>
        <w:tc>
          <w:tcPr>
            <w:tcW w:w="2471"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“三公”经费合计</w:t>
            </w:r>
          </w:p>
        </w:tc>
        <w:tc>
          <w:tcPr>
            <w:tcW w:w="2332"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因公出国（境）费</w:t>
            </w:r>
          </w:p>
        </w:tc>
        <w:tc>
          <w:tcPr>
            <w:tcW w:w="5414" w:type="dxa"/>
            <w:gridSpan w:val="3"/>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公务用车购置及运行维护费</w:t>
            </w:r>
          </w:p>
        </w:tc>
        <w:tc>
          <w:tcPr>
            <w:tcW w:w="1852"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公务接待费</w:t>
            </w:r>
          </w:p>
        </w:tc>
        <w:tc>
          <w:tcPr>
            <w:tcW w:w="2057" w:type="dxa"/>
            <w:vMerge w:val="continue"/>
            <w:tcBorders>
              <w:left w:val="single" w:color="000000" w:sz="4" w:space="0"/>
              <w:bottom w:val="single" w:color="000000" w:sz="4" w:space="0"/>
            </w:tcBorders>
            <w:vAlign w:val="center"/>
          </w:tcPr>
          <w:p>
            <w:pPr>
              <w:widowControl w:val="0"/>
              <w:jc w:val="center"/>
              <w:rPr>
                <w:rFonts w:hint="eastAsia" w:ascii="仿宋" w:hAnsi="仿宋" w:eastAsia="仿宋" w:cs="仿宋"/>
                <w:sz w:val="20"/>
              </w:rPr>
            </w:pPr>
          </w:p>
        </w:tc>
        <w:tc>
          <w:tcPr>
            <w:tcW w:w="1783" w:type="dxa"/>
            <w:vMerge w:val="continue"/>
            <w:tcBorders>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sz w:val="20"/>
              </w:rPr>
            </w:pPr>
          </w:p>
        </w:tc>
      </w:tr>
      <w:tr>
        <w:tblPrEx>
          <w:tblLayout w:type="fixed"/>
          <w:tblCellMar>
            <w:top w:w="55" w:type="dxa"/>
            <w:left w:w="55" w:type="dxa"/>
            <w:bottom w:w="55" w:type="dxa"/>
            <w:right w:w="55" w:type="dxa"/>
          </w:tblCellMar>
        </w:tblPrEx>
        <w:trPr>
          <w:trHeight w:val="645" w:hRule="exact"/>
        </w:trPr>
        <w:tc>
          <w:tcPr>
            <w:tcW w:w="2471"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2332"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203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ascii="仿宋" w:hAnsi="仿宋" w:eastAsia="仿宋" w:cs="仿宋"/>
              </w:rPr>
              <w:t>小计</w:t>
            </w:r>
          </w:p>
        </w:tc>
        <w:tc>
          <w:tcPr>
            <w:tcW w:w="169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公务用车购置费</w:t>
            </w:r>
          </w:p>
        </w:tc>
        <w:tc>
          <w:tcPr>
            <w:tcW w:w="168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公务用车运行</w:t>
            </w:r>
          </w:p>
          <w:p>
            <w:pPr>
              <w:pStyle w:val="22"/>
              <w:widowControl w:val="0"/>
              <w:jc w:val="center"/>
              <w:rPr>
                <w:rFonts w:hint="eastAsia" w:ascii="仿宋" w:hAnsi="仿宋" w:eastAsia="仿宋" w:cs="仿宋"/>
              </w:rPr>
            </w:pPr>
            <w:r>
              <w:rPr>
                <w:rFonts w:hint="eastAsia" w:ascii="仿宋" w:hAnsi="仿宋" w:eastAsia="仿宋" w:cs="仿宋"/>
              </w:rPr>
              <w:t>维护费</w:t>
            </w:r>
          </w:p>
        </w:tc>
        <w:tc>
          <w:tcPr>
            <w:tcW w:w="1852"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2057"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1783"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sz w:val="2"/>
                <w:szCs w:val="2"/>
              </w:rPr>
            </w:pPr>
          </w:p>
        </w:tc>
      </w:tr>
      <w:tr>
        <w:tblPrEx>
          <w:tblLayout w:type="fixed"/>
          <w:tblCellMar>
            <w:top w:w="55" w:type="dxa"/>
            <w:left w:w="55" w:type="dxa"/>
            <w:bottom w:w="55" w:type="dxa"/>
            <w:right w:w="55" w:type="dxa"/>
          </w:tblCellMar>
        </w:tblPrEx>
        <w:trPr>
          <w:cantSplit/>
          <w:trHeight w:val="165" w:hRule="atLeast"/>
        </w:trPr>
        <w:tc>
          <w:tcPr>
            <w:tcW w:w="247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0.82</w:t>
            </w:r>
          </w:p>
        </w:tc>
        <w:tc>
          <w:tcPr>
            <w:tcW w:w="233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203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0.82</w:t>
            </w:r>
          </w:p>
        </w:tc>
        <w:tc>
          <w:tcPr>
            <w:tcW w:w="169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168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0.82</w:t>
            </w:r>
          </w:p>
        </w:tc>
        <w:tc>
          <w:tcPr>
            <w:tcW w:w="185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205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1783"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r>
    </w:tbl>
    <w:p>
      <w:pPr>
        <w:spacing w:before="30" w:after="33"/>
        <w:ind w:left="376" w:firstLine="0"/>
        <w:rPr>
          <w:rFonts w:hint="eastAsia" w:ascii="仿宋" w:hAnsi="仿宋" w:eastAsia="仿宋" w:cs="仿宋"/>
          <w:sz w:val="22"/>
          <w:szCs w:val="22"/>
        </w:rPr>
      </w:pPr>
      <w:r>
        <w:rPr>
          <w:rFonts w:hint="eastAsia" w:ascii="仿宋" w:hAnsi="仿宋" w:eastAsia="仿宋" w:cs="仿宋"/>
          <w:sz w:val="22"/>
          <w:szCs w:val="22"/>
        </w:rPr>
        <w:t>相关统计数：</w:t>
      </w:r>
    </w:p>
    <w:tbl>
      <w:tblPr>
        <w:tblStyle w:val="13"/>
        <w:tblW w:w="12069" w:type="dxa"/>
        <w:tblInd w:w="-209" w:type="dxa"/>
        <w:tblLayout w:type="fixed"/>
        <w:tblCellMar>
          <w:top w:w="55" w:type="dxa"/>
          <w:left w:w="55" w:type="dxa"/>
          <w:bottom w:w="55" w:type="dxa"/>
          <w:right w:w="55" w:type="dxa"/>
        </w:tblCellMar>
      </w:tblPr>
      <w:tblGrid>
        <w:gridCol w:w="4299"/>
        <w:gridCol w:w="1976"/>
        <w:gridCol w:w="3908"/>
        <w:gridCol w:w="1886"/>
      </w:tblGrid>
      <w:tr>
        <w:tblPrEx>
          <w:tblLayout w:type="fixed"/>
          <w:tblCellMar>
            <w:top w:w="55" w:type="dxa"/>
            <w:left w:w="55" w:type="dxa"/>
            <w:bottom w:w="55" w:type="dxa"/>
            <w:right w:w="55" w:type="dxa"/>
          </w:tblCellMar>
        </w:tblPrEx>
        <w:trPr>
          <w:cantSplit/>
          <w:trHeight w:val="214" w:hRule="atLeast"/>
        </w:trPr>
        <w:tc>
          <w:tcPr>
            <w:tcW w:w="4299"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ascii="仿宋" w:hAnsi="仿宋" w:eastAsia="仿宋" w:cs="仿宋"/>
                <w:sz w:val="22"/>
              </w:rPr>
              <w:t>项目</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统计数</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项目</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统计数</w:t>
            </w: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因公出国（境）团组数(个)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因公出国（境）人次数(人)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公务用车购置数(辆)</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公务用车保有量(辆)</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w:t>
            </w: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国内公务接待批次(个)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国内公务接待人次(人)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国（境）外公务接待批次(个)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国（境）外公务接待人次(人)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召开会议次数(个)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参加会议人次(人)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组织培训次数(个)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参加培训人次(人)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r>
    </w:tbl>
    <w:p>
      <w:pPr>
        <w:widowControl w:val="0"/>
        <w:suppressAutoHyphens/>
        <w:bidi w:val="0"/>
        <w:spacing w:before="0" w:after="0"/>
        <w:ind w:left="-220" w:leftChars="0" w:right="0" w:firstLine="0" w:firstLineChars="0"/>
        <w:jc w:val="left"/>
        <w:rPr>
          <w:rFonts w:hint="eastAsia" w:ascii="仿宋" w:hAnsi="仿宋" w:eastAsia="仿宋" w:cs="仿宋"/>
          <w:b/>
          <w:bCs/>
          <w:sz w:val="22"/>
          <w:szCs w:val="22"/>
        </w:rPr>
      </w:pPr>
      <w:r>
        <w:rPr>
          <w:rFonts w:hint="eastAsia" w:ascii="仿宋" w:hAnsi="仿宋" w:eastAsia="仿宋" w:cs="仿宋"/>
          <w:b/>
          <w:bCs/>
          <w:sz w:val="22"/>
          <w:szCs w:val="22"/>
        </w:rPr>
        <w:t>注：</w:t>
      </w:r>
      <w:r>
        <w:rPr>
          <w:rFonts w:hint="eastAsia" w:ascii="仿宋" w:hAnsi="仿宋" w:eastAsia="仿宋" w:cs="仿宋"/>
          <w:b/>
          <w:bCs/>
          <w:sz w:val="22"/>
          <w:szCs w:val="22"/>
          <w:lang w:val="en-US" w:eastAsia="zh-CN"/>
        </w:rPr>
        <w:t>1.</w:t>
      </w:r>
      <w:r>
        <w:rPr>
          <w:rFonts w:hint="eastAsia" w:ascii="仿宋" w:hAnsi="仿宋" w:eastAsia="仿宋" w:cs="仿宋"/>
          <w:b/>
          <w:bCs/>
          <w:sz w:val="22"/>
          <w:szCs w:val="22"/>
        </w:rPr>
        <w:t>“三公”经费、会议费、培训费详细支出情况见支出情况说明。</w:t>
      </w:r>
    </w:p>
    <w:p>
      <w:pPr>
        <w:widowControl w:val="0"/>
        <w:numPr>
          <w:ilvl w:val="0"/>
          <w:numId w:val="5"/>
        </w:numPr>
        <w:suppressAutoHyphens/>
        <w:bidi w:val="0"/>
        <w:spacing w:before="0" w:after="0"/>
        <w:ind w:left="200" w:leftChars="0" w:right="0" w:firstLine="0" w:firstLineChars="0"/>
        <w:jc w:val="left"/>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suppressAutoHyphens/>
        <w:bidi w:val="0"/>
        <w:spacing w:before="0" w:after="0"/>
        <w:ind w:left="227" w:right="0" w:firstLine="221" w:firstLineChars="100"/>
        <w:jc w:val="left"/>
        <w:rPr>
          <w:rFonts w:hint="eastAsia" w:ascii="仿宋" w:hAnsi="仿宋" w:eastAsia="仿宋" w:cs="仿宋"/>
          <w:b/>
          <w:bCs/>
          <w:sz w:val="22"/>
          <w:szCs w:val="22"/>
        </w:rPr>
        <w:sectPr>
          <w:footerReference r:id="rId15"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772" w:type="dxa"/>
        <w:tblInd w:w="-106" w:type="dxa"/>
        <w:tblLayout w:type="fixed"/>
        <w:tblCellMar>
          <w:top w:w="55" w:type="dxa"/>
          <w:left w:w="55" w:type="dxa"/>
          <w:bottom w:w="55" w:type="dxa"/>
          <w:right w:w="55" w:type="dxa"/>
        </w:tblCellMar>
      </w:tblPr>
      <w:tblGrid>
        <w:gridCol w:w="1466"/>
        <w:gridCol w:w="2511"/>
        <w:gridCol w:w="2092"/>
        <w:gridCol w:w="2331"/>
        <w:gridCol w:w="1869"/>
        <w:gridCol w:w="1577"/>
        <w:gridCol w:w="1646"/>
        <w:gridCol w:w="2280"/>
      </w:tblGrid>
      <w:tr>
        <w:tblPrEx>
          <w:tblLayout w:type="fixed"/>
          <w:tblCellMar>
            <w:top w:w="55" w:type="dxa"/>
            <w:left w:w="55" w:type="dxa"/>
            <w:bottom w:w="55" w:type="dxa"/>
            <w:right w:w="55" w:type="dxa"/>
          </w:tblCellMar>
        </w:tblPrEx>
        <w:trPr>
          <w:trHeight w:val="395" w:hRule="atLeast"/>
        </w:trPr>
        <w:tc>
          <w:tcPr>
            <w:tcW w:w="15772" w:type="dxa"/>
            <w:gridSpan w:val="8"/>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政府性基金预算收入支出决算表</w:t>
            </w:r>
          </w:p>
        </w:tc>
      </w:tr>
      <w:tr>
        <w:tblPrEx>
          <w:tblLayout w:type="fixed"/>
          <w:tblCellMar>
            <w:top w:w="55" w:type="dxa"/>
            <w:left w:w="55" w:type="dxa"/>
            <w:bottom w:w="55" w:type="dxa"/>
            <w:right w:w="55" w:type="dxa"/>
          </w:tblCellMar>
        </w:tblPrEx>
        <w:trPr>
          <w:trHeight w:val="323" w:hRule="atLeast"/>
        </w:trPr>
        <w:tc>
          <w:tcPr>
            <w:tcW w:w="3977" w:type="dxa"/>
            <w:gridSpan w:val="2"/>
          </w:tcPr>
          <w:p>
            <w:pPr>
              <w:pStyle w:val="22"/>
              <w:widowControl w:val="0"/>
              <w:rPr>
                <w:rFonts w:hint="eastAsia" w:ascii="仿宋" w:hAnsi="仿宋" w:eastAsia="仿宋" w:cs="仿宋"/>
                <w:sz w:val="20"/>
              </w:rPr>
            </w:pPr>
          </w:p>
        </w:tc>
        <w:tc>
          <w:tcPr>
            <w:tcW w:w="2092" w:type="dxa"/>
          </w:tcPr>
          <w:p>
            <w:pPr>
              <w:pStyle w:val="22"/>
              <w:widowControl w:val="0"/>
              <w:rPr>
                <w:rFonts w:hint="eastAsia" w:ascii="仿宋" w:hAnsi="仿宋" w:eastAsia="仿宋" w:cs="仿宋"/>
                <w:sz w:val="27"/>
              </w:rPr>
            </w:pPr>
          </w:p>
        </w:tc>
        <w:tc>
          <w:tcPr>
            <w:tcW w:w="2331" w:type="dxa"/>
          </w:tcPr>
          <w:p>
            <w:pPr>
              <w:pStyle w:val="22"/>
              <w:widowControl w:val="0"/>
              <w:rPr>
                <w:rFonts w:hint="eastAsia" w:ascii="仿宋" w:hAnsi="仿宋" w:eastAsia="仿宋" w:cs="仿宋"/>
                <w:sz w:val="27"/>
              </w:rPr>
            </w:pPr>
          </w:p>
        </w:tc>
        <w:tc>
          <w:tcPr>
            <w:tcW w:w="5092" w:type="dxa"/>
            <w:gridSpan w:val="3"/>
          </w:tcPr>
          <w:p>
            <w:pPr>
              <w:pStyle w:val="22"/>
              <w:widowControl w:val="0"/>
              <w:rPr>
                <w:rFonts w:hint="eastAsia" w:ascii="仿宋" w:hAnsi="仿宋" w:eastAsia="仿宋" w:cs="仿宋"/>
                <w:sz w:val="20"/>
              </w:rPr>
            </w:pPr>
          </w:p>
        </w:tc>
        <w:tc>
          <w:tcPr>
            <w:tcW w:w="2280"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公开10表</w:t>
            </w:r>
          </w:p>
        </w:tc>
      </w:tr>
      <w:tr>
        <w:tblPrEx>
          <w:tblLayout w:type="fixed"/>
          <w:tblCellMar>
            <w:top w:w="55" w:type="dxa"/>
            <w:left w:w="55" w:type="dxa"/>
            <w:bottom w:w="55" w:type="dxa"/>
            <w:right w:w="55" w:type="dxa"/>
          </w:tblCellMar>
        </w:tblPrEx>
        <w:trPr>
          <w:trHeight w:val="138" w:hRule="atLeast"/>
        </w:trPr>
        <w:tc>
          <w:tcPr>
            <w:tcW w:w="13492" w:type="dxa"/>
            <w:gridSpan w:val="7"/>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江苏省社会捐助服务中心</w:t>
            </w:r>
          </w:p>
        </w:tc>
        <w:tc>
          <w:tcPr>
            <w:tcW w:w="2280"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213" w:hRule="atLeast"/>
        </w:trPr>
        <w:tc>
          <w:tcPr>
            <w:tcW w:w="3977"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092"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年初结转和结余</w:t>
            </w:r>
          </w:p>
        </w:tc>
        <w:tc>
          <w:tcPr>
            <w:tcW w:w="2331"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本年收入</w:t>
            </w:r>
          </w:p>
        </w:tc>
        <w:tc>
          <w:tcPr>
            <w:tcW w:w="5092" w:type="dxa"/>
            <w:gridSpan w:val="3"/>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本年支出</w:t>
            </w:r>
          </w:p>
        </w:tc>
        <w:tc>
          <w:tcPr>
            <w:tcW w:w="2280"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年末结转和结余</w:t>
            </w:r>
          </w:p>
        </w:tc>
      </w:tr>
      <w:tr>
        <w:tblPrEx>
          <w:tblLayout w:type="fixed"/>
          <w:tblCellMar>
            <w:top w:w="55" w:type="dxa"/>
            <w:left w:w="55" w:type="dxa"/>
            <w:bottom w:w="55" w:type="dxa"/>
            <w:right w:w="55" w:type="dxa"/>
          </w:tblCellMar>
        </w:tblPrEx>
        <w:trPr>
          <w:trHeight w:val="528" w:hRule="atLeast"/>
        </w:trPr>
        <w:tc>
          <w:tcPr>
            <w:tcW w:w="146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w:t>
            </w:r>
          </w:p>
          <w:p>
            <w:pPr>
              <w:pStyle w:val="22"/>
              <w:widowControl w:val="0"/>
              <w:jc w:val="center"/>
              <w:rPr>
                <w:rFonts w:hint="eastAsia" w:ascii="仿宋" w:hAnsi="仿宋" w:eastAsia="仿宋" w:cs="仿宋"/>
              </w:rPr>
            </w:pPr>
            <w:r>
              <w:rPr>
                <w:rFonts w:hint="eastAsia" w:ascii="仿宋" w:hAnsi="仿宋" w:eastAsia="仿宋" w:cs="仿宋"/>
              </w:rPr>
              <w:t>科目编码</w:t>
            </w:r>
          </w:p>
        </w:tc>
        <w:tc>
          <w:tcPr>
            <w:tcW w:w="251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092"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2331"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86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小计</w:t>
            </w:r>
          </w:p>
        </w:tc>
        <w:tc>
          <w:tcPr>
            <w:tcW w:w="157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16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c>
          <w:tcPr>
            <w:tcW w:w="2280"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rPr>
            </w:pPr>
          </w:p>
        </w:tc>
      </w:tr>
      <w:tr>
        <w:tblPrEx>
          <w:tblLayout w:type="fixed"/>
          <w:tblCellMar>
            <w:top w:w="55" w:type="dxa"/>
            <w:left w:w="55" w:type="dxa"/>
            <w:bottom w:w="55" w:type="dxa"/>
            <w:right w:w="55" w:type="dxa"/>
          </w:tblCellMar>
        </w:tblPrEx>
        <w:trPr>
          <w:trHeight w:val="275" w:hRule="atLeast"/>
        </w:trPr>
        <w:tc>
          <w:tcPr>
            <w:tcW w:w="3977"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栏次</w:t>
            </w:r>
          </w:p>
        </w:tc>
        <w:tc>
          <w:tcPr>
            <w:tcW w:w="209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xml:space="preserve">  1</w:t>
            </w:r>
          </w:p>
        </w:tc>
        <w:tc>
          <w:tcPr>
            <w:tcW w:w="233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xml:space="preserve">  2</w:t>
            </w:r>
          </w:p>
        </w:tc>
        <w:tc>
          <w:tcPr>
            <w:tcW w:w="186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3</w:t>
            </w:r>
          </w:p>
        </w:tc>
        <w:tc>
          <w:tcPr>
            <w:tcW w:w="157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4</w:t>
            </w:r>
          </w:p>
        </w:tc>
        <w:tc>
          <w:tcPr>
            <w:tcW w:w="16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5</w:t>
            </w:r>
          </w:p>
        </w:tc>
        <w:tc>
          <w:tcPr>
            <w:tcW w:w="2280"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xml:space="preserve">  6</w:t>
            </w:r>
          </w:p>
        </w:tc>
      </w:tr>
      <w:tr>
        <w:tblPrEx>
          <w:tblLayout w:type="fixed"/>
          <w:tblCellMar>
            <w:top w:w="55" w:type="dxa"/>
            <w:left w:w="55" w:type="dxa"/>
            <w:bottom w:w="55" w:type="dxa"/>
            <w:right w:w="55" w:type="dxa"/>
          </w:tblCellMar>
        </w:tblPrEx>
        <w:trPr>
          <w:trHeight w:val="407" w:hRule="exact"/>
        </w:trPr>
        <w:tc>
          <w:tcPr>
            <w:tcW w:w="3977"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09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233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1869"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157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1646"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228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spacing w:before="25" w:after="0"/>
        <w:ind w:left="-220" w:leftChars="-100" w:firstLine="0" w:firstLineChars="0"/>
        <w:rPr>
          <w:rFonts w:hint="eastAsia" w:ascii="仿宋" w:hAnsi="仿宋" w:eastAsia="仿宋" w:cs="仿宋"/>
          <w:b/>
          <w:bCs/>
          <w:sz w:val="22"/>
          <w:szCs w:val="22"/>
        </w:rPr>
      </w:pPr>
      <w:r>
        <w:rPr>
          <w:rFonts w:hint="eastAsia" w:ascii="仿宋" w:hAnsi="仿宋" w:eastAsia="仿宋" w:cs="仿宋"/>
          <w:b/>
          <w:bCs/>
          <w:sz w:val="22"/>
          <w:szCs w:val="22"/>
        </w:rPr>
        <w:t>注：1. 本表反映部门本年度按功能分类政府性基金预算财政拨款收支及结转和结余情况。</w:t>
      </w:r>
    </w:p>
    <w:p>
      <w:pPr>
        <w:numPr>
          <w:ilvl w:val="0"/>
          <w:numId w:val="6"/>
        </w:numPr>
        <w:spacing w:before="25" w:after="0"/>
        <w:ind w:left="20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numPr>
          <w:ilvl w:val="0"/>
          <w:numId w:val="6"/>
        </w:numPr>
        <w:spacing w:before="25" w:after="0"/>
        <w:ind w:left="200" w:leftChars="0" w:firstLine="0" w:firstLineChars="0"/>
        <w:rPr>
          <w:rFonts w:hint="default" w:ascii="仿宋" w:hAnsi="仿宋" w:eastAsia="仿宋" w:cs="仿宋"/>
          <w:b/>
          <w:bCs/>
          <w:sz w:val="22"/>
          <w:szCs w:val="22"/>
          <w:lang w:val="en-US" w:eastAsia="zh-CN"/>
        </w:rPr>
      </w:pPr>
      <w:r>
        <w:rPr>
          <w:rFonts w:ascii="仿宋" w:hAnsi="仿宋" w:eastAsia="仿宋" w:cs="仿宋"/>
          <w:b/>
          <w:sz w:val="22"/>
        </w:rPr>
        <w:t>本单位无政府性基金预算收入支出决算，故本表为空。</w:t>
      </w:r>
    </w:p>
    <w:p>
      <w:pPr>
        <w:widowControl w:val="0"/>
        <w:numPr>
          <w:ilvl w:val="0"/>
          <w:numId w:val="0"/>
        </w:numPr>
        <w:suppressAutoHyphens/>
        <w:bidi w:val="0"/>
        <w:spacing w:before="25" w:after="0"/>
        <w:jc w:val="left"/>
        <w:rPr>
          <w:rFonts w:hint="default" w:ascii="仿宋" w:hAnsi="仿宋" w:eastAsia="仿宋" w:cs="仿宋"/>
          <w:b/>
          <w:bCs/>
          <w:sz w:val="22"/>
          <w:szCs w:val="22"/>
          <w:lang w:val="en-US" w:eastAsia="zh-CN"/>
        </w:rPr>
        <w:sectPr>
          <w:footerReference r:id="rId16"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0235" w:type="dxa"/>
        <w:tblInd w:w="-403" w:type="dxa"/>
        <w:tblLayout w:type="fixed"/>
        <w:tblCellMar>
          <w:top w:w="55" w:type="dxa"/>
          <w:left w:w="55" w:type="dxa"/>
          <w:bottom w:w="55" w:type="dxa"/>
          <w:right w:w="55" w:type="dxa"/>
        </w:tblCellMar>
      </w:tblPr>
      <w:tblGrid>
        <w:gridCol w:w="3088"/>
        <w:gridCol w:w="2876"/>
        <w:gridCol w:w="1920"/>
        <w:gridCol w:w="2351"/>
      </w:tblGrid>
      <w:tr>
        <w:tblPrEx>
          <w:tblLayout w:type="fixed"/>
          <w:tblCellMar>
            <w:top w:w="55" w:type="dxa"/>
            <w:left w:w="55" w:type="dxa"/>
            <w:bottom w:w="55" w:type="dxa"/>
            <w:right w:w="55" w:type="dxa"/>
          </w:tblCellMar>
        </w:tblPrEx>
        <w:trPr>
          <w:trHeight w:val="319" w:hRule="atLeast"/>
        </w:trPr>
        <w:tc>
          <w:tcPr>
            <w:tcW w:w="10235" w:type="dxa"/>
            <w:gridSpan w:val="4"/>
          </w:tcPr>
          <w:p>
            <w:pPr>
              <w:pStyle w:val="22"/>
              <w:widowControl w:val="0"/>
              <w:tabs>
                <w:tab w:val="left" w:pos="610"/>
              </w:tabs>
              <w:spacing w:before="28" w:after="0"/>
              <w:ind w:left="8" w:firstLine="0"/>
              <w:jc w:val="center"/>
              <w:rPr>
                <w:rFonts w:hint="eastAsia" w:ascii="仿宋" w:hAnsi="仿宋" w:eastAsia="仿宋" w:cs="仿宋"/>
                <w:b/>
                <w:bCs/>
                <w:sz w:val="44"/>
                <w:szCs w:val="44"/>
              </w:rPr>
            </w:pPr>
            <w:r>
              <w:rPr>
                <w:rFonts w:hint="eastAsia" w:ascii="仿宋" w:hAnsi="仿宋" w:eastAsia="仿宋" w:cs="仿宋"/>
                <w:b/>
                <w:bCs/>
                <w:sz w:val="44"/>
                <w:szCs w:val="44"/>
              </w:rPr>
              <w:t>一般公共预算机关运行经费支出决算表</w:t>
            </w:r>
          </w:p>
        </w:tc>
      </w:tr>
      <w:tr>
        <w:tblPrEx>
          <w:tblLayout w:type="fixed"/>
          <w:tblCellMar>
            <w:top w:w="55" w:type="dxa"/>
            <w:left w:w="55" w:type="dxa"/>
            <w:bottom w:w="55" w:type="dxa"/>
            <w:right w:w="55" w:type="dxa"/>
          </w:tblCellMar>
        </w:tblPrEx>
        <w:trPr>
          <w:trHeight w:val="90" w:hRule="atLeast"/>
        </w:trPr>
        <w:tc>
          <w:tcPr>
            <w:tcW w:w="5964" w:type="dxa"/>
            <w:gridSpan w:val="2"/>
          </w:tcPr>
          <w:p>
            <w:pPr>
              <w:pStyle w:val="22"/>
              <w:widowControl w:val="0"/>
              <w:rPr>
                <w:rFonts w:hint="eastAsia" w:ascii="仿宋" w:hAnsi="仿宋" w:eastAsia="仿宋" w:cs="仿宋"/>
                <w:sz w:val="20"/>
              </w:rPr>
            </w:pPr>
          </w:p>
        </w:tc>
        <w:tc>
          <w:tcPr>
            <w:tcW w:w="4271"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公开11表</w:t>
            </w:r>
          </w:p>
        </w:tc>
      </w:tr>
      <w:tr>
        <w:tblPrEx>
          <w:tblLayout w:type="fixed"/>
          <w:tblCellMar>
            <w:top w:w="55" w:type="dxa"/>
            <w:left w:w="55" w:type="dxa"/>
            <w:bottom w:w="55" w:type="dxa"/>
            <w:right w:w="55" w:type="dxa"/>
          </w:tblCellMar>
        </w:tblPrEx>
        <w:trPr>
          <w:trHeight w:val="90" w:hRule="atLeast"/>
        </w:trPr>
        <w:tc>
          <w:tcPr>
            <w:tcW w:w="7884" w:type="dxa"/>
            <w:gridSpan w:val="3"/>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江苏省社会捐助服务中心</w:t>
            </w:r>
          </w:p>
        </w:tc>
        <w:tc>
          <w:tcPr>
            <w:tcW w:w="2351"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319" w:hRule="atLeast"/>
        </w:trPr>
        <w:tc>
          <w:tcPr>
            <w:tcW w:w="5964" w:type="dxa"/>
            <w:gridSpan w:val="2"/>
            <w:tcBorders>
              <w:top w:val="single" w:color="000000" w:sz="4" w:space="0"/>
              <w:left w:val="single" w:color="000000" w:sz="4" w:space="0"/>
              <w:bottom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4271" w:type="dxa"/>
            <w:gridSpan w:val="2"/>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机关运行经费支出决算</w:t>
            </w:r>
          </w:p>
        </w:tc>
      </w:tr>
      <w:tr>
        <w:tblPrEx>
          <w:tblLayout w:type="fixed"/>
          <w:tblCellMar>
            <w:top w:w="55" w:type="dxa"/>
            <w:left w:w="55" w:type="dxa"/>
            <w:bottom w:w="55" w:type="dxa"/>
            <w:right w:w="55" w:type="dxa"/>
          </w:tblCellMar>
        </w:tblPrEx>
        <w:trPr>
          <w:trHeight w:val="363" w:hRule="atLeast"/>
        </w:trPr>
        <w:tc>
          <w:tcPr>
            <w:tcW w:w="3088"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287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4271" w:type="dxa"/>
            <w:gridSpan w:val="2"/>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63" w:hRule="atLeast"/>
        </w:trPr>
        <w:tc>
          <w:tcPr>
            <w:tcW w:w="5964"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4271" w:type="dxa"/>
            <w:gridSpan w:val="2"/>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302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商品和服务支出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办公费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印刷费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咨询费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30204</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手续费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水费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电费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邮电费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取暖费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物业管理费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差旅费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因公出国（境）费用</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维修（护）费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30214</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租赁费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会议费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培训费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公务接待费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专用材料费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30224</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被装购置费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专用燃料费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劳务费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委托业务费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工会经费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福利费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30231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公务用车运行维护费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30239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其他交通费用</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30240</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税金及附加费用</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30299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其他商品和服务支出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307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债务利息及费用支出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310</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资本性支出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房屋建筑物购建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办公设备购置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专用设备购置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基础设施建设</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大型修缮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信息网络及软件购置更新</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物资储备</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土地补偿</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31010</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安置补助</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地上附着物和青苗补偿</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拆迁补偿</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公务用车购置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其他交通工具购置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31021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文物和陈列品购置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31022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无形资产购置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31099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其他资本性支出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312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对企业补助</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399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bl>
    <w:p>
      <w:pPr>
        <w:spacing w:before="25" w:after="0"/>
        <w:ind w:left="2" w:leftChars="-200" w:hanging="442" w:hangingChars="200"/>
        <w:rPr>
          <w:rFonts w:hint="eastAsia" w:ascii="仿宋" w:hAnsi="仿宋" w:eastAsia="仿宋" w:cs="仿宋"/>
          <w:b/>
          <w:bCs/>
          <w:sz w:val="22"/>
          <w:szCs w:val="22"/>
        </w:rPr>
      </w:pPr>
      <w:r>
        <w:rPr>
          <w:rFonts w:hint="eastAsia" w:ascii="仿宋" w:hAnsi="仿宋" w:eastAsia="仿宋" w:cs="仿宋"/>
          <w:b/>
          <w:bCs/>
          <w:sz w:val="22"/>
          <w:szCs w:val="22"/>
        </w:rPr>
        <w:t>注：1.“机关运行经费” 指行政单位（含参照公务员法管理的事业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w:t>
      </w:r>
    </w:p>
    <w:p>
      <w:pPr>
        <w:numPr>
          <w:ilvl w:val="0"/>
          <w:numId w:val="7"/>
        </w:numPr>
        <w:tabs>
          <w:tab w:val="left" w:pos="0"/>
          <w:tab w:val="clear" w:pos="312"/>
        </w:tabs>
        <w:spacing w:before="25" w:after="0"/>
        <w:ind w:left="-1"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numPr>
          <w:ilvl w:val="0"/>
          <w:numId w:val="7"/>
        </w:numPr>
        <w:tabs>
          <w:tab w:val="left" w:pos="0"/>
          <w:tab w:val="clear" w:pos="312"/>
        </w:tabs>
        <w:spacing w:before="25" w:after="0"/>
        <w:ind w:left="-1" w:leftChars="0" w:firstLine="0" w:firstLineChars="0"/>
        <w:rPr>
          <w:rFonts w:hint="eastAsia" w:ascii="仿宋" w:hAnsi="仿宋" w:eastAsia="仿宋" w:cs="仿宋"/>
          <w:b/>
          <w:bCs/>
          <w:sz w:val="22"/>
          <w:szCs w:val="22"/>
        </w:rPr>
      </w:pPr>
      <w:r>
        <w:rPr>
          <w:rFonts w:hint="eastAsia" w:ascii="仿宋" w:hAnsi="仿宋" w:eastAsia="仿宋" w:cs="仿宋"/>
          <w:b/>
          <w:bCs/>
          <w:sz w:val="22"/>
          <w:szCs w:val="22"/>
          <w:lang w:eastAsia="zh-CN"/>
        </w:rPr>
        <w:t>本</w:t>
      </w:r>
      <w:r>
        <w:rPr>
          <w:rFonts w:ascii="仿宋" w:hAnsi="仿宋" w:eastAsia="仿宋" w:cs="仿宋"/>
          <w:b/>
          <w:sz w:val="22"/>
        </w:rPr>
        <w:t>单位</w:t>
      </w:r>
      <w:r>
        <w:rPr>
          <w:rFonts w:hint="eastAsia" w:ascii="仿宋" w:hAnsi="仿宋" w:eastAsia="仿宋" w:cs="仿宋"/>
          <w:b/>
          <w:bCs/>
          <w:sz w:val="22"/>
          <w:szCs w:val="22"/>
        </w:rPr>
        <w:t>无一般公共预算机关运行经费支出决算，故本表为空。</w:t>
      </w:r>
    </w:p>
    <w:p>
      <w:pPr>
        <w:widowControl w:val="0"/>
        <w:suppressAutoHyphens/>
        <w:bidi w:val="0"/>
        <w:spacing w:before="78" w:after="0" w:line="290" w:lineRule="auto"/>
        <w:ind w:left="227" w:right="57" w:firstLine="0"/>
        <w:jc w:val="both"/>
        <w:rPr>
          <w:rFonts w:hint="eastAsia" w:ascii="仿宋" w:hAnsi="仿宋" w:eastAsia="仿宋" w:cs="仿宋"/>
          <w:b/>
          <w:bCs/>
          <w:sz w:val="22"/>
          <w:szCs w:val="22"/>
        </w:rPr>
        <w:sectPr>
          <w:footerReference r:id="rId17" w:type="default"/>
          <w:pgSz w:w="11906" w:h="16838"/>
          <w:pgMar w:top="1100" w:right="1320" w:bottom="770" w:left="13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9177" w:type="dxa"/>
        <w:tblInd w:w="45" w:type="dxa"/>
        <w:tblLayout w:type="fixed"/>
        <w:tblCellMar>
          <w:top w:w="55" w:type="dxa"/>
          <w:left w:w="55" w:type="dxa"/>
          <w:bottom w:w="55" w:type="dxa"/>
          <w:right w:w="55" w:type="dxa"/>
        </w:tblCellMar>
      </w:tblPr>
      <w:tblGrid>
        <w:gridCol w:w="3682"/>
        <w:gridCol w:w="1512"/>
        <w:gridCol w:w="1992"/>
        <w:gridCol w:w="1991"/>
      </w:tblGrid>
      <w:tr>
        <w:tblPrEx>
          <w:tblLayout w:type="fixed"/>
          <w:tblCellMar>
            <w:top w:w="55" w:type="dxa"/>
            <w:left w:w="55" w:type="dxa"/>
            <w:bottom w:w="55" w:type="dxa"/>
            <w:right w:w="55" w:type="dxa"/>
          </w:tblCellMar>
        </w:tblPrEx>
        <w:trPr>
          <w:trHeight w:val="333" w:hRule="atLeast"/>
        </w:trPr>
        <w:tc>
          <w:tcPr>
            <w:tcW w:w="9177" w:type="dxa"/>
            <w:gridSpan w:val="4"/>
            <w:vAlign w:val="center"/>
          </w:tcPr>
          <w:p>
            <w:pPr>
              <w:pStyle w:val="22"/>
              <w:widowControl w:val="0"/>
              <w:bidi w:val="0"/>
              <w:jc w:val="center"/>
              <w:rPr>
                <w:rFonts w:hint="eastAsia" w:ascii="仿宋" w:hAnsi="仿宋" w:eastAsia="仿宋" w:cs="仿宋"/>
                <w:b/>
                <w:bCs/>
                <w:sz w:val="44"/>
                <w:szCs w:val="44"/>
              </w:rPr>
            </w:pPr>
            <w:r>
              <w:rPr>
                <w:rFonts w:hint="eastAsia" w:ascii="仿宋" w:hAnsi="仿宋" w:eastAsia="仿宋" w:cs="仿宋"/>
                <w:b/>
                <w:bCs/>
                <w:sz w:val="44"/>
                <w:szCs w:val="44"/>
              </w:rPr>
              <w:t>政府采购支出决算表</w:t>
            </w:r>
          </w:p>
        </w:tc>
      </w:tr>
      <w:tr>
        <w:tblPrEx>
          <w:tblLayout w:type="fixed"/>
          <w:tblCellMar>
            <w:top w:w="55" w:type="dxa"/>
            <w:left w:w="55" w:type="dxa"/>
            <w:bottom w:w="55" w:type="dxa"/>
            <w:right w:w="55" w:type="dxa"/>
          </w:tblCellMar>
        </w:tblPrEx>
        <w:trPr>
          <w:trHeight w:val="333" w:hRule="atLeast"/>
        </w:trPr>
        <w:tc>
          <w:tcPr>
            <w:tcW w:w="3682" w:type="dxa"/>
          </w:tcPr>
          <w:p>
            <w:pPr>
              <w:pStyle w:val="22"/>
              <w:widowControl w:val="0"/>
              <w:bidi w:val="0"/>
              <w:rPr>
                <w:rFonts w:hint="eastAsia" w:ascii="仿宋" w:hAnsi="仿宋" w:eastAsia="仿宋" w:cs="仿宋"/>
              </w:rPr>
            </w:pPr>
          </w:p>
        </w:tc>
        <w:tc>
          <w:tcPr>
            <w:tcW w:w="1512" w:type="dxa"/>
          </w:tcPr>
          <w:p>
            <w:pPr>
              <w:pStyle w:val="22"/>
              <w:widowControl w:val="0"/>
              <w:rPr>
                <w:rFonts w:hint="eastAsia" w:ascii="仿宋" w:hAnsi="仿宋" w:eastAsia="仿宋" w:cs="仿宋"/>
              </w:rPr>
            </w:pPr>
          </w:p>
        </w:tc>
        <w:tc>
          <w:tcPr>
            <w:tcW w:w="1992" w:type="dxa"/>
          </w:tcPr>
          <w:p>
            <w:pPr>
              <w:pStyle w:val="22"/>
              <w:widowControl w:val="0"/>
              <w:rPr>
                <w:rFonts w:hint="eastAsia" w:ascii="仿宋" w:hAnsi="仿宋" w:eastAsia="仿宋" w:cs="仿宋"/>
              </w:rPr>
            </w:pPr>
          </w:p>
        </w:tc>
        <w:tc>
          <w:tcPr>
            <w:tcW w:w="1991" w:type="dxa"/>
            <w:vAlign w:val="center"/>
          </w:tcPr>
          <w:p>
            <w:pPr>
              <w:pStyle w:val="22"/>
              <w:widowControl w:val="0"/>
              <w:jc w:val="right"/>
              <w:rPr>
                <w:rFonts w:hint="eastAsia" w:ascii="仿宋" w:hAnsi="仿宋" w:eastAsia="仿宋" w:cs="仿宋"/>
              </w:rPr>
            </w:pPr>
            <w:r>
              <w:rPr>
                <w:rFonts w:hint="eastAsia" w:ascii="仿宋" w:hAnsi="仿宋" w:eastAsia="仿宋" w:cs="仿宋"/>
              </w:rPr>
              <w:t>公开12表</w:t>
            </w:r>
          </w:p>
        </w:tc>
      </w:tr>
      <w:tr>
        <w:tblPrEx>
          <w:tblLayout w:type="fixed"/>
          <w:tblCellMar>
            <w:top w:w="55" w:type="dxa"/>
            <w:left w:w="55" w:type="dxa"/>
            <w:bottom w:w="55" w:type="dxa"/>
            <w:right w:w="55" w:type="dxa"/>
          </w:tblCellMar>
        </w:tblPrEx>
        <w:trPr>
          <w:trHeight w:val="90" w:hRule="atLeast"/>
        </w:trPr>
        <w:tc>
          <w:tcPr>
            <w:tcW w:w="7186" w:type="dxa"/>
            <w:gridSpan w:val="3"/>
          </w:tcPr>
          <w:p>
            <w:pPr>
              <w:pStyle w:val="22"/>
              <w:widowControl w:val="0"/>
              <w:bidi w:val="0"/>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江苏省社会捐助服务中心</w:t>
            </w:r>
          </w:p>
        </w:tc>
        <w:tc>
          <w:tcPr>
            <w:tcW w:w="1991" w:type="dxa"/>
            <w:vAlign w:val="center"/>
          </w:tcPr>
          <w:p>
            <w:pPr>
              <w:pStyle w:val="22"/>
              <w:widowControl w:val="0"/>
              <w:jc w:val="right"/>
              <w:rPr>
                <w:rFonts w:hint="eastAsia" w:ascii="仿宋" w:hAnsi="仿宋" w:eastAsia="仿宋" w:cs="仿宋"/>
              </w:rPr>
            </w:pPr>
            <w:r>
              <w:rPr>
                <w:rFonts w:hint="eastAsia" w:ascii="仿宋" w:hAnsi="仿宋" w:eastAsia="仿宋" w:cs="仿宋"/>
              </w:rPr>
              <w:t>单位：万元</w:t>
            </w:r>
          </w:p>
        </w:tc>
      </w:tr>
      <w:tr>
        <w:tblPrEx>
          <w:tblLayout w:type="fixed"/>
          <w:tblCellMar>
            <w:top w:w="55" w:type="dxa"/>
            <w:left w:w="55" w:type="dxa"/>
            <w:bottom w:w="55" w:type="dxa"/>
            <w:right w:w="55" w:type="dxa"/>
          </w:tblCellMar>
        </w:tblPrEx>
        <w:trPr>
          <w:trHeight w:val="244" w:hRule="atLeast"/>
        </w:trPr>
        <w:tc>
          <w:tcPr>
            <w:tcW w:w="3682" w:type="dxa"/>
            <w:tcBorders>
              <w:top w:val="single" w:color="000000" w:sz="4" w:space="0"/>
              <w:left w:val="single" w:color="000000" w:sz="4" w:space="0"/>
              <w:bottom w:val="single" w:color="000000" w:sz="4" w:space="0"/>
            </w:tcBorders>
            <w:vAlign w:val="center"/>
          </w:tcPr>
          <w:p>
            <w:pPr>
              <w:pStyle w:val="22"/>
              <w:widowControl w:val="0"/>
              <w:bidi w:val="0"/>
              <w:jc w:val="center"/>
              <w:rPr>
                <w:rFonts w:hint="eastAsia" w:ascii="仿宋" w:hAnsi="仿宋" w:eastAsia="仿宋" w:cs="仿宋"/>
              </w:rPr>
            </w:pPr>
            <w:r>
              <w:rPr>
                <w:rFonts w:hint="eastAsia" w:ascii="仿宋" w:hAnsi="仿宋" w:eastAsia="仿宋" w:cs="仿宋"/>
              </w:rPr>
              <w:t>采购品目大类</w:t>
            </w:r>
          </w:p>
        </w:tc>
        <w:tc>
          <w:tcPr>
            <w:tcW w:w="5495"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金</w:t>
            </w:r>
            <w:r>
              <w:rPr>
                <w:rFonts w:hint="eastAsia" w:ascii="仿宋" w:hAnsi="仿宋" w:eastAsia="仿宋" w:cs="仿宋"/>
              </w:rPr>
              <w:tab/>
            </w:r>
            <w:r>
              <w:rPr>
                <w:rFonts w:hint="eastAsia" w:ascii="仿宋" w:hAnsi="仿宋" w:eastAsia="仿宋" w:cs="仿宋"/>
              </w:rPr>
              <w:t>额</w:t>
            </w:r>
          </w:p>
        </w:tc>
      </w:tr>
      <w:tr>
        <w:tblPrEx>
          <w:tblLayout w:type="fixed"/>
          <w:tblCellMar>
            <w:top w:w="55" w:type="dxa"/>
            <w:left w:w="55" w:type="dxa"/>
            <w:bottom w:w="55" w:type="dxa"/>
            <w:right w:w="55" w:type="dxa"/>
          </w:tblCellMar>
        </w:tblPrEx>
        <w:trPr>
          <w:trHeight w:val="186" w:hRule="atLeast"/>
        </w:trPr>
        <w:tc>
          <w:tcPr>
            <w:tcW w:w="3682" w:type="dxa"/>
            <w:tcBorders>
              <w:left w:val="single" w:color="000000" w:sz="4" w:space="0"/>
              <w:bottom w:val="single" w:color="000000" w:sz="4" w:space="0"/>
            </w:tcBorders>
            <w:vAlign w:val="center"/>
          </w:tcPr>
          <w:p>
            <w:pPr>
              <w:pStyle w:val="22"/>
              <w:widowControl w:val="0"/>
              <w:bidi w:val="0"/>
              <w:jc w:val="center"/>
              <w:rPr>
                <w:rFonts w:hint="eastAsia" w:ascii="仿宋" w:hAnsi="仿宋" w:eastAsia="仿宋" w:cs="仿宋"/>
              </w:rPr>
            </w:pPr>
            <w:r>
              <w:rPr>
                <w:rFonts w:ascii="仿宋" w:hAnsi="仿宋" w:eastAsia="仿宋" w:cs="仿宋"/>
              </w:rPr>
              <w:t>合计</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40" w:hRule="atLeast"/>
        </w:trPr>
        <w:tc>
          <w:tcPr>
            <w:tcW w:w="368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一、政府采购货物支出</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40" w:hRule="atLeast"/>
        </w:trPr>
        <w:tc>
          <w:tcPr>
            <w:tcW w:w="368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二、政府采购工程支出</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40" w:hRule="atLeast"/>
        </w:trPr>
        <w:tc>
          <w:tcPr>
            <w:tcW w:w="368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三、政府采购服务支出</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bidi w:val="0"/>
        <w:rPr>
          <w:rFonts w:hint="eastAsia" w:ascii="仿宋" w:hAnsi="仿宋" w:eastAsia="仿宋" w:cs="仿宋"/>
          <w:b/>
          <w:bCs/>
          <w:sz w:val="22"/>
          <w:szCs w:val="22"/>
        </w:rPr>
      </w:pPr>
      <w:r>
        <w:rPr>
          <w:rFonts w:hint="eastAsia" w:ascii="仿宋" w:hAnsi="仿宋" w:eastAsia="仿宋" w:cs="仿宋"/>
          <w:b/>
          <w:bCs/>
          <w:sz w:val="22"/>
          <w:szCs w:val="22"/>
        </w:rPr>
        <w:t>注：</w:t>
      </w:r>
      <w:r>
        <w:rPr>
          <w:rFonts w:hint="eastAsia" w:ascii="仿宋" w:hAnsi="仿宋" w:eastAsia="仿宋" w:cs="仿宋"/>
          <w:b/>
          <w:bCs/>
          <w:sz w:val="22"/>
          <w:szCs w:val="22"/>
          <w:lang w:val="en-US" w:eastAsia="zh-CN"/>
        </w:rPr>
        <w:t>1.</w:t>
      </w:r>
      <w:r>
        <w:rPr>
          <w:rFonts w:hint="eastAsia" w:ascii="仿宋" w:hAnsi="仿宋" w:eastAsia="仿宋" w:cs="仿宋"/>
          <w:b/>
          <w:bCs/>
          <w:sz w:val="22"/>
          <w:szCs w:val="22"/>
        </w:rPr>
        <w:t>政府采购支出信息为单位纳入部门预算范围的各项政府采购支出情况。</w:t>
      </w:r>
    </w:p>
    <w:p>
      <w:pPr>
        <w:numPr>
          <w:ilvl w:val="0"/>
          <w:numId w:val="8"/>
        </w:numPr>
        <w:bidi w:val="0"/>
        <w:ind w:left="42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numPr>
          <w:ilvl w:val="0"/>
          <w:numId w:val="8"/>
        </w:numPr>
        <w:bidi w:val="0"/>
        <w:ind w:left="420" w:leftChars="0" w:firstLine="0" w:firstLineChars="0"/>
        <w:rPr>
          <w:rFonts w:hint="eastAsia" w:ascii="仿宋" w:hAnsi="仿宋" w:eastAsia="仿宋" w:cs="仿宋"/>
          <w:b/>
          <w:bCs/>
          <w:sz w:val="22"/>
          <w:szCs w:val="22"/>
        </w:rPr>
      </w:pPr>
      <w:r>
        <w:rPr>
          <w:rFonts w:hint="eastAsia" w:ascii="仿宋" w:hAnsi="仿宋" w:eastAsia="仿宋" w:cs="仿宋"/>
          <w:b/>
          <w:bCs/>
          <w:sz w:val="22"/>
          <w:szCs w:val="22"/>
          <w:lang w:eastAsia="zh-CN"/>
        </w:rPr>
        <w:t>本</w:t>
      </w:r>
      <w:r>
        <w:rPr>
          <w:rFonts w:ascii="仿宋" w:hAnsi="仿宋" w:eastAsia="仿宋" w:cs="仿宋"/>
          <w:b/>
          <w:sz w:val="22"/>
        </w:rPr>
        <w:t>单位</w:t>
      </w:r>
      <w:r>
        <w:rPr>
          <w:rFonts w:hint="eastAsia" w:ascii="仿宋" w:hAnsi="仿宋" w:eastAsia="仿宋" w:cs="仿宋"/>
          <w:b/>
          <w:bCs/>
          <w:sz w:val="22"/>
          <w:szCs w:val="22"/>
        </w:rPr>
        <w:t>无政府采购支出决算，故本表为空。</w:t>
      </w:r>
    </w:p>
    <w:p>
      <w:pPr>
        <w:bidi w:val="0"/>
        <w:rPr>
          <w:rFonts w:hint="eastAsia" w:ascii="仿宋" w:hAnsi="仿宋" w:eastAsia="仿宋" w:cs="仿宋"/>
          <w:b/>
          <w:bCs/>
          <w:sz w:val="22"/>
          <w:szCs w:val="22"/>
        </w:rPr>
        <w:sectPr>
          <w:footerReference r:id="rId18" w:type="default"/>
          <w:pgSz w:w="11906" w:h="16838"/>
          <w:pgMar w:top="1100" w:right="1320" w:bottom="770" w:left="13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5"/>
        <w:tabs>
          <w:tab w:val="left" w:pos="3077"/>
        </w:tabs>
        <w:spacing w:line="616" w:lineRule="exact"/>
        <w:jc w:val="center"/>
        <w:rPr>
          <w:rFonts w:hint="eastAsia"/>
        </w:rPr>
      </w:pPr>
      <w:r>
        <w:rPr>
          <w:rFonts w:hint="eastAsia" w:ascii="仿宋" w:hAnsi="仿宋" w:eastAsia="仿宋" w:cs="仿宋"/>
          <w:b/>
          <w:bCs/>
          <w:sz w:val="44"/>
          <w:szCs w:val="44"/>
        </w:rPr>
        <w:t>第三部分</w:t>
      </w:r>
      <w:r>
        <w:rPr>
          <w:rFonts w:hint="eastAsia" w:ascii="仿宋" w:hAnsi="仿宋" w:eastAsia="仿宋" w:cs="仿宋"/>
          <w:b/>
          <w:bCs/>
          <w:sz w:val="44"/>
          <w:szCs w:val="44"/>
          <w:lang w:val="en-US" w:eastAsia="zh-CN"/>
        </w:rPr>
        <w:t xml:space="preserve"> </w:t>
      </w:r>
      <w:r>
        <w:rPr>
          <w:rFonts w:hint="eastAsia" w:ascii="仿宋" w:hAnsi="仿宋" w:eastAsia="仿宋" w:cs="仿宋"/>
          <w:b/>
          <w:bCs/>
          <w:sz w:val="44"/>
          <w:szCs w:val="44"/>
        </w:rPr>
        <w:t>2020年度</w:t>
      </w:r>
      <w:r>
        <w:rPr>
          <w:rFonts w:ascii="仿宋" w:hAnsi="仿宋" w:eastAsia="仿宋" w:cs="仿宋"/>
          <w:b/>
          <w:sz w:val="44"/>
        </w:rPr>
        <w:t>单位决算情况说明</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1" w:after="0" w:line="360" w:lineRule="auto"/>
        <w:ind w:left="348" w:right="420" w:firstLine="640"/>
        <w:jc w:val="both"/>
        <w:textAlignment w:val="auto"/>
        <w:rPr>
          <w:rFonts w:hint="eastAsia" w:ascii="仿宋" w:hAnsi="仿宋" w:eastAsia="仿宋" w:cs="仿宋"/>
          <w:lang w:val="en-US" w:eastAsia="zh-CN"/>
        </w:rPr>
      </w:pP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eastAsia="zh-CN"/>
        </w:rPr>
      </w:pPr>
      <w:r>
        <w:rPr>
          <w:rFonts w:ascii="仿宋" w:hAnsi="仿宋" w:eastAsia="仿宋" w:cs="仿宋"/>
          <w:b/>
        </w:rPr>
        <w:t>一、收入支出决算总体情况说明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江苏省社会捐助服务中心2020年度收入、支出总计1,574.89万元，与上年相比收、支总计各增加90.31万元，增长6.08%。其中：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（一）收入总计1,574.89万元。包括：</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1．本年收入合计319.91万元。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（1）一般公共预算财政拨款收入228.11万元，为当年从同级财政取得的一般公共预算拨款，与上年相比增加2.75万元，增长1.22%。主要原因是人员变动及工资政策性调整导致人员经费的增加。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（2）政府性基金预算财政拨款收入0万元，为当年从同级财政取得的政府性基金预算拨款，与上年决算数相同。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（3）国有资本经营预算财政拨款收入0万元，为当年从同级财政取得的国有资本经营预算拨款，与上年决算数相同。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（4）上级补助收入0万元，与上年决算数相同。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（5）事业收入0万元，与上年决算数相同。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（6）经营收入0万元，与上年决算数相同。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（7）附属单位上缴收入0万元，与上年决算数相同。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（8）其他收入91.8万元，为单位取得的除上述收入以外的各项收入，主要为捐赠收入及利息收入。与上年相比增加21.16万元，增长29.95%。主要原因是捐赠收入增长。</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2．使用非财政拨款结余0万元，为事业单位使用非财政拨款结余（原事业基金）弥补当年收支差额的数额。</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3．年初结转和结余1,254.98万元，主要为捐赠结余及往年度累计盈余。</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（二）支出总计1,574.89万元。包括：</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1．本年支出合计411.84万元。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（1）社会保障和就业（类）支出361.39万元，主要用于人员工资、办公经费等支出。与上年相比增加189.88万元，增长110.71%。主要原因是人员变动及工资政策性调整导致人员经费的增加。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2）住房保障（类）支出50.45万元，主要用于单位人员按国家政策规定用于住房改革方面的支出，具体包括住房公积金、提租补贴2个项级支出科目。与上年相比增加0.24万元，增长0.48%。主要原因是人员变动及工资政策性调整导致住房保障支出经费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2．结余分配0万元，为单位当年结余的分配情况，与上年决算数相同。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3．年末结转和结余1,163.05万元，主要为捐赠结余及往年度累计盈余。</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二、收入决算情况说明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社会捐助服务中心本年收入合计319.91万元，其中：财政拨款收入228.11万元，占71.3%；上级补助收入0万元，占0%；事业收入0万元，占0%；经营收入0万元，占0%；附属单位上缴收入0万元，占0%；其他收入91.8万元，占28.7%。</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0" w:leftChars="0" w:right="420" w:firstLine="0" w:firstLineChars="0"/>
        <w:jc w:val="center"/>
        <w:textAlignment w:val="auto"/>
        <w:rPr>
          <w:rFonts w:hint="eastAsia" w:ascii="仿宋" w:hAnsi="仿宋" w:eastAsia="仿宋" w:cs="仿宋"/>
          <w:lang w:val="en-US" w:eastAsia="zh-CN"/>
        </w:rPr>
      </w:pPr>
      <w:r>
        <w:rPr>
          <w:rFonts w:hint="eastAsia" w:ascii="仿宋" w:hAnsi="仿宋" w:eastAsia="仿宋" w:cs="仿宋"/>
          <w:lang w:val="en-US" w:eastAsia="zh-CN"/>
        </w:rPr>
        <w:drawing>
          <wp:inline distT="0" distB="0" distL="0" distR="0">
            <wp:extent cx="6143625" cy="3429000"/>
            <wp:effectExtent l="0" t="0" r="13970" b="0"/>
            <wp:docPr id="1" name="Drawing 1"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awing 1" descr="Generated"/>
                    <pic:cNvPicPr>
                      <a:picLocks noChangeAspect="1"/>
                    </pic:cNvPicPr>
                  </pic:nvPicPr>
                  <pic:blipFill>
                    <a:blip r:embed="rId22"/>
                    <a:stretch>
                      <a:fillRect/>
                    </a:stretch>
                  </pic:blipFill>
                  <pic:spPr>
                    <a:xfrm>
                      <a:off x="0" y="0"/>
                      <a:ext cx="6143625"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三、支出决算情况说明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江苏省社会捐助服务中心本年支出合计411.84万元，其中：基本支出218.29万元，占53%；项目支出193.56万元，占47%；上缴上级支出0万元，占0%；经营支出0万元，占0%；对附属单位补助支出0万元，占0%。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right="420"/>
        <w:jc w:val="center"/>
        <w:textAlignment w:val="auto"/>
        <w:rPr>
          <w:rFonts w:hint="eastAsia" w:ascii="仿宋" w:hAnsi="仿宋" w:eastAsia="仿宋" w:cs="仿宋"/>
        </w:rPr>
      </w:pPr>
      <w:r>
        <w:rPr>
          <w:rFonts w:hint="eastAsia" w:ascii="仿宋" w:hAnsi="仿宋" w:eastAsia="仿宋" w:cs="仿宋"/>
          <w:lang w:val="en-US" w:eastAsia="zh-CN"/>
        </w:rPr>
        <w:drawing>
          <wp:inline distT="0" distB="0" distL="0" distR="0">
            <wp:extent cx="6143625" cy="3429000"/>
            <wp:effectExtent l="0" t="0" r="13970" b="0"/>
            <wp:docPr id="2" name="Drawing 2"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rawing 2" descr="Generated"/>
                    <pic:cNvPicPr>
                      <a:picLocks noChangeAspect="1"/>
                    </pic:cNvPicPr>
                  </pic:nvPicPr>
                  <pic:blipFill>
                    <a:blip r:embed="rId23"/>
                    <a:stretch>
                      <a:fillRect/>
                    </a:stretch>
                  </pic:blipFill>
                  <pic:spPr>
                    <a:xfrm>
                      <a:off x="0" y="0"/>
                      <a:ext cx="6143625"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四、财政拨款收入支出决算总体情况说明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江苏省社会捐助服务中心2020年度财政拨款收、支总决算336.68万元，与上年相比，财政拨款收、支总计各减少1.49万元，减少0.44%。主要原因是人员变动，支出减少。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五、财政拨款支出决算情况说明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财政拨款支出决算反映的是一般公共预算、政府性基金预算和国有资本经营预算财政拨款支出的总体情况，既包括使用本年从本级财政取得的拨款发生的支出，也包括使用上年度财政拨款结转和结余资金发生的支出。江苏省社会捐助服务中心2020年度财政拨款支出225.97万元，占本年支出合计的54.87%。江苏省社会捐助服务中心2020年度财政拨款支出年初预算为193.32万元，支出决算为225.97万元，完成年初预算的116.89%。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（一）社会保障和就业支出（类）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1．民政管理事务（款）行政运行（项）。年初预算为16.83万元，支出决算为16.83万元，完成年初预算的100%。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2．行政事业单位养老支出（款）机关事业单位基本养老保险缴费支出（项）。年初预算为12.38万元，支出决算为12.38万元，完成年初预算的100%。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3．行政事业单位养老支出（款）机关事业单位职业年金缴费支出（项）。年初预算为6.19万元，支出决算为6.19万元，完成年初预算的100%。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4．其他社会保障和就业支出（款）其他社会保障和就业支出（项）。年初预算为107.47万元，支出决算为140.12万元，完成年初预算的130.38%，决算数大于预算数的主要原因人员变动及工资政策性调整导致人员经费的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（二）住房保障支出（类）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1．住房改革支出（款）住房公积金（项）。年初预算为15.94万元，支出决算为15.94万元，完成年初预算的100%。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2．住房改革支出（款）提租补贴（项）。年初预算为34.51万元，支出决算为34.51万元，完成年初预算的100%。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六、财政拨款基本支出决算情况说明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江苏省社会捐助服务中心2020年度财政拨款基本支出218.29万元（金额转换为万元时，因四舍五入存在尾差），其中：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（一）人员经费203.46万元。主要包括：基本工资、津贴补贴、绩效工资、机关事业单位基本养老保险缴费、职业年金缴费、住房公积金、医疗费。</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（二）公用经费14.83万元。主要包括：办公费、咨询费、邮电费、差旅费、工会经费、福利费、公务用车运行维护费、其他商品和服务支出。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七、一般公共预算财政拨款支出决算情况说明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一般公共预算财政拨款支出决算反映的是一般公共预算财政拨款支出的总体情况，既包括使用本年从本级财政取得的一般公共预算财政拨款发生的支出，也包括使用上年度一般公共预算财政拨款结转和结余资金发生的支出。江苏省社会捐助服务中心2020年度一般公共预算财政拨款支出225.97万元，与上年相比增加4.25万元，增长1.92%。主要原因是人员变动及工资政策性调整导致人员经费的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八、一般公共预算财政拨款基本支出决算情况说明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江苏省社会捐助服务中心2020年度一般公共预算财政拨款基本支出218.29万元（金额转换为万元时，因四舍五入存在尾差），其中：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（一）人员经费203.46万元。主要包括：基本工资、津贴补贴、绩效工资、机关事业单位基本养老保险缴费、职业年金缴费、住房公积金、医疗费。</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（二）公用经费14.83万元。主要包括：办公费、咨询费、邮电费、差旅费、工会经费、福利费、公务用车运行维护费、其他商品和服务支出。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九、一般公共预算财政拨款“三公”经费、会议费、培训费支出情况说明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社会捐助服务中心2020年度一般公共预算拨款安排的“三公”经费决算支出中，因公出国（境）费支出0万元，占“三公”经费的0%；公务用车购置及运行维护费支出0.82万元，占“三公”经费的100%；公务接待费支出0万元，占“三公”经费的0%。具体情况如下：</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1．因公出国（境）费决算支出0万元，年初预算数为0万元，无法计算完成比率，与上年决算数相同，与本年预算数相同，全年使用一般公共预算拨款支出安排的出国（境）团组0个，累计0人次。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2．公务用车购置及运行维护费支出0.82万元。其中：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（1）公务用车购置决算支出0万元，年初预算数为0万元，无法计算完成比率，与上年决算数相同，与本年预算数相同。本年度使用一般公共预算拨款购置公务用车0辆。</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2）公务用车运行维护费决算支出0.82万元，完成年初预算的32.8%，比上年决算减少1.68万元，主要原因为公务用车使用频率较低，支出减少；决算数小于预算数的主要原因公务用车使用频率较低，支出减少。公务用车运行维护费主要用于维修、维护，加油费；2020年度使用一般公共预算拨款开支运行维护费的公务用车保有量1辆。</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3．公务接待费0万元，年初预算数为0万元，无法计算完成比率，与上年决算数相同，与本年预算数相同，其中：国内公务接待支出0万元，接待0批次，0人次国（境）外公务接待支出0万元，接待0批次，0人次。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江苏省社会捐助服务中心2020年度一般公共预算拨款安排的会议费决算支出0万元，年初预算数为0万元，无法计算完成比率，与上年决算数相同，与本年预算数相同，2020年度全年召开会议0个，参加会议0人次。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江苏省社会捐助服务中心2020年度一般公共预算拨款安排的培训费决算支出0万元，年初预算数为0万元，无法计算完成比率，与上年决算数相同，与本年预算数相同，2020年度全年组织培训0个，组织培训0人次。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十、政府性基金预算财政拨款收入支出决算情况说明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江苏省社会捐助服务中心2020年度政府性基金预算财政拨款年初结转和结余0万元，本年收入决算0万元，本年支出决算0万元，年末结转和结余0万元。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十一、一般公共预算机关运行经费支出决算情况说明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2020年度本单位机关运行经费支出0万元，与上年决算数相同。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十二、政府采购支出决算情况说明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2020年度政府采购支出总额0万元，其中：政府采购货物支出0万元、政府采购工程支出0万元、政府采购服务支出0万元。授予中小企业合同金额0万元，占政府采购支出总额的0%，其中：授予小微企业合同金额0万元，占政府采购支出总额的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十三、国有资产占用情况说明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单位共有车辆1辆，其中，副部（省）级及以上领导用车0辆、主要领导干部用车0辆、机要通信用车0辆、应急保障用车0辆、执法执勤用车0辆、特种专业用车0辆、离退休干部用车0辆，其他用车1辆，其他用车主要是社会捐助服务;单价50万元（含）以上的通用设备0台（套），单价100万元（含）以上的专用设备0台（套）。</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十四、预算绩效评价工作开展情况</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2020年度，本单位共0个项目开展了财政重点绩效评价，涉及财政性资金合计0万元；本单位未开展财政整体支出重点绩效评价，涉及财政性资金0万元；本单位共0个项目开展了单位绩效自评，涉及财政性资金合计0万元。</w:t>
      </w:r>
    </w:p>
    <w:p>
      <w:pPr>
        <w:pStyle w:val="8"/>
        <w:spacing w:line="235" w:lineRule="auto"/>
        <w:ind w:left="669" w:leftChars="300" w:right="2414" w:hanging="9" w:firstLineChars="0"/>
        <w:jc w:val="both"/>
        <w:rPr>
          <w:rFonts w:hint="eastAsia" w:ascii="仿宋" w:hAnsi="仿宋" w:eastAsia="仿宋" w:cs="仿宋"/>
        </w:rPr>
        <w:sectPr>
          <w:footerReference r:id="rId19" w:type="default"/>
          <w:pgSz w:w="11906" w:h="16838"/>
          <w:pgMar w:top="1580" w:right="700" w:bottom="770" w:left="1020" w:header="283"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p>
    <w:p>
      <w:pPr>
        <w:pStyle w:val="8"/>
        <w:tabs>
          <w:tab w:val="left" w:pos="3864"/>
          <w:tab w:val="left" w:pos="6248"/>
          <w:tab w:val="left" w:pos="7386"/>
        </w:tabs>
        <w:spacing w:before="1" w:after="0" w:line="336" w:lineRule="auto"/>
        <w:ind w:left="348" w:right="420" w:firstLine="640"/>
        <w:jc w:val="both"/>
        <w:rPr>
          <w:rFonts w:hint="eastAsia" w:ascii="仿宋" w:hAnsi="仿宋" w:eastAsia="仿宋" w:cs="仿宋"/>
          <w:lang w:val="en-US" w:eastAsia="zh-CN"/>
        </w:rPr>
        <w:sectPr>
          <w:footerReference r:id="rId20" w:type="default"/>
          <w:pgSz w:w="11906" w:h="16838"/>
          <w:pgMar w:top="1580" w:right="820" w:bottom="770" w:left="90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8"/>
        <w:tabs>
          <w:tab w:val="left" w:pos="3864"/>
          <w:tab w:val="left" w:pos="6248"/>
          <w:tab w:val="left" w:pos="7386"/>
        </w:tabs>
        <w:spacing w:before="0" w:after="0" w:line="240" w:lineRule="auto"/>
        <w:ind w:left="0" w:right="0" w:firstLine="0"/>
        <w:jc w:val="center"/>
        <w:rPr>
          <w:rFonts w:hint="eastAsia" w:ascii="仿宋" w:hAnsi="仿宋" w:eastAsia="仿宋" w:cs="仿宋"/>
          <w:b/>
          <w:bCs/>
          <w:sz w:val="36"/>
          <w:szCs w:val="36"/>
        </w:rPr>
      </w:pPr>
      <w:r>
        <w:rPr>
          <w:rFonts w:hint="eastAsia" w:ascii="仿宋" w:hAnsi="仿宋" w:eastAsia="仿宋" w:cs="仿宋"/>
          <w:b/>
          <w:bCs/>
          <w:sz w:val="36"/>
          <w:szCs w:val="36"/>
        </w:rPr>
        <w:t>第四部分 名词解释</w:t>
      </w:r>
    </w:p>
    <w:p>
      <w:pPr>
        <w:pStyle w:val="8"/>
        <w:tabs>
          <w:tab w:val="left" w:pos="3864"/>
          <w:tab w:val="left" w:pos="6248"/>
          <w:tab w:val="left" w:pos="7386"/>
        </w:tabs>
        <w:spacing w:before="0" w:after="0" w:line="240" w:lineRule="auto"/>
        <w:ind w:left="440" w:leftChars="200" w:right="0" w:firstLine="659" w:firstLineChars="206"/>
        <w:jc w:val="both"/>
        <w:rPr>
          <w:rFonts w:hint="eastAsia" w:ascii="仿宋" w:hAnsi="仿宋" w:eastAsia="仿宋" w:cs="仿宋"/>
        </w:rPr>
      </w:pP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一、财政拨款收入</w:t>
      </w:r>
      <w:r>
        <w:rPr>
          <w:rFonts w:ascii="仿宋" w:hAnsi="仿宋" w:eastAsia="仿宋" w:cs="仿宋"/>
          <w:b/>
        </w:rPr>
        <w:t>：</w:t>
      </w:r>
      <w:r>
        <w:rPr>
          <w:rFonts w:hint="eastAsia" w:ascii="仿宋" w:hAnsi="仿宋" w:eastAsia="仿宋" w:cs="仿宋"/>
        </w:rPr>
        <w:t>指单位本年度从同级财政部门取得的各类财政拨款。</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二、上级补助收入</w:t>
      </w:r>
      <w:r>
        <w:rPr>
          <w:rFonts w:ascii="仿宋" w:hAnsi="仿宋" w:eastAsia="仿宋" w:cs="仿宋"/>
          <w:b/>
        </w:rPr>
        <w:t>：</w:t>
      </w:r>
      <w:r>
        <w:rPr>
          <w:rFonts w:hint="eastAsia" w:ascii="仿宋" w:hAnsi="仿宋" w:eastAsia="仿宋" w:cs="仿宋"/>
        </w:rPr>
        <w:t>指事业单位从主管部门和上级单位取得的非财政补助收入。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三、事业收入</w:t>
      </w:r>
      <w:r>
        <w:rPr>
          <w:rFonts w:ascii="仿宋" w:hAnsi="仿宋" w:eastAsia="仿宋" w:cs="仿宋"/>
          <w:b/>
        </w:rPr>
        <w:t>：</w:t>
      </w:r>
      <w:r>
        <w:rPr>
          <w:rFonts w:hint="eastAsia" w:ascii="仿宋" w:hAnsi="仿宋" w:eastAsia="仿宋" w:cs="仿宋"/>
        </w:rPr>
        <w:t>指事业单位开展专业业务活动及其辅助活动取得的收入，事业单位收到的财政专户实际核拨的教育收费等资金在此反映。</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四、经营收入</w:t>
      </w:r>
      <w:r>
        <w:rPr>
          <w:rFonts w:ascii="仿宋" w:hAnsi="仿宋" w:eastAsia="仿宋" w:cs="仿宋"/>
          <w:b/>
        </w:rPr>
        <w:t>：</w:t>
      </w:r>
      <w:r>
        <w:rPr>
          <w:rFonts w:hint="eastAsia" w:ascii="仿宋" w:hAnsi="仿宋" w:eastAsia="仿宋" w:cs="仿宋"/>
        </w:rPr>
        <w:t>指事业单位在专业业务活动及其辅助活动之外开展非独立核算经营活动取得的收入。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五、附属单位上缴收入</w:t>
      </w:r>
      <w:r>
        <w:rPr>
          <w:rFonts w:ascii="仿宋" w:hAnsi="仿宋" w:eastAsia="仿宋" w:cs="仿宋"/>
          <w:b/>
        </w:rPr>
        <w:t>：</w:t>
      </w:r>
      <w:r>
        <w:rPr>
          <w:rFonts w:hint="eastAsia" w:ascii="仿宋" w:hAnsi="仿宋" w:eastAsia="仿宋" w:cs="仿宋"/>
        </w:rPr>
        <w:t>指事业单位附属独立核算单位按照有关规定上缴的收入。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六、其他收入</w:t>
      </w:r>
      <w:r>
        <w:rPr>
          <w:rFonts w:ascii="仿宋" w:hAnsi="仿宋" w:eastAsia="仿宋" w:cs="仿宋"/>
          <w:b/>
        </w:rPr>
        <w:t>：</w:t>
      </w:r>
      <w:r>
        <w:rPr>
          <w:rFonts w:hint="eastAsia" w:ascii="仿宋" w:hAnsi="仿宋" w:eastAsia="仿宋" w:cs="仿宋"/>
        </w:rPr>
        <w:t>指单位取得的除上述“财政拨款收入”、“事业收入”、“经营收入”等以外的各项收入。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七、使用非财政拨款结余</w:t>
      </w:r>
      <w:r>
        <w:rPr>
          <w:rFonts w:ascii="仿宋" w:hAnsi="仿宋" w:eastAsia="仿宋" w:cs="仿宋"/>
          <w:b/>
        </w:rPr>
        <w:t>：</w:t>
      </w:r>
      <w:r>
        <w:rPr>
          <w:rFonts w:hint="eastAsia" w:ascii="仿宋" w:hAnsi="仿宋" w:eastAsia="仿宋" w:cs="仿宋"/>
        </w:rPr>
        <w:t>指事业单位使用非财政拨款结余（原事业基金）弥补当年收支差额的数额。</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八、年初结转和结余</w:t>
      </w:r>
      <w:r>
        <w:rPr>
          <w:rFonts w:ascii="仿宋" w:hAnsi="仿宋" w:eastAsia="仿宋" w:cs="仿宋"/>
          <w:b/>
        </w:rPr>
        <w:t>：</w:t>
      </w:r>
      <w:r>
        <w:rPr>
          <w:rFonts w:hint="eastAsia" w:ascii="仿宋" w:hAnsi="仿宋" w:eastAsia="仿宋" w:cs="仿宋"/>
        </w:rPr>
        <w:t>指单位上年结转本年使用的基本支出结转、项目支出结转和结余和经营结余。</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九、结余分配</w:t>
      </w:r>
      <w:r>
        <w:rPr>
          <w:rFonts w:ascii="仿宋" w:hAnsi="仿宋" w:eastAsia="仿宋" w:cs="仿宋"/>
          <w:b/>
        </w:rPr>
        <w:t>：</w:t>
      </w:r>
      <w:r>
        <w:rPr>
          <w:rFonts w:hint="eastAsia" w:ascii="仿宋" w:hAnsi="仿宋" w:eastAsia="仿宋" w:cs="仿宋"/>
        </w:rPr>
        <w:t>指事业单位按规定对非财政拨款结余资金提取的专用基金、缴纳的所得税和转入非财政拨款结余等。</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十、年末结转和结余资金</w:t>
      </w:r>
      <w:r>
        <w:rPr>
          <w:rFonts w:ascii="仿宋" w:hAnsi="仿宋" w:eastAsia="仿宋" w:cs="仿宋"/>
          <w:b/>
        </w:rPr>
        <w:t>：</w:t>
      </w:r>
      <w:r>
        <w:rPr>
          <w:rFonts w:hint="eastAsia" w:ascii="仿宋" w:hAnsi="仿宋" w:eastAsia="仿宋" w:cs="仿宋"/>
        </w:rPr>
        <w:t>指本年度或以前年度预算安排、因客观条件发生变化无法按原计划实施，需要延迟到以后年度按有关规定继续使用的资金。</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十一、基本支出</w:t>
      </w:r>
      <w:r>
        <w:rPr>
          <w:rFonts w:ascii="仿宋" w:hAnsi="仿宋" w:eastAsia="仿宋" w:cs="仿宋"/>
          <w:b/>
        </w:rPr>
        <w:t>：</w:t>
      </w:r>
      <w:r>
        <w:rPr>
          <w:rFonts w:hint="eastAsia" w:ascii="仿宋" w:hAnsi="仿宋" w:eastAsia="仿宋" w:cs="仿宋"/>
        </w:rPr>
        <w:t>指为保障机构正常运转、完成日常工作任务而发生的支出，包括人员经费和公用经费。</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十二、项目支出</w:t>
      </w:r>
      <w:r>
        <w:rPr>
          <w:rFonts w:ascii="仿宋" w:hAnsi="仿宋" w:eastAsia="仿宋" w:cs="仿宋"/>
          <w:b/>
        </w:rPr>
        <w:t>：</w:t>
      </w:r>
      <w:r>
        <w:rPr>
          <w:rFonts w:hint="eastAsia" w:ascii="仿宋" w:hAnsi="仿宋" w:eastAsia="仿宋" w:cs="仿宋"/>
        </w:rPr>
        <w:t>指在为完成特定的工作任务和事业发展目标所发生的支出。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十三、上缴上级支出</w:t>
      </w:r>
      <w:r>
        <w:rPr>
          <w:rFonts w:ascii="仿宋" w:hAnsi="仿宋" w:eastAsia="仿宋" w:cs="仿宋"/>
          <w:b/>
        </w:rPr>
        <w:t>：</w:t>
      </w:r>
      <w:r>
        <w:rPr>
          <w:rFonts w:hint="eastAsia" w:ascii="仿宋" w:hAnsi="仿宋" w:eastAsia="仿宋" w:cs="仿宋"/>
        </w:rPr>
        <w:t>指事业单位按照财政部门和主管部门的规定上缴上级单位的支出。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十四、经营支出</w:t>
      </w:r>
      <w:r>
        <w:rPr>
          <w:rFonts w:ascii="仿宋" w:hAnsi="仿宋" w:eastAsia="仿宋" w:cs="仿宋"/>
          <w:b/>
        </w:rPr>
        <w:t>：</w:t>
      </w:r>
      <w:r>
        <w:rPr>
          <w:rFonts w:hint="eastAsia" w:ascii="仿宋" w:hAnsi="仿宋" w:eastAsia="仿宋" w:cs="仿宋"/>
        </w:rPr>
        <w:t>指事业单位在专业业务活动及其辅助活动之外开展非独立核算经营活动发生的支出。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十五、对附属单位补助支出</w:t>
      </w:r>
      <w:r>
        <w:rPr>
          <w:rFonts w:ascii="仿宋" w:hAnsi="仿宋" w:eastAsia="仿宋" w:cs="仿宋"/>
          <w:b/>
        </w:rPr>
        <w:t>：</w:t>
      </w:r>
      <w:r>
        <w:rPr>
          <w:rFonts w:hint="eastAsia" w:ascii="仿宋" w:hAnsi="仿宋" w:eastAsia="仿宋" w:cs="仿宋"/>
        </w:rPr>
        <w:t>指事业单位用财政拨款收入之外的收入对附属单位补助发生的支出。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十六、“三公”经费</w:t>
      </w:r>
      <w:r>
        <w:rPr>
          <w:rFonts w:ascii="仿宋" w:hAnsi="仿宋" w:eastAsia="仿宋" w:cs="仿宋"/>
          <w:b/>
        </w:rPr>
        <w:t>：</w:t>
      </w:r>
      <w:r>
        <w:rPr>
          <w:rFonts w:hint="eastAsia" w:ascii="仿宋" w:hAnsi="仿宋" w:eastAsia="仿宋" w:cs="仿宋"/>
        </w:rPr>
        <w:t>指单位用一般公共预算财政拨款安排的因公出国（境）费、公务用车购置及运行维护费和公务接待费。其中，因公出国（境）费反映单位公务出国（境）的国际旅费、国外城市间交通费、住宿费、伙食费、培训费、公杂费等支出；公务用车购置及运行维护费反映单位公务用车购置支出（含车辆购置税、牌照费）以及按规定保留的公务用车燃料费、维修费、过路过桥费、保险费、安全奖励费用等支出；公务接待费反映单位按规定开支的各类公务接待（含外宾接待）费用。</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十七、机关运行经费</w:t>
      </w:r>
      <w:r>
        <w:rPr>
          <w:rFonts w:ascii="仿宋" w:hAnsi="仿宋" w:eastAsia="仿宋" w:cs="仿宋"/>
          <w:b/>
        </w:rPr>
        <w:t>：</w:t>
      </w:r>
      <w:r>
        <w:rPr>
          <w:rFonts w:hint="eastAsia" w:ascii="仿宋" w:hAnsi="仿宋" w:eastAsia="仿宋" w:cs="仿宋"/>
        </w:rPr>
        <w:t>指行政单位（含参照公务员法管理的事业单位）使用一般公共预算安排的基本支出中的公用经费支出，包括办公及印刷费、邮电费、差旅费、会议费、福利费、日常维修费、专用材料及一般设备购置费、办公用房水电费、办公用房取暖费、办公用房物业管理费、公务用车运行维护费及其他费用。</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十八、社会保障和就业支出(类)民政管理事务(款)行政运行(项)</w:t>
      </w:r>
      <w:r>
        <w:rPr>
          <w:rFonts w:ascii="仿宋" w:hAnsi="仿宋" w:eastAsia="仿宋" w:cs="仿宋"/>
          <w:b/>
        </w:rPr>
        <w:t>：</w:t>
      </w:r>
      <w:r>
        <w:rPr>
          <w:rFonts w:hint="eastAsia" w:ascii="仿宋" w:hAnsi="仿宋" w:eastAsia="仿宋" w:cs="仿宋"/>
        </w:rPr>
        <w:t>反映行政单位（包括实行公务员管理的事业单位）的基本支出。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十九、社会保障和就业支出(类)行政事业单位养老支出(款)机关事业单位基本养老保险缴费支出(项)</w:t>
      </w:r>
      <w:r>
        <w:rPr>
          <w:rFonts w:ascii="仿宋" w:hAnsi="仿宋" w:eastAsia="仿宋" w:cs="仿宋"/>
          <w:b/>
        </w:rPr>
        <w:t>：</w:t>
      </w:r>
      <w:r>
        <w:rPr>
          <w:rFonts w:hint="eastAsia" w:ascii="仿宋" w:hAnsi="仿宋" w:eastAsia="仿宋" w:cs="仿宋"/>
        </w:rPr>
        <w:t>反映机关事业单位实施养老保险制度由单位缴纳的基本养老保险费支出。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二十、社会保障和就业支出(类)行政事业单位养老支出(款)机关事业单位职业年金缴费支出(项)</w:t>
      </w:r>
      <w:r>
        <w:rPr>
          <w:rFonts w:ascii="仿宋" w:hAnsi="仿宋" w:eastAsia="仿宋" w:cs="仿宋"/>
          <w:b/>
        </w:rPr>
        <w:t>：</w:t>
      </w:r>
      <w:r>
        <w:rPr>
          <w:rFonts w:hint="eastAsia" w:ascii="仿宋" w:hAnsi="仿宋" w:eastAsia="仿宋" w:cs="仿宋"/>
        </w:rPr>
        <w:t>反映机关事业单位实施养老保险制度由单位实际缴纳的职业年金支出。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二十一、社会保障和就业支出(类)其他社会保障和就业支出(款)其他社会保障和就业支出(项)</w:t>
      </w:r>
      <w:r>
        <w:rPr>
          <w:rFonts w:ascii="仿宋" w:hAnsi="仿宋" w:eastAsia="仿宋" w:cs="仿宋"/>
          <w:b/>
        </w:rPr>
        <w:t>：</w:t>
      </w:r>
      <w:r>
        <w:rPr>
          <w:rFonts w:hint="eastAsia" w:ascii="仿宋" w:hAnsi="仿宋" w:eastAsia="仿宋" w:cs="仿宋"/>
        </w:rPr>
        <w:t>反映除上述项目以外其他用于社会保障和就业方面的支出。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二十二、住房保障支出(类)住房改革支出(款)住房公积金(项)</w:t>
      </w:r>
      <w:r>
        <w:rPr>
          <w:rFonts w:ascii="仿宋" w:hAnsi="仿宋" w:eastAsia="仿宋" w:cs="仿宋"/>
          <w:b/>
        </w:rPr>
        <w:t>：</w:t>
      </w:r>
      <w:r>
        <w:rPr>
          <w:rFonts w:hint="eastAsia" w:ascii="仿宋" w:hAnsi="仿宋" w:eastAsia="仿宋" w:cs="仿宋"/>
        </w:rPr>
        <w:t>反映行政事业单位按人力资源和社会保障部、财政部规定的基本工资和津贴补贴以及规定比例为职工缴纳的住房公积金。</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二十三、住房保障支出(类)住房改革支出(款)提租补贴(项)</w:t>
      </w:r>
      <w:r>
        <w:rPr>
          <w:rFonts w:ascii="仿宋" w:hAnsi="仿宋" w:eastAsia="仿宋" w:cs="仿宋"/>
          <w:b/>
        </w:rPr>
        <w:t>：</w:t>
      </w:r>
      <w:r>
        <w:rPr>
          <w:rFonts w:hint="eastAsia" w:ascii="仿宋" w:hAnsi="仿宋" w:eastAsia="仿宋" w:cs="仿宋"/>
        </w:rPr>
        <w:t>反映按房改政策规定的标准，行政事业单位向职工（含离退休人员）发放的租金补贴。</w:t>
      </w:r>
    </w:p>
    <w:sectPr>
      <w:type w:val="continuous"/>
      <w:pgSz w:w="11906" w:h="16838"/>
      <w:pgMar w:top="1580" w:right="820" w:bottom="770" w:left="900" w:header="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Arial Unicode MS">
    <w:panose1 w:val="020B0604020202020204"/>
    <w:charset w:val="86"/>
    <w:family w:val="roman"/>
    <w:pitch w:val="default"/>
    <w:sig w:usb0="FFFFFFFF" w:usb1="E9FFFFFF" w:usb2="0000003F" w:usb3="00000000" w:csb0="603F01FF" w:csb1="FFFF0000"/>
  </w:font>
  <w:font w:name="Liberation Sans">
    <w:altName w:val="宋体"/>
    <w:panose1 w:val="020B0604020202020204"/>
    <w:charset w:val="86"/>
    <w:family w:val="roman"/>
    <w:pitch w:val="default"/>
    <w:sig w:usb0="00000000" w:usb1="00000000" w:usb2="00000021" w:usb3="00000000" w:csb0="600001BF" w:csb1="DFF70000"/>
  </w:font>
  <w:font w:name="Liberation Mono">
    <w:altName w:val="宋体"/>
    <w:panose1 w:val="02070409020205020404"/>
    <w:charset w:val="86"/>
    <w:family w:val="roman"/>
    <w:pitch w:val="default"/>
    <w:sig w:usb0="00000000" w:usb1="00000000" w:usb2="00000001" w:usb3="00000000" w:csb0="600001BF" w:csb1="DFF70000"/>
  </w:font>
  <w:font w:name="新宋体">
    <w:panose1 w:val="02010609030101010101"/>
    <w:charset w:val="86"/>
    <w:family w:val="auto"/>
    <w:pitch w:val="default"/>
    <w:sig w:usb0="00000283" w:usb1="288F0000" w:usb2="00000006" w:usb3="00000000" w:csb0="00040001" w:csb1="00000000"/>
  </w:font>
  <w:font w:name="仿宋">
    <w:panose1 w:val="02010609060101010101"/>
    <w:charset w:val="86"/>
    <w:family w:val="auto"/>
    <w:pitch w:val="default"/>
    <w:sig w:usb0="800002BF" w:usb1="38CF7CFA" w:usb2="00000016" w:usb3="00000000" w:csb0="00040001" w:csb1="00000000"/>
  </w:font>
  <w:font w:name="华文仿宋">
    <w:panose1 w:val="02010600040101010101"/>
    <w:charset w:val="86"/>
    <w:family w:val="roman"/>
    <w:pitch w:val="default"/>
    <w:sig w:usb0="00000287" w:usb1="080F0000" w:usb2="00000000" w:usb3="00000000" w:csb0="0004009F" w:csb1="DFD7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ED5jvy5AQAAVwMAAA4AAAAAAAAAAQAgAAAAHgEAAGRycy9lMm9Eb2MueG1sUEsFBgAAAAAGAAYA&#10;WQEAAEkFA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0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2"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DQcmF+ugEAAFg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0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3"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CdQmwAugEAAFg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0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4"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KTZIrm5AQAAWA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0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14</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5"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G6/1sC5AQAAWA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14</w:t>
                    </w:r>
                    <w:r>
                      <w:rPr>
                        <w:rFonts w:hint="eastAsia"/>
                        <w:lang w:eastAsia="zh-CN"/>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文本框 10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15</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C3QjNNugEAAFg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15</w:t>
                    </w:r>
                    <w:r>
                      <w:rPr>
                        <w:rFonts w:hint="eastAsia"/>
                        <w:lang w:eastAsia="zh-CN"/>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10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4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ClP+zL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0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16</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8"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DOqXm5&#10;zwAAAAUBAAAPAAAAAAAAAAEAIAAAACIAAABkcnMvZG93bnJldi54bWxQSwECFAAUAAAACACHTuJA&#10;HB5OdrgBAABYAwAADgAAAAAAAAABACAAAAAeAQAAZHJzL2Uyb0RvYy54bWxQSwUGAAAAAAYABgBZ&#10;AQAASA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16</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10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41"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DEGyNL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10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9"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CRgqf5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10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40"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AOfdcy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BMWPed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10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8"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LUO7025AQAAVw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9"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DOqXm5&#10;zwAAAAUBAAAPAAAAAAAAAAEAIAAAACIAAABkcnMvZG93bnJldi54bWxQSwECFAAUAAAACACHTuJA&#10;zXshsbgBAABYAwAADgAAAAAAAAABACAAAAAeAQAAZHJzL2Uyb0RvYy54bWxQSwUGAAAAAAYABgBZ&#10;AQAASA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03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0"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DOqXm5&#10;zwAAAAUBAAAPAAAAAAAAAAEAIAAAACIAAABkcnMvZG93bnJldi54bWxQSwECFAAUAAAACACHTuJA&#10;w+lwirgBAABYAwAADgAAAAAAAAABACAAAAAeAQAAZHJzL2Uyb0RvYy54bWxQSwUGAAAAAAYABgBZ&#10;AQAASA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0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1"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AmPhPO5AQAAWA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single" w:color="000000" w:sz="4" w:space="1"/>
      </w:pBdr>
      <w:jc w:val="both"/>
      <w:rPr>
        <w:rFonts w:hint="default" w:eastAsia="Arial Unicode MS"/>
        <w:lang w:val="en-US" w:eastAsia="zh-CN"/>
      </w:rPr>
    </w:pPr>
    <w:r>
      <w:rPr>
        <w:rFonts w:hint="eastAsia"/>
        <w:lang w:val="en-US" w:eastAsia="zh-CN"/>
      </w:rPr>
      <w:t>江苏省社会捐助服务中心</w:t>
    </w:r>
    <w:r>
      <w:t>2020年度部门决算公开</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1"/>
      </w:pBdr>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A63D8E2"/>
    <w:multiLevelType w:val="singleLevel"/>
    <w:tmpl w:val="9A63D8E2"/>
    <w:lvl w:ilvl="0" w:tentative="0">
      <w:start w:val="2"/>
      <w:numFmt w:val="decimal"/>
      <w:lvlText w:val="%1."/>
      <w:lvlJc w:val="left"/>
      <w:pPr>
        <w:tabs>
          <w:tab w:val="left" w:pos="312"/>
        </w:tabs>
        <w:ind w:left="1058" w:leftChars="0" w:firstLine="0" w:firstLineChars="0"/>
      </w:pPr>
    </w:lvl>
  </w:abstractNum>
  <w:abstractNum w:abstractNumId="1">
    <w:nsid w:val="D35CEB36"/>
    <w:multiLevelType w:val="singleLevel"/>
    <w:tmpl w:val="D35CEB36"/>
    <w:lvl w:ilvl="0" w:tentative="0">
      <w:start w:val="2"/>
      <w:numFmt w:val="decimal"/>
      <w:lvlText w:val="%1."/>
      <w:lvlJc w:val="left"/>
      <w:pPr>
        <w:tabs>
          <w:tab w:val="left" w:pos="312"/>
        </w:tabs>
        <w:ind w:left="498" w:leftChars="0" w:firstLine="0" w:firstLineChars="0"/>
      </w:pPr>
    </w:lvl>
  </w:abstractNum>
  <w:abstractNum w:abstractNumId="2">
    <w:nsid w:val="2B7DC955"/>
    <w:multiLevelType w:val="singleLevel"/>
    <w:tmpl w:val="2B7DC955"/>
    <w:lvl w:ilvl="0" w:tentative="0">
      <w:start w:val="2"/>
      <w:numFmt w:val="decimal"/>
      <w:lvlText w:val="%1."/>
      <w:lvlJc w:val="left"/>
      <w:pPr>
        <w:tabs>
          <w:tab w:val="left" w:pos="312"/>
        </w:tabs>
        <w:ind w:left="669" w:leftChars="0" w:firstLine="0" w:firstLineChars="0"/>
      </w:pPr>
    </w:lvl>
  </w:abstractNum>
  <w:abstractNum w:abstractNumId="3">
    <w:nsid w:val="325C14DC"/>
    <w:multiLevelType w:val="singleLevel"/>
    <w:tmpl w:val="325C14DC"/>
    <w:lvl w:ilvl="0" w:tentative="0">
      <w:start w:val="2"/>
      <w:numFmt w:val="decimal"/>
      <w:lvlText w:val="%1."/>
      <w:lvlJc w:val="left"/>
      <w:pPr>
        <w:tabs>
          <w:tab w:val="left" w:pos="312"/>
        </w:tabs>
      </w:pPr>
    </w:lvl>
  </w:abstractNum>
  <w:abstractNum w:abstractNumId="4">
    <w:nsid w:val="38CB0B28"/>
    <w:multiLevelType w:val="singleLevel"/>
    <w:tmpl w:val="38CB0B28"/>
    <w:lvl w:ilvl="0" w:tentative="0">
      <w:start w:val="2"/>
      <w:numFmt w:val="decimal"/>
      <w:lvlText w:val="%1."/>
      <w:lvlJc w:val="left"/>
      <w:pPr>
        <w:tabs>
          <w:tab w:val="left" w:pos="312"/>
        </w:tabs>
      </w:pPr>
    </w:lvl>
  </w:abstractNum>
  <w:abstractNum w:abstractNumId="5">
    <w:nsid w:val="471B8B78"/>
    <w:multiLevelType w:val="singleLevel"/>
    <w:tmpl w:val="471B8B78"/>
    <w:lvl w:ilvl="0" w:tentative="0">
      <w:start w:val="2"/>
      <w:numFmt w:val="decimal"/>
      <w:lvlText w:val="%1."/>
      <w:lvlJc w:val="left"/>
      <w:pPr>
        <w:tabs>
          <w:tab w:val="left" w:pos="312"/>
        </w:tabs>
        <w:ind w:left="1197" w:leftChars="0" w:firstLine="0" w:firstLineChars="0"/>
      </w:pPr>
    </w:lvl>
  </w:abstractNum>
  <w:abstractNum w:abstractNumId="6">
    <w:nsid w:val="69700013"/>
    <w:multiLevelType w:val="singleLevel"/>
    <w:tmpl w:val="69700013"/>
    <w:lvl w:ilvl="0" w:tentative="0">
      <w:start w:val="2"/>
      <w:numFmt w:val="decimal"/>
      <w:lvlText w:val="%1."/>
      <w:lvlJc w:val="left"/>
      <w:pPr>
        <w:tabs>
          <w:tab w:val="left" w:pos="312"/>
        </w:tabs>
      </w:pPr>
    </w:lvl>
  </w:abstractNum>
  <w:abstractNum w:abstractNumId="7">
    <w:nsid w:val="73305834"/>
    <w:multiLevelType w:val="singleLevel"/>
    <w:tmpl w:val="73305834"/>
    <w:lvl w:ilvl="0" w:tentative="0">
      <w:start w:val="2"/>
      <w:numFmt w:val="decimal"/>
      <w:lvlText w:val="%1."/>
      <w:lvlJc w:val="left"/>
      <w:pPr>
        <w:tabs>
          <w:tab w:val="left" w:pos="312"/>
        </w:tabs>
      </w:pPr>
      <w:rPr>
        <w:rFonts w:hint="default"/>
      </w:rPr>
    </w:lvl>
  </w:abstractNum>
  <w:num w:numId="1">
    <w:abstractNumId w:val="1"/>
  </w:num>
  <w:num w:numId="2">
    <w:abstractNumId w:val="6"/>
  </w:num>
  <w:num w:numId="3">
    <w:abstractNumId w:val="0"/>
  </w:num>
  <w:num w:numId="4">
    <w:abstractNumId w:val="2"/>
  </w:num>
  <w:num w:numId="5">
    <w:abstractNumId w:val="3"/>
  </w:num>
  <w:num w:numId="6">
    <w:abstractNumId w:val="5"/>
  </w:num>
  <w:num w:numId="7">
    <w:abstractNumId w:val="4"/>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0"/>
  <w:bordersDoNotSurroundFooter w:val="0"/>
  <w:documentProtection w:enforcement="0"/>
  <w:defaultTabStop w:val="0"/>
  <w:autoHyphenation/>
  <w:displayHorizontalDrawingGridEvery w:val="1"/>
  <w:displayVerticalDrawingGridEvery w:val="1"/>
  <w:noPunctuationKerning w:val="1"/>
  <w:characterSpacingControl w:val="doNotCompress"/>
  <w:hdrShapeDefaults>
    <o:shapelayout v:ext="edit">
      <o:idmap v:ext="edit" data="3,4"/>
    </o:shapelayout>
  </w:hdrShapeDefaults>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064984"/>
    <w:rsid w:val="00071789"/>
    <w:rsid w:val="000F12AB"/>
    <w:rsid w:val="001C31F9"/>
    <w:rsid w:val="00407CA7"/>
    <w:rsid w:val="00413AD8"/>
    <w:rsid w:val="00671ED7"/>
    <w:rsid w:val="00672164"/>
    <w:rsid w:val="00867423"/>
    <w:rsid w:val="008B5B05"/>
    <w:rsid w:val="009965EA"/>
    <w:rsid w:val="00A6752E"/>
    <w:rsid w:val="00BD7F33"/>
    <w:rsid w:val="00C15920"/>
    <w:rsid w:val="00C82582"/>
    <w:rsid w:val="00FA3233"/>
    <w:rsid w:val="010F1E77"/>
    <w:rsid w:val="01875334"/>
    <w:rsid w:val="018E7014"/>
    <w:rsid w:val="019803DB"/>
    <w:rsid w:val="01C22655"/>
    <w:rsid w:val="01D4677F"/>
    <w:rsid w:val="01F17DF5"/>
    <w:rsid w:val="023277C7"/>
    <w:rsid w:val="02420B21"/>
    <w:rsid w:val="026604FF"/>
    <w:rsid w:val="027F398B"/>
    <w:rsid w:val="02A822D0"/>
    <w:rsid w:val="02B14230"/>
    <w:rsid w:val="02D43672"/>
    <w:rsid w:val="02DD471D"/>
    <w:rsid w:val="02E8449D"/>
    <w:rsid w:val="02F513AC"/>
    <w:rsid w:val="03121471"/>
    <w:rsid w:val="033F3F8A"/>
    <w:rsid w:val="03673847"/>
    <w:rsid w:val="03690F36"/>
    <w:rsid w:val="03793778"/>
    <w:rsid w:val="039F7320"/>
    <w:rsid w:val="03F86EFB"/>
    <w:rsid w:val="04156348"/>
    <w:rsid w:val="044E689B"/>
    <w:rsid w:val="045E5FB7"/>
    <w:rsid w:val="0495610D"/>
    <w:rsid w:val="04DF580C"/>
    <w:rsid w:val="04EA46EB"/>
    <w:rsid w:val="05185546"/>
    <w:rsid w:val="052126A9"/>
    <w:rsid w:val="05247FC3"/>
    <w:rsid w:val="05346113"/>
    <w:rsid w:val="05423E9C"/>
    <w:rsid w:val="05600A24"/>
    <w:rsid w:val="057525F6"/>
    <w:rsid w:val="05843580"/>
    <w:rsid w:val="058C526F"/>
    <w:rsid w:val="05AB4AE4"/>
    <w:rsid w:val="05BD2716"/>
    <w:rsid w:val="05C73A91"/>
    <w:rsid w:val="05DB339C"/>
    <w:rsid w:val="05FE3016"/>
    <w:rsid w:val="06006806"/>
    <w:rsid w:val="060D1C4C"/>
    <w:rsid w:val="061C50DF"/>
    <w:rsid w:val="06542957"/>
    <w:rsid w:val="0681129C"/>
    <w:rsid w:val="0695552F"/>
    <w:rsid w:val="06C87B62"/>
    <w:rsid w:val="072A453E"/>
    <w:rsid w:val="073A470E"/>
    <w:rsid w:val="07520D7A"/>
    <w:rsid w:val="075575FE"/>
    <w:rsid w:val="07580A5A"/>
    <w:rsid w:val="07656047"/>
    <w:rsid w:val="077C711D"/>
    <w:rsid w:val="079361A1"/>
    <w:rsid w:val="07C509DD"/>
    <w:rsid w:val="08031AA7"/>
    <w:rsid w:val="0806186F"/>
    <w:rsid w:val="083B723A"/>
    <w:rsid w:val="08582C83"/>
    <w:rsid w:val="0860441B"/>
    <w:rsid w:val="08913758"/>
    <w:rsid w:val="08A333FC"/>
    <w:rsid w:val="08D342E7"/>
    <w:rsid w:val="08FC0605"/>
    <w:rsid w:val="09165D85"/>
    <w:rsid w:val="096204B4"/>
    <w:rsid w:val="096B0C35"/>
    <w:rsid w:val="09891979"/>
    <w:rsid w:val="098926B4"/>
    <w:rsid w:val="09984875"/>
    <w:rsid w:val="09E82283"/>
    <w:rsid w:val="09EB3C7D"/>
    <w:rsid w:val="09F032D5"/>
    <w:rsid w:val="09F45579"/>
    <w:rsid w:val="09FE0C6E"/>
    <w:rsid w:val="0A112BB9"/>
    <w:rsid w:val="0A1D215F"/>
    <w:rsid w:val="0A2639C8"/>
    <w:rsid w:val="0A3F45FE"/>
    <w:rsid w:val="0A7F08D2"/>
    <w:rsid w:val="0A964BFD"/>
    <w:rsid w:val="0ADA70C2"/>
    <w:rsid w:val="0AFD463B"/>
    <w:rsid w:val="0B05614C"/>
    <w:rsid w:val="0B134992"/>
    <w:rsid w:val="0B160131"/>
    <w:rsid w:val="0B392278"/>
    <w:rsid w:val="0B813D25"/>
    <w:rsid w:val="0B89728A"/>
    <w:rsid w:val="0BAC43D1"/>
    <w:rsid w:val="0BCF6DAD"/>
    <w:rsid w:val="0BF41C52"/>
    <w:rsid w:val="0C047996"/>
    <w:rsid w:val="0C2215AA"/>
    <w:rsid w:val="0C6536DB"/>
    <w:rsid w:val="0C797590"/>
    <w:rsid w:val="0CD230A9"/>
    <w:rsid w:val="0CD65166"/>
    <w:rsid w:val="0CDB2BBC"/>
    <w:rsid w:val="0CE84C0B"/>
    <w:rsid w:val="0CEF2113"/>
    <w:rsid w:val="0CEF2581"/>
    <w:rsid w:val="0D05225F"/>
    <w:rsid w:val="0D261419"/>
    <w:rsid w:val="0D617032"/>
    <w:rsid w:val="0D6C5D61"/>
    <w:rsid w:val="0D760FDB"/>
    <w:rsid w:val="0D7F345D"/>
    <w:rsid w:val="0DAC0D2B"/>
    <w:rsid w:val="0DD06A00"/>
    <w:rsid w:val="0DFC3CDF"/>
    <w:rsid w:val="0DFD772C"/>
    <w:rsid w:val="0DFF5826"/>
    <w:rsid w:val="0E1F1C4F"/>
    <w:rsid w:val="0E27451D"/>
    <w:rsid w:val="0E5E7568"/>
    <w:rsid w:val="0E662847"/>
    <w:rsid w:val="0E94230E"/>
    <w:rsid w:val="0EFE25F0"/>
    <w:rsid w:val="0F807B33"/>
    <w:rsid w:val="0F8F17E6"/>
    <w:rsid w:val="0FB02B15"/>
    <w:rsid w:val="0FB21F29"/>
    <w:rsid w:val="0FB47D1E"/>
    <w:rsid w:val="0FCE598D"/>
    <w:rsid w:val="0FEF37CA"/>
    <w:rsid w:val="100928FC"/>
    <w:rsid w:val="1027035F"/>
    <w:rsid w:val="102A69EF"/>
    <w:rsid w:val="103D6600"/>
    <w:rsid w:val="106204CB"/>
    <w:rsid w:val="10A90FB7"/>
    <w:rsid w:val="11092167"/>
    <w:rsid w:val="110C3973"/>
    <w:rsid w:val="110D47B0"/>
    <w:rsid w:val="11110225"/>
    <w:rsid w:val="111930E1"/>
    <w:rsid w:val="11252430"/>
    <w:rsid w:val="1143676B"/>
    <w:rsid w:val="11471791"/>
    <w:rsid w:val="117C1012"/>
    <w:rsid w:val="11872569"/>
    <w:rsid w:val="11AB09B5"/>
    <w:rsid w:val="11C36B1F"/>
    <w:rsid w:val="11C52DC5"/>
    <w:rsid w:val="11F221C7"/>
    <w:rsid w:val="11F2605E"/>
    <w:rsid w:val="11F724E3"/>
    <w:rsid w:val="122227BF"/>
    <w:rsid w:val="12313173"/>
    <w:rsid w:val="12313682"/>
    <w:rsid w:val="128157F4"/>
    <w:rsid w:val="12B566A2"/>
    <w:rsid w:val="12C448B1"/>
    <w:rsid w:val="12F05187"/>
    <w:rsid w:val="13142710"/>
    <w:rsid w:val="1335650B"/>
    <w:rsid w:val="133E1FA2"/>
    <w:rsid w:val="139377AA"/>
    <w:rsid w:val="13A44407"/>
    <w:rsid w:val="13E2730D"/>
    <w:rsid w:val="13F85ED3"/>
    <w:rsid w:val="140626B0"/>
    <w:rsid w:val="140C350F"/>
    <w:rsid w:val="14207DA2"/>
    <w:rsid w:val="142101C9"/>
    <w:rsid w:val="143164E8"/>
    <w:rsid w:val="14341A45"/>
    <w:rsid w:val="146856DB"/>
    <w:rsid w:val="14933F94"/>
    <w:rsid w:val="14AA0D30"/>
    <w:rsid w:val="14BA3B44"/>
    <w:rsid w:val="1504334D"/>
    <w:rsid w:val="15085477"/>
    <w:rsid w:val="15664CCA"/>
    <w:rsid w:val="159E0364"/>
    <w:rsid w:val="15B93CF7"/>
    <w:rsid w:val="15D36B14"/>
    <w:rsid w:val="16053674"/>
    <w:rsid w:val="16146EAD"/>
    <w:rsid w:val="161A451C"/>
    <w:rsid w:val="161E395E"/>
    <w:rsid w:val="1621543B"/>
    <w:rsid w:val="163E1726"/>
    <w:rsid w:val="167F1A6B"/>
    <w:rsid w:val="16971C37"/>
    <w:rsid w:val="16BE14E7"/>
    <w:rsid w:val="16BE34FA"/>
    <w:rsid w:val="16ED632E"/>
    <w:rsid w:val="1717031D"/>
    <w:rsid w:val="175D47C3"/>
    <w:rsid w:val="17BC2D29"/>
    <w:rsid w:val="1808589E"/>
    <w:rsid w:val="18272F04"/>
    <w:rsid w:val="18473583"/>
    <w:rsid w:val="188B47DF"/>
    <w:rsid w:val="18916DBC"/>
    <w:rsid w:val="18AA3C15"/>
    <w:rsid w:val="18C07826"/>
    <w:rsid w:val="18C77023"/>
    <w:rsid w:val="18FD3C01"/>
    <w:rsid w:val="19195D82"/>
    <w:rsid w:val="194A216C"/>
    <w:rsid w:val="19517451"/>
    <w:rsid w:val="196D1879"/>
    <w:rsid w:val="199D3E22"/>
    <w:rsid w:val="19A676CD"/>
    <w:rsid w:val="19B34CEE"/>
    <w:rsid w:val="19C57B31"/>
    <w:rsid w:val="19CE54E8"/>
    <w:rsid w:val="19DA0E66"/>
    <w:rsid w:val="1A0868DE"/>
    <w:rsid w:val="1A386BB6"/>
    <w:rsid w:val="1A3E0B9C"/>
    <w:rsid w:val="1A641248"/>
    <w:rsid w:val="1A6B178B"/>
    <w:rsid w:val="1AD90120"/>
    <w:rsid w:val="1AEB035A"/>
    <w:rsid w:val="1AF0114F"/>
    <w:rsid w:val="1B136BC2"/>
    <w:rsid w:val="1B1C5890"/>
    <w:rsid w:val="1B363B76"/>
    <w:rsid w:val="1B394ECA"/>
    <w:rsid w:val="1B6F2A95"/>
    <w:rsid w:val="1B7011A6"/>
    <w:rsid w:val="1B894395"/>
    <w:rsid w:val="1BC84BF9"/>
    <w:rsid w:val="1BE008E5"/>
    <w:rsid w:val="1BE426E0"/>
    <w:rsid w:val="1BEF5EDC"/>
    <w:rsid w:val="1BF3045F"/>
    <w:rsid w:val="1C171374"/>
    <w:rsid w:val="1C4928ED"/>
    <w:rsid w:val="1C706707"/>
    <w:rsid w:val="1C8F4549"/>
    <w:rsid w:val="1C9B1094"/>
    <w:rsid w:val="1C9D7829"/>
    <w:rsid w:val="1CA25487"/>
    <w:rsid w:val="1CD53375"/>
    <w:rsid w:val="1CD770E1"/>
    <w:rsid w:val="1CDF3C35"/>
    <w:rsid w:val="1CED64E7"/>
    <w:rsid w:val="1CF655C7"/>
    <w:rsid w:val="1CF70CE3"/>
    <w:rsid w:val="1D0E4D1B"/>
    <w:rsid w:val="1D201166"/>
    <w:rsid w:val="1D5A4782"/>
    <w:rsid w:val="1D623037"/>
    <w:rsid w:val="1D672CB3"/>
    <w:rsid w:val="1D7C0925"/>
    <w:rsid w:val="1D817975"/>
    <w:rsid w:val="1D951979"/>
    <w:rsid w:val="1DAF110E"/>
    <w:rsid w:val="1DB61054"/>
    <w:rsid w:val="1DC94431"/>
    <w:rsid w:val="1E107489"/>
    <w:rsid w:val="1E120047"/>
    <w:rsid w:val="1E2456FC"/>
    <w:rsid w:val="1E387717"/>
    <w:rsid w:val="1E5227F5"/>
    <w:rsid w:val="1E5B1486"/>
    <w:rsid w:val="1E6C2CB1"/>
    <w:rsid w:val="1E86604F"/>
    <w:rsid w:val="1E8B2478"/>
    <w:rsid w:val="1EA55F87"/>
    <w:rsid w:val="1EBB4C20"/>
    <w:rsid w:val="1EC57AB3"/>
    <w:rsid w:val="1ECE40F1"/>
    <w:rsid w:val="1EF93282"/>
    <w:rsid w:val="1EFC05DA"/>
    <w:rsid w:val="1F242409"/>
    <w:rsid w:val="1F342CDC"/>
    <w:rsid w:val="1F5838AB"/>
    <w:rsid w:val="1F721347"/>
    <w:rsid w:val="1F724421"/>
    <w:rsid w:val="1F8B39C7"/>
    <w:rsid w:val="1FA17CC2"/>
    <w:rsid w:val="1FD866E0"/>
    <w:rsid w:val="1FEA282E"/>
    <w:rsid w:val="1FF92872"/>
    <w:rsid w:val="1FFE4976"/>
    <w:rsid w:val="200945DD"/>
    <w:rsid w:val="200B03E4"/>
    <w:rsid w:val="200E293D"/>
    <w:rsid w:val="201802D4"/>
    <w:rsid w:val="20571955"/>
    <w:rsid w:val="20594713"/>
    <w:rsid w:val="20632091"/>
    <w:rsid w:val="20900DEF"/>
    <w:rsid w:val="209B6228"/>
    <w:rsid w:val="20CA3D8E"/>
    <w:rsid w:val="20F544F1"/>
    <w:rsid w:val="2148186B"/>
    <w:rsid w:val="21776D10"/>
    <w:rsid w:val="218F0CEB"/>
    <w:rsid w:val="21EA64FE"/>
    <w:rsid w:val="223F0861"/>
    <w:rsid w:val="227347E3"/>
    <w:rsid w:val="227D4749"/>
    <w:rsid w:val="22B66C67"/>
    <w:rsid w:val="22B96619"/>
    <w:rsid w:val="22C9349D"/>
    <w:rsid w:val="22CF4CB9"/>
    <w:rsid w:val="22E5714F"/>
    <w:rsid w:val="23073234"/>
    <w:rsid w:val="23153D35"/>
    <w:rsid w:val="231859C4"/>
    <w:rsid w:val="233651B2"/>
    <w:rsid w:val="233C5C01"/>
    <w:rsid w:val="23655593"/>
    <w:rsid w:val="23873CA0"/>
    <w:rsid w:val="23A668C2"/>
    <w:rsid w:val="23F81D1C"/>
    <w:rsid w:val="24004EF0"/>
    <w:rsid w:val="24361C71"/>
    <w:rsid w:val="24470447"/>
    <w:rsid w:val="2455798C"/>
    <w:rsid w:val="246E4FE1"/>
    <w:rsid w:val="247771B1"/>
    <w:rsid w:val="24797436"/>
    <w:rsid w:val="24893698"/>
    <w:rsid w:val="248A0DA1"/>
    <w:rsid w:val="248B0DC9"/>
    <w:rsid w:val="24EF440E"/>
    <w:rsid w:val="25191A92"/>
    <w:rsid w:val="25290357"/>
    <w:rsid w:val="253C3B25"/>
    <w:rsid w:val="255F5B0A"/>
    <w:rsid w:val="25664EB1"/>
    <w:rsid w:val="2573629D"/>
    <w:rsid w:val="257B7E43"/>
    <w:rsid w:val="25A7022D"/>
    <w:rsid w:val="25E2513A"/>
    <w:rsid w:val="25F45922"/>
    <w:rsid w:val="25FD2F48"/>
    <w:rsid w:val="262E21CA"/>
    <w:rsid w:val="26713F63"/>
    <w:rsid w:val="26753166"/>
    <w:rsid w:val="267C5A99"/>
    <w:rsid w:val="2682148D"/>
    <w:rsid w:val="268D22B5"/>
    <w:rsid w:val="269240CC"/>
    <w:rsid w:val="269A47B4"/>
    <w:rsid w:val="26EC7F5B"/>
    <w:rsid w:val="27175BDC"/>
    <w:rsid w:val="271E071C"/>
    <w:rsid w:val="272B00CD"/>
    <w:rsid w:val="27381EB7"/>
    <w:rsid w:val="275E5E47"/>
    <w:rsid w:val="27924AA1"/>
    <w:rsid w:val="27962E21"/>
    <w:rsid w:val="279768B3"/>
    <w:rsid w:val="279A19EA"/>
    <w:rsid w:val="27B169B4"/>
    <w:rsid w:val="27B911ED"/>
    <w:rsid w:val="27D27F60"/>
    <w:rsid w:val="27E744FA"/>
    <w:rsid w:val="27F83B89"/>
    <w:rsid w:val="27FE146D"/>
    <w:rsid w:val="283E36E3"/>
    <w:rsid w:val="284675E2"/>
    <w:rsid w:val="284E0B22"/>
    <w:rsid w:val="28543497"/>
    <w:rsid w:val="28630B61"/>
    <w:rsid w:val="286C012F"/>
    <w:rsid w:val="289B5942"/>
    <w:rsid w:val="28B77612"/>
    <w:rsid w:val="28BB465F"/>
    <w:rsid w:val="29012269"/>
    <w:rsid w:val="291451AB"/>
    <w:rsid w:val="29157417"/>
    <w:rsid w:val="29285E0F"/>
    <w:rsid w:val="29505C1F"/>
    <w:rsid w:val="297158AB"/>
    <w:rsid w:val="29807966"/>
    <w:rsid w:val="29C02FCD"/>
    <w:rsid w:val="29C63807"/>
    <w:rsid w:val="29EB45D3"/>
    <w:rsid w:val="2A0312F6"/>
    <w:rsid w:val="2A07685B"/>
    <w:rsid w:val="2A2569D8"/>
    <w:rsid w:val="2A2F7528"/>
    <w:rsid w:val="2A3E46F3"/>
    <w:rsid w:val="2A7975D0"/>
    <w:rsid w:val="2A7B46D0"/>
    <w:rsid w:val="2A7E694A"/>
    <w:rsid w:val="2A88405F"/>
    <w:rsid w:val="2AC03F74"/>
    <w:rsid w:val="2ACD4D90"/>
    <w:rsid w:val="2ADC43C4"/>
    <w:rsid w:val="2AE07B98"/>
    <w:rsid w:val="2B1B36C2"/>
    <w:rsid w:val="2B7A42C1"/>
    <w:rsid w:val="2B82668D"/>
    <w:rsid w:val="2BBF0C02"/>
    <w:rsid w:val="2BDD28EB"/>
    <w:rsid w:val="2BF43094"/>
    <w:rsid w:val="2BF909AA"/>
    <w:rsid w:val="2C0757B7"/>
    <w:rsid w:val="2C660130"/>
    <w:rsid w:val="2CB9711D"/>
    <w:rsid w:val="2CF3363A"/>
    <w:rsid w:val="2D000C25"/>
    <w:rsid w:val="2D0F4DB4"/>
    <w:rsid w:val="2D2D36A5"/>
    <w:rsid w:val="2D365B16"/>
    <w:rsid w:val="2D5646DC"/>
    <w:rsid w:val="2D6D2070"/>
    <w:rsid w:val="2D9D0838"/>
    <w:rsid w:val="2DB652A4"/>
    <w:rsid w:val="2DB943B8"/>
    <w:rsid w:val="2DBB2419"/>
    <w:rsid w:val="2DBF7001"/>
    <w:rsid w:val="2DC26166"/>
    <w:rsid w:val="2DEA2F76"/>
    <w:rsid w:val="2DF041FF"/>
    <w:rsid w:val="2DF76E1B"/>
    <w:rsid w:val="2E10357E"/>
    <w:rsid w:val="2E177A17"/>
    <w:rsid w:val="2E1B30B3"/>
    <w:rsid w:val="2E3E487D"/>
    <w:rsid w:val="2E41360C"/>
    <w:rsid w:val="2E607FBE"/>
    <w:rsid w:val="2E615CAF"/>
    <w:rsid w:val="2E64456A"/>
    <w:rsid w:val="2E7264C5"/>
    <w:rsid w:val="2E7653DE"/>
    <w:rsid w:val="2E842882"/>
    <w:rsid w:val="2E8C6A3D"/>
    <w:rsid w:val="2EB508B8"/>
    <w:rsid w:val="2ED71BB4"/>
    <w:rsid w:val="2F04472C"/>
    <w:rsid w:val="2F066396"/>
    <w:rsid w:val="2F2655A5"/>
    <w:rsid w:val="2F30138F"/>
    <w:rsid w:val="2F5628C1"/>
    <w:rsid w:val="2F81781A"/>
    <w:rsid w:val="2FBA6AB0"/>
    <w:rsid w:val="2FDA5233"/>
    <w:rsid w:val="30186987"/>
    <w:rsid w:val="30396B3B"/>
    <w:rsid w:val="303D3D8D"/>
    <w:rsid w:val="30410449"/>
    <w:rsid w:val="304B34C7"/>
    <w:rsid w:val="306F3884"/>
    <w:rsid w:val="30AE1C64"/>
    <w:rsid w:val="30D06AF0"/>
    <w:rsid w:val="30DC1248"/>
    <w:rsid w:val="30E16401"/>
    <w:rsid w:val="31405015"/>
    <w:rsid w:val="31537EEC"/>
    <w:rsid w:val="316F0F32"/>
    <w:rsid w:val="31736100"/>
    <w:rsid w:val="31773981"/>
    <w:rsid w:val="319C6FC9"/>
    <w:rsid w:val="3205097C"/>
    <w:rsid w:val="3219245E"/>
    <w:rsid w:val="323677EC"/>
    <w:rsid w:val="323827BE"/>
    <w:rsid w:val="32495754"/>
    <w:rsid w:val="32541D1E"/>
    <w:rsid w:val="32605AA8"/>
    <w:rsid w:val="32615E04"/>
    <w:rsid w:val="326849A2"/>
    <w:rsid w:val="326B0F6E"/>
    <w:rsid w:val="328126D8"/>
    <w:rsid w:val="32A04DB4"/>
    <w:rsid w:val="32D07FAA"/>
    <w:rsid w:val="32DE0BF1"/>
    <w:rsid w:val="32E158F1"/>
    <w:rsid w:val="33031007"/>
    <w:rsid w:val="330A1B9B"/>
    <w:rsid w:val="33341058"/>
    <w:rsid w:val="338032CF"/>
    <w:rsid w:val="339F3BDD"/>
    <w:rsid w:val="33A9773C"/>
    <w:rsid w:val="33E93AE7"/>
    <w:rsid w:val="33FB47B2"/>
    <w:rsid w:val="33FE062C"/>
    <w:rsid w:val="340D123D"/>
    <w:rsid w:val="340D402A"/>
    <w:rsid w:val="34117F4A"/>
    <w:rsid w:val="34157A69"/>
    <w:rsid w:val="342F04EE"/>
    <w:rsid w:val="343278F3"/>
    <w:rsid w:val="343773FE"/>
    <w:rsid w:val="344352BB"/>
    <w:rsid w:val="345F13D2"/>
    <w:rsid w:val="346614E2"/>
    <w:rsid w:val="346F44E7"/>
    <w:rsid w:val="3477121B"/>
    <w:rsid w:val="34C33940"/>
    <w:rsid w:val="34CE5612"/>
    <w:rsid w:val="34DA288E"/>
    <w:rsid w:val="34E07C21"/>
    <w:rsid w:val="34E11C57"/>
    <w:rsid w:val="34E43EEA"/>
    <w:rsid w:val="34F47C15"/>
    <w:rsid w:val="34F540BD"/>
    <w:rsid w:val="34FF3C2C"/>
    <w:rsid w:val="35063B46"/>
    <w:rsid w:val="351C3CD0"/>
    <w:rsid w:val="352F1E92"/>
    <w:rsid w:val="353763F9"/>
    <w:rsid w:val="353C79F3"/>
    <w:rsid w:val="353F5F9A"/>
    <w:rsid w:val="35600779"/>
    <w:rsid w:val="35976ED7"/>
    <w:rsid w:val="35980087"/>
    <w:rsid w:val="35B84DAB"/>
    <w:rsid w:val="35C52894"/>
    <w:rsid w:val="35F036ED"/>
    <w:rsid w:val="35FB5BA7"/>
    <w:rsid w:val="36021E5F"/>
    <w:rsid w:val="36327AC4"/>
    <w:rsid w:val="3634601F"/>
    <w:rsid w:val="36496AF6"/>
    <w:rsid w:val="36547421"/>
    <w:rsid w:val="367251E5"/>
    <w:rsid w:val="36903B9D"/>
    <w:rsid w:val="36C301B0"/>
    <w:rsid w:val="36C40C39"/>
    <w:rsid w:val="36C95739"/>
    <w:rsid w:val="36DE6128"/>
    <w:rsid w:val="36FD0B04"/>
    <w:rsid w:val="370275A1"/>
    <w:rsid w:val="372F7F54"/>
    <w:rsid w:val="374754B1"/>
    <w:rsid w:val="374E45F3"/>
    <w:rsid w:val="37624933"/>
    <w:rsid w:val="377870D5"/>
    <w:rsid w:val="378C7B63"/>
    <w:rsid w:val="37C01AB5"/>
    <w:rsid w:val="37C8480D"/>
    <w:rsid w:val="38107733"/>
    <w:rsid w:val="385F25BB"/>
    <w:rsid w:val="386609E8"/>
    <w:rsid w:val="387B2A25"/>
    <w:rsid w:val="38A0575D"/>
    <w:rsid w:val="38B577A9"/>
    <w:rsid w:val="38B74C05"/>
    <w:rsid w:val="38CC421D"/>
    <w:rsid w:val="38D16635"/>
    <w:rsid w:val="38D373E7"/>
    <w:rsid w:val="38FA57F0"/>
    <w:rsid w:val="3936186D"/>
    <w:rsid w:val="39514E0B"/>
    <w:rsid w:val="39566F53"/>
    <w:rsid w:val="395941C6"/>
    <w:rsid w:val="397905D6"/>
    <w:rsid w:val="39864DE3"/>
    <w:rsid w:val="399D5638"/>
    <w:rsid w:val="39B41C18"/>
    <w:rsid w:val="39B653E7"/>
    <w:rsid w:val="39C538F9"/>
    <w:rsid w:val="39D31839"/>
    <w:rsid w:val="39D7425E"/>
    <w:rsid w:val="3A255D6F"/>
    <w:rsid w:val="3A291776"/>
    <w:rsid w:val="3A43382A"/>
    <w:rsid w:val="3A51108A"/>
    <w:rsid w:val="3A604CCB"/>
    <w:rsid w:val="3A6711EA"/>
    <w:rsid w:val="3A6B021B"/>
    <w:rsid w:val="3A6C27C7"/>
    <w:rsid w:val="3A7E7CFE"/>
    <w:rsid w:val="3AB03D58"/>
    <w:rsid w:val="3AF31112"/>
    <w:rsid w:val="3AF71C4F"/>
    <w:rsid w:val="3B0C28E2"/>
    <w:rsid w:val="3B325752"/>
    <w:rsid w:val="3B4113F9"/>
    <w:rsid w:val="3B6E2308"/>
    <w:rsid w:val="3B700B9E"/>
    <w:rsid w:val="3B7A70C3"/>
    <w:rsid w:val="3B8C568A"/>
    <w:rsid w:val="3B8C6B52"/>
    <w:rsid w:val="3B9265F7"/>
    <w:rsid w:val="3BB36501"/>
    <w:rsid w:val="3BC10F8A"/>
    <w:rsid w:val="3BCA0430"/>
    <w:rsid w:val="3C0D7BA2"/>
    <w:rsid w:val="3C1464E6"/>
    <w:rsid w:val="3C1F3B0A"/>
    <w:rsid w:val="3C2F5079"/>
    <w:rsid w:val="3C820BF8"/>
    <w:rsid w:val="3CB974FB"/>
    <w:rsid w:val="3CFF2A56"/>
    <w:rsid w:val="3D083C3D"/>
    <w:rsid w:val="3D0F0BF5"/>
    <w:rsid w:val="3D254DA7"/>
    <w:rsid w:val="3D367754"/>
    <w:rsid w:val="3D4D01FD"/>
    <w:rsid w:val="3D8116F1"/>
    <w:rsid w:val="3D842DB5"/>
    <w:rsid w:val="3D927E3F"/>
    <w:rsid w:val="3DD76D85"/>
    <w:rsid w:val="3DD83ABF"/>
    <w:rsid w:val="3DDA437C"/>
    <w:rsid w:val="3DF461A3"/>
    <w:rsid w:val="3E0B6234"/>
    <w:rsid w:val="3E1516BF"/>
    <w:rsid w:val="3E600BB4"/>
    <w:rsid w:val="3E8A2129"/>
    <w:rsid w:val="3E8C3990"/>
    <w:rsid w:val="3EDA4D3F"/>
    <w:rsid w:val="3F0B745A"/>
    <w:rsid w:val="3F1708AB"/>
    <w:rsid w:val="3F8A3D39"/>
    <w:rsid w:val="3F8D0174"/>
    <w:rsid w:val="3F987717"/>
    <w:rsid w:val="3FD23300"/>
    <w:rsid w:val="3FF47042"/>
    <w:rsid w:val="3FF54785"/>
    <w:rsid w:val="3FFC0AB7"/>
    <w:rsid w:val="3FFF0B26"/>
    <w:rsid w:val="4015659C"/>
    <w:rsid w:val="401D268F"/>
    <w:rsid w:val="403D5DB4"/>
    <w:rsid w:val="40444047"/>
    <w:rsid w:val="40452250"/>
    <w:rsid w:val="40501155"/>
    <w:rsid w:val="405229A9"/>
    <w:rsid w:val="409E45E2"/>
    <w:rsid w:val="40A52125"/>
    <w:rsid w:val="40B61FF8"/>
    <w:rsid w:val="40C7171A"/>
    <w:rsid w:val="40D724A1"/>
    <w:rsid w:val="40E72D37"/>
    <w:rsid w:val="415A1391"/>
    <w:rsid w:val="415E5B0A"/>
    <w:rsid w:val="41965A41"/>
    <w:rsid w:val="41970D49"/>
    <w:rsid w:val="41B92A4F"/>
    <w:rsid w:val="41C964B4"/>
    <w:rsid w:val="41F92ABD"/>
    <w:rsid w:val="41FC1B6A"/>
    <w:rsid w:val="424D1C7F"/>
    <w:rsid w:val="425846A6"/>
    <w:rsid w:val="42624E34"/>
    <w:rsid w:val="427F218F"/>
    <w:rsid w:val="42840AD6"/>
    <w:rsid w:val="428B63CF"/>
    <w:rsid w:val="42AF67D0"/>
    <w:rsid w:val="42BC0E70"/>
    <w:rsid w:val="42C245CE"/>
    <w:rsid w:val="42DD0E52"/>
    <w:rsid w:val="431A0C24"/>
    <w:rsid w:val="434E1C20"/>
    <w:rsid w:val="43620283"/>
    <w:rsid w:val="4363286E"/>
    <w:rsid w:val="43A73BE3"/>
    <w:rsid w:val="43AE7A7E"/>
    <w:rsid w:val="43CF502D"/>
    <w:rsid w:val="440B02B4"/>
    <w:rsid w:val="441C5080"/>
    <w:rsid w:val="44233849"/>
    <w:rsid w:val="446B500C"/>
    <w:rsid w:val="448508DF"/>
    <w:rsid w:val="44BF18A2"/>
    <w:rsid w:val="44E23735"/>
    <w:rsid w:val="44EA77F7"/>
    <w:rsid w:val="45357785"/>
    <w:rsid w:val="45387766"/>
    <w:rsid w:val="453A760F"/>
    <w:rsid w:val="45491A3E"/>
    <w:rsid w:val="45503B28"/>
    <w:rsid w:val="45853082"/>
    <w:rsid w:val="45891F3C"/>
    <w:rsid w:val="4590274A"/>
    <w:rsid w:val="45FD0891"/>
    <w:rsid w:val="46185D52"/>
    <w:rsid w:val="462C285E"/>
    <w:rsid w:val="4639249F"/>
    <w:rsid w:val="463A0304"/>
    <w:rsid w:val="464A4975"/>
    <w:rsid w:val="467C2D95"/>
    <w:rsid w:val="4695468D"/>
    <w:rsid w:val="469A6A31"/>
    <w:rsid w:val="471553B4"/>
    <w:rsid w:val="471E6457"/>
    <w:rsid w:val="475F6267"/>
    <w:rsid w:val="4760207C"/>
    <w:rsid w:val="47743C9D"/>
    <w:rsid w:val="47906F17"/>
    <w:rsid w:val="479A7A31"/>
    <w:rsid w:val="479B1699"/>
    <w:rsid w:val="47AF51BF"/>
    <w:rsid w:val="47B81E12"/>
    <w:rsid w:val="47D03B18"/>
    <w:rsid w:val="47DB1D58"/>
    <w:rsid w:val="47ED29D3"/>
    <w:rsid w:val="47EF74A3"/>
    <w:rsid w:val="47F50C9B"/>
    <w:rsid w:val="4834394A"/>
    <w:rsid w:val="485A65F3"/>
    <w:rsid w:val="48987720"/>
    <w:rsid w:val="48AA0D47"/>
    <w:rsid w:val="48AB437A"/>
    <w:rsid w:val="48BB5E99"/>
    <w:rsid w:val="48E709AB"/>
    <w:rsid w:val="49074129"/>
    <w:rsid w:val="491E413A"/>
    <w:rsid w:val="492B5D1A"/>
    <w:rsid w:val="49356195"/>
    <w:rsid w:val="493E72F4"/>
    <w:rsid w:val="49477CA3"/>
    <w:rsid w:val="495D4FB7"/>
    <w:rsid w:val="495F0F47"/>
    <w:rsid w:val="49850611"/>
    <w:rsid w:val="49E47F0A"/>
    <w:rsid w:val="4A221E06"/>
    <w:rsid w:val="4A2C05A1"/>
    <w:rsid w:val="4A487A49"/>
    <w:rsid w:val="4A661827"/>
    <w:rsid w:val="4ABE4002"/>
    <w:rsid w:val="4AD3789D"/>
    <w:rsid w:val="4AE61558"/>
    <w:rsid w:val="4AE629A4"/>
    <w:rsid w:val="4AF93679"/>
    <w:rsid w:val="4B1E0386"/>
    <w:rsid w:val="4B327DA5"/>
    <w:rsid w:val="4B483ECE"/>
    <w:rsid w:val="4B4D5DE5"/>
    <w:rsid w:val="4B53713F"/>
    <w:rsid w:val="4B5918B4"/>
    <w:rsid w:val="4B5E178B"/>
    <w:rsid w:val="4B7D53C9"/>
    <w:rsid w:val="4B85293F"/>
    <w:rsid w:val="4B902502"/>
    <w:rsid w:val="4B9B344B"/>
    <w:rsid w:val="4BDB55FA"/>
    <w:rsid w:val="4C3D55C6"/>
    <w:rsid w:val="4C667A5B"/>
    <w:rsid w:val="4C823BCA"/>
    <w:rsid w:val="4C9F1330"/>
    <w:rsid w:val="4CAB3457"/>
    <w:rsid w:val="4CF124C7"/>
    <w:rsid w:val="4CF70170"/>
    <w:rsid w:val="4CFA619E"/>
    <w:rsid w:val="4CFD777A"/>
    <w:rsid w:val="4D201110"/>
    <w:rsid w:val="4D3431C7"/>
    <w:rsid w:val="4D526F59"/>
    <w:rsid w:val="4D650150"/>
    <w:rsid w:val="4DE03AC2"/>
    <w:rsid w:val="4DEF02BD"/>
    <w:rsid w:val="4E0D72D8"/>
    <w:rsid w:val="4E383ED6"/>
    <w:rsid w:val="4E560D60"/>
    <w:rsid w:val="4E564593"/>
    <w:rsid w:val="4E703F51"/>
    <w:rsid w:val="4E942C0A"/>
    <w:rsid w:val="4E98220D"/>
    <w:rsid w:val="4EB7399D"/>
    <w:rsid w:val="4ECD2716"/>
    <w:rsid w:val="4EE73AF5"/>
    <w:rsid w:val="4EE84EA5"/>
    <w:rsid w:val="4EEE4AF5"/>
    <w:rsid w:val="4F0B544D"/>
    <w:rsid w:val="4F301FB1"/>
    <w:rsid w:val="4F4F7329"/>
    <w:rsid w:val="4F5260B5"/>
    <w:rsid w:val="4F58224C"/>
    <w:rsid w:val="4F5A7FFE"/>
    <w:rsid w:val="4F8B2726"/>
    <w:rsid w:val="4F8B4457"/>
    <w:rsid w:val="4FDA01F8"/>
    <w:rsid w:val="4FF221C3"/>
    <w:rsid w:val="4FFA0634"/>
    <w:rsid w:val="500032A2"/>
    <w:rsid w:val="504E08AD"/>
    <w:rsid w:val="505C4D01"/>
    <w:rsid w:val="507419FE"/>
    <w:rsid w:val="508B1CA1"/>
    <w:rsid w:val="50AA168D"/>
    <w:rsid w:val="50AF4B30"/>
    <w:rsid w:val="50BC5CDC"/>
    <w:rsid w:val="50E74C38"/>
    <w:rsid w:val="51025571"/>
    <w:rsid w:val="510819A0"/>
    <w:rsid w:val="51200E5F"/>
    <w:rsid w:val="5123009E"/>
    <w:rsid w:val="512C2CA7"/>
    <w:rsid w:val="512D289E"/>
    <w:rsid w:val="514152FB"/>
    <w:rsid w:val="51434ED1"/>
    <w:rsid w:val="516445A0"/>
    <w:rsid w:val="518956A9"/>
    <w:rsid w:val="52490C2A"/>
    <w:rsid w:val="525505B5"/>
    <w:rsid w:val="5261544F"/>
    <w:rsid w:val="52C504FB"/>
    <w:rsid w:val="52E13756"/>
    <w:rsid w:val="52E65840"/>
    <w:rsid w:val="52EF5C2D"/>
    <w:rsid w:val="52F47582"/>
    <w:rsid w:val="5371534A"/>
    <w:rsid w:val="53720C63"/>
    <w:rsid w:val="537700D3"/>
    <w:rsid w:val="53811681"/>
    <w:rsid w:val="538A520F"/>
    <w:rsid w:val="53933E3F"/>
    <w:rsid w:val="53B418CC"/>
    <w:rsid w:val="53F32910"/>
    <w:rsid w:val="53F4098D"/>
    <w:rsid w:val="53FE04C8"/>
    <w:rsid w:val="54206BE2"/>
    <w:rsid w:val="54297BB6"/>
    <w:rsid w:val="54336DD4"/>
    <w:rsid w:val="543660C2"/>
    <w:rsid w:val="54375971"/>
    <w:rsid w:val="54453F00"/>
    <w:rsid w:val="544D196D"/>
    <w:rsid w:val="5478326E"/>
    <w:rsid w:val="547F6951"/>
    <w:rsid w:val="54854CE2"/>
    <w:rsid w:val="548965FC"/>
    <w:rsid w:val="549F015A"/>
    <w:rsid w:val="54D730B0"/>
    <w:rsid w:val="54E812EA"/>
    <w:rsid w:val="54F76B5C"/>
    <w:rsid w:val="55020A87"/>
    <w:rsid w:val="550341FE"/>
    <w:rsid w:val="55042014"/>
    <w:rsid w:val="55210479"/>
    <w:rsid w:val="552A209A"/>
    <w:rsid w:val="55393BB8"/>
    <w:rsid w:val="55614C5E"/>
    <w:rsid w:val="558C2621"/>
    <w:rsid w:val="55AD3652"/>
    <w:rsid w:val="55B9606B"/>
    <w:rsid w:val="55DE0E54"/>
    <w:rsid w:val="55FF52A6"/>
    <w:rsid w:val="5633198E"/>
    <w:rsid w:val="563E5469"/>
    <w:rsid w:val="566919C6"/>
    <w:rsid w:val="566C5546"/>
    <w:rsid w:val="56745BC9"/>
    <w:rsid w:val="56CF2CF8"/>
    <w:rsid w:val="56E34EAC"/>
    <w:rsid w:val="570203D1"/>
    <w:rsid w:val="571159E3"/>
    <w:rsid w:val="571D3ABE"/>
    <w:rsid w:val="571F6B78"/>
    <w:rsid w:val="57645BA3"/>
    <w:rsid w:val="576A1B6C"/>
    <w:rsid w:val="57936854"/>
    <w:rsid w:val="579848F6"/>
    <w:rsid w:val="57A22474"/>
    <w:rsid w:val="57AF0A2B"/>
    <w:rsid w:val="57C43A36"/>
    <w:rsid w:val="57F62116"/>
    <w:rsid w:val="58101705"/>
    <w:rsid w:val="58335AD6"/>
    <w:rsid w:val="584265A5"/>
    <w:rsid w:val="58707FAE"/>
    <w:rsid w:val="58895B35"/>
    <w:rsid w:val="58C83D7C"/>
    <w:rsid w:val="58E7744A"/>
    <w:rsid w:val="5909370D"/>
    <w:rsid w:val="590D48EB"/>
    <w:rsid w:val="59495353"/>
    <w:rsid w:val="595D2922"/>
    <w:rsid w:val="59634E7E"/>
    <w:rsid w:val="597265E6"/>
    <w:rsid w:val="59A85569"/>
    <w:rsid w:val="59A90DF6"/>
    <w:rsid w:val="59B8686F"/>
    <w:rsid w:val="59B86AAB"/>
    <w:rsid w:val="59BF5B8E"/>
    <w:rsid w:val="59D027D3"/>
    <w:rsid w:val="59DE0C7A"/>
    <w:rsid w:val="59F04D56"/>
    <w:rsid w:val="5A125C89"/>
    <w:rsid w:val="5A4F7A61"/>
    <w:rsid w:val="5AA026B8"/>
    <w:rsid w:val="5AA116D7"/>
    <w:rsid w:val="5AE821DA"/>
    <w:rsid w:val="5AED557F"/>
    <w:rsid w:val="5AFD1904"/>
    <w:rsid w:val="5B2C0607"/>
    <w:rsid w:val="5B3034F1"/>
    <w:rsid w:val="5B424CC5"/>
    <w:rsid w:val="5B63362E"/>
    <w:rsid w:val="5B755268"/>
    <w:rsid w:val="5B9C2FC5"/>
    <w:rsid w:val="5BC86521"/>
    <w:rsid w:val="5C082709"/>
    <w:rsid w:val="5C14060C"/>
    <w:rsid w:val="5C2E582C"/>
    <w:rsid w:val="5C7639BC"/>
    <w:rsid w:val="5CD12F06"/>
    <w:rsid w:val="5CF7084F"/>
    <w:rsid w:val="5D147937"/>
    <w:rsid w:val="5D1634FA"/>
    <w:rsid w:val="5D614E5A"/>
    <w:rsid w:val="5D7A4EBD"/>
    <w:rsid w:val="5D7B2AFB"/>
    <w:rsid w:val="5D9D4948"/>
    <w:rsid w:val="5DA07441"/>
    <w:rsid w:val="5DCD5EDE"/>
    <w:rsid w:val="5DDD01B0"/>
    <w:rsid w:val="5DEE4FE1"/>
    <w:rsid w:val="5E040F9B"/>
    <w:rsid w:val="5E163DAD"/>
    <w:rsid w:val="5E18199F"/>
    <w:rsid w:val="5E276BBA"/>
    <w:rsid w:val="5E4A34BA"/>
    <w:rsid w:val="5E572B7B"/>
    <w:rsid w:val="5ED929BD"/>
    <w:rsid w:val="5EEF44C3"/>
    <w:rsid w:val="5EF64B87"/>
    <w:rsid w:val="5EFE24CD"/>
    <w:rsid w:val="5F1E02ED"/>
    <w:rsid w:val="5F5335CE"/>
    <w:rsid w:val="5F6123D2"/>
    <w:rsid w:val="5F7C6175"/>
    <w:rsid w:val="5F8C113D"/>
    <w:rsid w:val="5FB55859"/>
    <w:rsid w:val="5FEE6A48"/>
    <w:rsid w:val="6028198E"/>
    <w:rsid w:val="6060214E"/>
    <w:rsid w:val="6071387E"/>
    <w:rsid w:val="60932B78"/>
    <w:rsid w:val="60B1182C"/>
    <w:rsid w:val="60B54E5F"/>
    <w:rsid w:val="60D67EB5"/>
    <w:rsid w:val="60E72435"/>
    <w:rsid w:val="60F12408"/>
    <w:rsid w:val="60F915AE"/>
    <w:rsid w:val="61186844"/>
    <w:rsid w:val="61196AEE"/>
    <w:rsid w:val="612015DC"/>
    <w:rsid w:val="613D3456"/>
    <w:rsid w:val="6161246C"/>
    <w:rsid w:val="617A09D3"/>
    <w:rsid w:val="617E2BD9"/>
    <w:rsid w:val="61AB7F4F"/>
    <w:rsid w:val="61BC7327"/>
    <w:rsid w:val="61F12BA4"/>
    <w:rsid w:val="61FC795F"/>
    <w:rsid w:val="622A0453"/>
    <w:rsid w:val="62554D7B"/>
    <w:rsid w:val="62870321"/>
    <w:rsid w:val="62892F39"/>
    <w:rsid w:val="62A52639"/>
    <w:rsid w:val="62C313EC"/>
    <w:rsid w:val="62D2532D"/>
    <w:rsid w:val="62D32926"/>
    <w:rsid w:val="62EB1C80"/>
    <w:rsid w:val="6306529F"/>
    <w:rsid w:val="632B7CB6"/>
    <w:rsid w:val="632D6A8C"/>
    <w:rsid w:val="63326075"/>
    <w:rsid w:val="63577595"/>
    <w:rsid w:val="636D1281"/>
    <w:rsid w:val="63921C8F"/>
    <w:rsid w:val="63C546CA"/>
    <w:rsid w:val="63D43500"/>
    <w:rsid w:val="64463885"/>
    <w:rsid w:val="646C6942"/>
    <w:rsid w:val="648101EB"/>
    <w:rsid w:val="64C649E5"/>
    <w:rsid w:val="64C971FC"/>
    <w:rsid w:val="64D17A33"/>
    <w:rsid w:val="651F176C"/>
    <w:rsid w:val="65243799"/>
    <w:rsid w:val="653730AD"/>
    <w:rsid w:val="65473BE4"/>
    <w:rsid w:val="654823B1"/>
    <w:rsid w:val="658B7760"/>
    <w:rsid w:val="659514FA"/>
    <w:rsid w:val="65B4203E"/>
    <w:rsid w:val="65C562C1"/>
    <w:rsid w:val="65DA30E2"/>
    <w:rsid w:val="65EE7177"/>
    <w:rsid w:val="6635457B"/>
    <w:rsid w:val="663B78CC"/>
    <w:rsid w:val="66645598"/>
    <w:rsid w:val="66713242"/>
    <w:rsid w:val="66A57E71"/>
    <w:rsid w:val="66BD4460"/>
    <w:rsid w:val="66D47A94"/>
    <w:rsid w:val="66E4759D"/>
    <w:rsid w:val="674B4F4A"/>
    <w:rsid w:val="676A3DA6"/>
    <w:rsid w:val="67773A51"/>
    <w:rsid w:val="679805D8"/>
    <w:rsid w:val="67BC3FEE"/>
    <w:rsid w:val="67CA7544"/>
    <w:rsid w:val="67D477F8"/>
    <w:rsid w:val="67FF7C3A"/>
    <w:rsid w:val="6829477F"/>
    <w:rsid w:val="682F4FA9"/>
    <w:rsid w:val="68323C50"/>
    <w:rsid w:val="686332F5"/>
    <w:rsid w:val="68646588"/>
    <w:rsid w:val="688232C2"/>
    <w:rsid w:val="68843A78"/>
    <w:rsid w:val="689F0599"/>
    <w:rsid w:val="68B43376"/>
    <w:rsid w:val="68F053F6"/>
    <w:rsid w:val="68F43A1E"/>
    <w:rsid w:val="69145603"/>
    <w:rsid w:val="69423186"/>
    <w:rsid w:val="69432BE1"/>
    <w:rsid w:val="694D728A"/>
    <w:rsid w:val="6988057F"/>
    <w:rsid w:val="699906A2"/>
    <w:rsid w:val="69AC12C2"/>
    <w:rsid w:val="69C411D0"/>
    <w:rsid w:val="69C62FFA"/>
    <w:rsid w:val="69D86C6D"/>
    <w:rsid w:val="69FA48D7"/>
    <w:rsid w:val="6A0D6DC9"/>
    <w:rsid w:val="6A4A19BA"/>
    <w:rsid w:val="6A564EBF"/>
    <w:rsid w:val="6A645FFB"/>
    <w:rsid w:val="6A6A2D90"/>
    <w:rsid w:val="6A701056"/>
    <w:rsid w:val="6A7A24EF"/>
    <w:rsid w:val="6A7E361E"/>
    <w:rsid w:val="6A9A2282"/>
    <w:rsid w:val="6ABB292C"/>
    <w:rsid w:val="6AC46CE5"/>
    <w:rsid w:val="6ACD0D45"/>
    <w:rsid w:val="6AFE0C80"/>
    <w:rsid w:val="6B2A0779"/>
    <w:rsid w:val="6B2B1D80"/>
    <w:rsid w:val="6B3D3548"/>
    <w:rsid w:val="6B664EB6"/>
    <w:rsid w:val="6BA87D31"/>
    <w:rsid w:val="6BB72998"/>
    <w:rsid w:val="6BBC73BD"/>
    <w:rsid w:val="6BC066B1"/>
    <w:rsid w:val="6C0B1660"/>
    <w:rsid w:val="6C533915"/>
    <w:rsid w:val="6C7F31BE"/>
    <w:rsid w:val="6CD91C0E"/>
    <w:rsid w:val="6CE01353"/>
    <w:rsid w:val="6CEA7AAC"/>
    <w:rsid w:val="6CF35CFC"/>
    <w:rsid w:val="6CFA25E1"/>
    <w:rsid w:val="6D3F29A1"/>
    <w:rsid w:val="6D651DF3"/>
    <w:rsid w:val="6D9E263C"/>
    <w:rsid w:val="6DD658EE"/>
    <w:rsid w:val="6DDD6E36"/>
    <w:rsid w:val="6DEC1C21"/>
    <w:rsid w:val="6E152319"/>
    <w:rsid w:val="6E3B0BAF"/>
    <w:rsid w:val="6E3E0629"/>
    <w:rsid w:val="6E501AEB"/>
    <w:rsid w:val="6E7C11B5"/>
    <w:rsid w:val="6E7F556F"/>
    <w:rsid w:val="6E997C25"/>
    <w:rsid w:val="6E9F07E1"/>
    <w:rsid w:val="6EA14A30"/>
    <w:rsid w:val="6EB6105A"/>
    <w:rsid w:val="6EC629FF"/>
    <w:rsid w:val="6EC7282F"/>
    <w:rsid w:val="6F1C104C"/>
    <w:rsid w:val="6F26499B"/>
    <w:rsid w:val="6F2F3282"/>
    <w:rsid w:val="6F587A8E"/>
    <w:rsid w:val="6F5A7044"/>
    <w:rsid w:val="6F5D5506"/>
    <w:rsid w:val="6F600C59"/>
    <w:rsid w:val="6F7E2770"/>
    <w:rsid w:val="6F8776A7"/>
    <w:rsid w:val="6F957D21"/>
    <w:rsid w:val="6FA57C2A"/>
    <w:rsid w:val="6FD175F7"/>
    <w:rsid w:val="6FD95378"/>
    <w:rsid w:val="703C1CAA"/>
    <w:rsid w:val="703E1108"/>
    <w:rsid w:val="704B7EBD"/>
    <w:rsid w:val="70561048"/>
    <w:rsid w:val="707F7FC1"/>
    <w:rsid w:val="70830694"/>
    <w:rsid w:val="7092075C"/>
    <w:rsid w:val="70AF49AD"/>
    <w:rsid w:val="70E234A9"/>
    <w:rsid w:val="712D7A96"/>
    <w:rsid w:val="71334F8E"/>
    <w:rsid w:val="713C2BF3"/>
    <w:rsid w:val="715517E0"/>
    <w:rsid w:val="71682CDB"/>
    <w:rsid w:val="717C301D"/>
    <w:rsid w:val="71AC3CA8"/>
    <w:rsid w:val="71E67530"/>
    <w:rsid w:val="71F552A8"/>
    <w:rsid w:val="71FD3369"/>
    <w:rsid w:val="7208350E"/>
    <w:rsid w:val="72264502"/>
    <w:rsid w:val="723358B2"/>
    <w:rsid w:val="72363B93"/>
    <w:rsid w:val="72366F69"/>
    <w:rsid w:val="72546CCC"/>
    <w:rsid w:val="72571A57"/>
    <w:rsid w:val="72981E43"/>
    <w:rsid w:val="72AD5CE4"/>
    <w:rsid w:val="72BB344D"/>
    <w:rsid w:val="72BD396A"/>
    <w:rsid w:val="72EA334F"/>
    <w:rsid w:val="730B241D"/>
    <w:rsid w:val="734C24BD"/>
    <w:rsid w:val="7357002D"/>
    <w:rsid w:val="73576104"/>
    <w:rsid w:val="73815738"/>
    <w:rsid w:val="739F3A97"/>
    <w:rsid w:val="73AF1694"/>
    <w:rsid w:val="73B673EF"/>
    <w:rsid w:val="73F02366"/>
    <w:rsid w:val="742254DD"/>
    <w:rsid w:val="7437180D"/>
    <w:rsid w:val="74391D4B"/>
    <w:rsid w:val="74483CFE"/>
    <w:rsid w:val="744B0DA7"/>
    <w:rsid w:val="744D3074"/>
    <w:rsid w:val="74624CC6"/>
    <w:rsid w:val="746A5AD3"/>
    <w:rsid w:val="74723306"/>
    <w:rsid w:val="747A2CC8"/>
    <w:rsid w:val="747F3641"/>
    <w:rsid w:val="74B579B7"/>
    <w:rsid w:val="74BB7061"/>
    <w:rsid w:val="74CE3EB2"/>
    <w:rsid w:val="74E82D21"/>
    <w:rsid w:val="750E03C1"/>
    <w:rsid w:val="751C6251"/>
    <w:rsid w:val="751E470B"/>
    <w:rsid w:val="753D7B6A"/>
    <w:rsid w:val="754026A2"/>
    <w:rsid w:val="75670772"/>
    <w:rsid w:val="757C44C8"/>
    <w:rsid w:val="759A09C5"/>
    <w:rsid w:val="75A6427E"/>
    <w:rsid w:val="75B243A7"/>
    <w:rsid w:val="75DE6DB1"/>
    <w:rsid w:val="75E572CF"/>
    <w:rsid w:val="75FB07A2"/>
    <w:rsid w:val="761375E4"/>
    <w:rsid w:val="76217478"/>
    <w:rsid w:val="763C572C"/>
    <w:rsid w:val="7666354F"/>
    <w:rsid w:val="766B6ECD"/>
    <w:rsid w:val="76855EB9"/>
    <w:rsid w:val="7692691E"/>
    <w:rsid w:val="76996365"/>
    <w:rsid w:val="769A10D0"/>
    <w:rsid w:val="76C2349E"/>
    <w:rsid w:val="76CB35EC"/>
    <w:rsid w:val="76D054CE"/>
    <w:rsid w:val="77040C67"/>
    <w:rsid w:val="773B587C"/>
    <w:rsid w:val="774271F2"/>
    <w:rsid w:val="77453760"/>
    <w:rsid w:val="77653D55"/>
    <w:rsid w:val="776A7D9F"/>
    <w:rsid w:val="77734AD9"/>
    <w:rsid w:val="77767106"/>
    <w:rsid w:val="77AB2363"/>
    <w:rsid w:val="77F3466D"/>
    <w:rsid w:val="780127F5"/>
    <w:rsid w:val="7822274B"/>
    <w:rsid w:val="7840608D"/>
    <w:rsid w:val="78494C44"/>
    <w:rsid w:val="78594455"/>
    <w:rsid w:val="78786AB3"/>
    <w:rsid w:val="78B065B0"/>
    <w:rsid w:val="78C33E4A"/>
    <w:rsid w:val="7901119D"/>
    <w:rsid w:val="790D3EA5"/>
    <w:rsid w:val="791B2495"/>
    <w:rsid w:val="791D2A50"/>
    <w:rsid w:val="79366F18"/>
    <w:rsid w:val="79432736"/>
    <w:rsid w:val="79660E81"/>
    <w:rsid w:val="797940FE"/>
    <w:rsid w:val="79AA4A14"/>
    <w:rsid w:val="79B63FC9"/>
    <w:rsid w:val="79DE02DD"/>
    <w:rsid w:val="79E07E40"/>
    <w:rsid w:val="79EB5D1B"/>
    <w:rsid w:val="79FC6182"/>
    <w:rsid w:val="7A0A6F4F"/>
    <w:rsid w:val="7A456F6D"/>
    <w:rsid w:val="7A5F16CA"/>
    <w:rsid w:val="7A710D8E"/>
    <w:rsid w:val="7AB1300F"/>
    <w:rsid w:val="7AB64E52"/>
    <w:rsid w:val="7ADA0EA4"/>
    <w:rsid w:val="7AE75FBC"/>
    <w:rsid w:val="7AFC56DC"/>
    <w:rsid w:val="7B0D3216"/>
    <w:rsid w:val="7B345398"/>
    <w:rsid w:val="7B355131"/>
    <w:rsid w:val="7B590C27"/>
    <w:rsid w:val="7B6C5EAB"/>
    <w:rsid w:val="7B7814A8"/>
    <w:rsid w:val="7B861DF2"/>
    <w:rsid w:val="7BA33013"/>
    <w:rsid w:val="7BF702E8"/>
    <w:rsid w:val="7BFA0FA5"/>
    <w:rsid w:val="7BFE2BF5"/>
    <w:rsid w:val="7C162A9E"/>
    <w:rsid w:val="7C177BEA"/>
    <w:rsid w:val="7C206AB7"/>
    <w:rsid w:val="7C8646F6"/>
    <w:rsid w:val="7C9B46D0"/>
    <w:rsid w:val="7CA95B93"/>
    <w:rsid w:val="7CBC0850"/>
    <w:rsid w:val="7CD3681B"/>
    <w:rsid w:val="7CF20DD2"/>
    <w:rsid w:val="7CFF7134"/>
    <w:rsid w:val="7D8603E2"/>
    <w:rsid w:val="7D9C553A"/>
    <w:rsid w:val="7DD0508B"/>
    <w:rsid w:val="7DE4119D"/>
    <w:rsid w:val="7DEE5B58"/>
    <w:rsid w:val="7E0B1390"/>
    <w:rsid w:val="7E2B13AE"/>
    <w:rsid w:val="7ED03245"/>
    <w:rsid w:val="7ED25E9B"/>
    <w:rsid w:val="7ED37D6E"/>
    <w:rsid w:val="7F7D2EBD"/>
    <w:rsid w:val="7F8846F0"/>
    <w:rsid w:val="7FAD2052"/>
    <w:rsid w:val="7FEA3B6F"/>
    <w:rsid w:val="BAFFAB79"/>
    <w:rsid w:val="DBEED555"/>
  </w:rsids>
  <m:mathPr>
    <m:lMargin m:val="0"/>
    <m:rMargin m:val="0"/>
    <m:wrapIndent m:val="1440"/>
    <m:brkBin m:val="before"/>
    <m:brkBinSub m:val="--"/>
    <m:defJc m:val="centerGroup"/>
    <m:intLim m:val="subSup"/>
    <m:naryLim m:val="undOvr"/>
    <m:smallFrac m:val="0"/>
    <m:dispDef/>
  </m:mathPr>
  <w:themeFontLang w:val="zh-CN" w:eastAsia="zh-CN" w:bidi="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nhideWhenUsed="0" w:uiPriority="1" w:semiHidden="0" w:name="heading 4"/>
    <w:lsdException w:qFormat="1" w:unhideWhenUsed="0" w:uiPriority="1"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suppressAutoHyphens/>
      <w:bidi w:val="0"/>
      <w:spacing w:before="0" w:after="0"/>
      <w:jc w:val="left"/>
    </w:pPr>
    <w:rPr>
      <w:rFonts w:ascii="Arial Unicode MS" w:hAnsi="Arial Unicode MS" w:eastAsia="Arial Unicode MS" w:cs="Arial Unicode MS"/>
      <w:color w:val="auto"/>
      <w:kern w:val="0"/>
      <w:sz w:val="22"/>
      <w:szCs w:val="22"/>
      <w:lang w:val="zh-CN" w:eastAsia="zh-CN" w:bidi="zh-CN"/>
    </w:rPr>
  </w:style>
  <w:style w:type="paragraph" w:styleId="2">
    <w:name w:val="heading 1"/>
    <w:basedOn w:val="1"/>
    <w:next w:val="1"/>
    <w:qFormat/>
    <w:uiPriority w:val="1"/>
    <w:pPr>
      <w:ind w:left="-40" w:firstLine="0"/>
      <w:outlineLvl w:val="0"/>
    </w:pPr>
    <w:rPr>
      <w:sz w:val="52"/>
      <w:szCs w:val="52"/>
    </w:rPr>
  </w:style>
  <w:style w:type="paragraph" w:styleId="3">
    <w:name w:val="heading 2"/>
    <w:basedOn w:val="1"/>
    <w:next w:val="1"/>
    <w:qFormat/>
    <w:uiPriority w:val="1"/>
    <w:pPr>
      <w:ind w:right="18" w:firstLine="0"/>
      <w:jc w:val="center"/>
      <w:outlineLvl w:val="1"/>
    </w:pPr>
    <w:rPr>
      <w:sz w:val="44"/>
      <w:szCs w:val="44"/>
    </w:rPr>
  </w:style>
  <w:style w:type="paragraph" w:styleId="4">
    <w:name w:val="heading 3"/>
    <w:basedOn w:val="1"/>
    <w:next w:val="1"/>
    <w:qFormat/>
    <w:uiPriority w:val="1"/>
    <w:pPr>
      <w:ind w:left="1" w:firstLine="0"/>
      <w:jc w:val="center"/>
      <w:outlineLvl w:val="2"/>
    </w:pPr>
    <w:rPr>
      <w:sz w:val="40"/>
      <w:szCs w:val="40"/>
    </w:rPr>
  </w:style>
  <w:style w:type="paragraph" w:styleId="5">
    <w:name w:val="heading 4"/>
    <w:basedOn w:val="1"/>
    <w:next w:val="1"/>
    <w:qFormat/>
    <w:uiPriority w:val="1"/>
    <w:pPr>
      <w:jc w:val="center"/>
      <w:outlineLvl w:val="3"/>
    </w:pPr>
    <w:rPr>
      <w:sz w:val="36"/>
      <w:szCs w:val="36"/>
    </w:rPr>
  </w:style>
  <w:style w:type="paragraph" w:styleId="6">
    <w:name w:val="heading 5"/>
    <w:basedOn w:val="1"/>
    <w:next w:val="1"/>
    <w:qFormat/>
    <w:uiPriority w:val="1"/>
    <w:pPr>
      <w:ind w:left="112" w:firstLine="0"/>
      <w:outlineLvl w:val="4"/>
    </w:pPr>
    <w:rPr>
      <w:sz w:val="33"/>
      <w:szCs w:val="33"/>
    </w:rPr>
  </w:style>
  <w:style w:type="character" w:default="1" w:styleId="12">
    <w:name w:val="Default Paragraph Font"/>
    <w:unhideWhenUsed/>
    <w:qFormat/>
    <w:uiPriority w:val="1"/>
  </w:style>
  <w:style w:type="table" w:default="1" w:styleId="13">
    <w:name w:val="Normal Table"/>
    <w:unhideWhenUsed/>
    <w:qFormat/>
    <w:uiPriority w:val="99"/>
    <w:tblPr>
      <w:tblLayout w:type="fixed"/>
      <w:tblCellMar>
        <w:top w:w="0" w:type="dxa"/>
        <w:left w:w="108" w:type="dxa"/>
        <w:bottom w:w="0" w:type="dxa"/>
        <w:right w:w="108" w:type="dxa"/>
      </w:tblCellMar>
    </w:tblPr>
  </w:style>
  <w:style w:type="paragraph" w:styleId="7">
    <w:name w:val="caption"/>
    <w:basedOn w:val="1"/>
    <w:next w:val="1"/>
    <w:qFormat/>
    <w:uiPriority w:val="0"/>
    <w:pPr>
      <w:suppressLineNumbers/>
      <w:spacing w:before="120" w:after="120"/>
    </w:pPr>
    <w:rPr>
      <w:i/>
      <w:iCs/>
      <w:sz w:val="24"/>
      <w:szCs w:val="24"/>
    </w:rPr>
  </w:style>
  <w:style w:type="paragraph" w:styleId="8">
    <w:name w:val="Body Text"/>
    <w:basedOn w:val="1"/>
    <w:qFormat/>
    <w:uiPriority w:val="1"/>
    <w:rPr>
      <w:sz w:val="32"/>
      <w:szCs w:val="32"/>
    </w:rPr>
  </w:style>
  <w:style w:type="paragraph" w:styleId="9">
    <w:name w:val="footer"/>
    <w:basedOn w:val="1"/>
    <w:qFormat/>
    <w:uiPriority w:val="0"/>
    <w:pPr>
      <w:tabs>
        <w:tab w:val="center" w:pos="4153"/>
        <w:tab w:val="right" w:pos="8306"/>
      </w:tabs>
      <w:snapToGrid w:val="0"/>
    </w:pPr>
    <w:rPr>
      <w:sz w:val="18"/>
      <w:szCs w:val="18"/>
    </w:rPr>
  </w:style>
  <w:style w:type="paragraph" w:styleId="10">
    <w:name w:val="header"/>
    <w:basedOn w:val="1"/>
    <w:qFormat/>
    <w:uiPriority w:val="0"/>
    <w:pPr>
      <w:pBdr>
        <w:bottom w:val="single" w:color="000000" w:sz="6" w:space="1"/>
      </w:pBdr>
      <w:tabs>
        <w:tab w:val="center" w:pos="4153"/>
        <w:tab w:val="right" w:pos="8306"/>
      </w:tabs>
      <w:snapToGrid w:val="0"/>
      <w:jc w:val="center"/>
    </w:pPr>
    <w:rPr>
      <w:sz w:val="18"/>
      <w:szCs w:val="18"/>
    </w:rPr>
  </w:style>
  <w:style w:type="paragraph" w:styleId="11">
    <w:name w:val="List"/>
    <w:basedOn w:val="8"/>
    <w:qFormat/>
    <w:uiPriority w:val="0"/>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15">
    <w:name w:val="编号符号"/>
    <w:qFormat/>
    <w:uiPriority w:val="0"/>
  </w:style>
  <w:style w:type="character" w:customStyle="1" w:styleId="16">
    <w:name w:val="页眉 字符"/>
    <w:basedOn w:val="12"/>
    <w:qFormat/>
    <w:uiPriority w:val="0"/>
    <w:rPr>
      <w:rFonts w:ascii="Arial Unicode MS" w:hAnsi="Arial Unicode MS" w:eastAsia="Arial Unicode MS" w:cs="Arial Unicode MS"/>
      <w:sz w:val="18"/>
      <w:szCs w:val="18"/>
      <w:lang w:val="zh-CN" w:bidi="zh-CN"/>
    </w:rPr>
  </w:style>
  <w:style w:type="character" w:customStyle="1" w:styleId="17">
    <w:name w:val="页脚 字符"/>
    <w:basedOn w:val="12"/>
    <w:qFormat/>
    <w:uiPriority w:val="0"/>
    <w:rPr>
      <w:rFonts w:ascii="Arial Unicode MS" w:hAnsi="Arial Unicode MS" w:eastAsia="Arial Unicode MS" w:cs="Arial Unicode MS"/>
      <w:sz w:val="18"/>
      <w:szCs w:val="18"/>
      <w:lang w:val="zh-CN" w:bidi="zh-CN"/>
    </w:rPr>
  </w:style>
  <w:style w:type="paragraph" w:customStyle="1" w:styleId="18">
    <w:name w:val="标题样式"/>
    <w:basedOn w:val="1"/>
    <w:next w:val="8"/>
    <w:qFormat/>
    <w:uiPriority w:val="0"/>
    <w:pPr>
      <w:keepNext/>
      <w:spacing w:before="240" w:after="120"/>
    </w:pPr>
    <w:rPr>
      <w:rFonts w:ascii="Liberation Sans" w:hAnsi="Liberation Sans"/>
      <w:sz w:val="28"/>
      <w:szCs w:val="28"/>
    </w:rPr>
  </w:style>
  <w:style w:type="paragraph" w:customStyle="1" w:styleId="19">
    <w:name w:val="索引"/>
    <w:basedOn w:val="1"/>
    <w:qFormat/>
    <w:uiPriority w:val="0"/>
    <w:pPr>
      <w:suppressLineNumbers/>
    </w:pPr>
  </w:style>
  <w:style w:type="paragraph" w:customStyle="1" w:styleId="20">
    <w:name w:val="页眉与页脚"/>
    <w:basedOn w:val="1"/>
    <w:qFormat/>
    <w:uiPriority w:val="0"/>
  </w:style>
  <w:style w:type="paragraph" w:customStyle="1" w:styleId="21">
    <w:name w:val="List Paragraph"/>
    <w:basedOn w:val="1"/>
    <w:qFormat/>
    <w:uiPriority w:val="1"/>
    <w:pPr>
      <w:ind w:left="2039" w:hanging="782"/>
    </w:pPr>
  </w:style>
  <w:style w:type="paragraph" w:customStyle="1" w:styleId="22">
    <w:name w:val="Table Paragraph"/>
    <w:basedOn w:val="1"/>
    <w:qFormat/>
    <w:uiPriority w:val="1"/>
    <w:rPr>
      <w:rFonts w:ascii="宋体" w:hAnsi="宋体" w:eastAsia="宋体" w:cs="宋体"/>
    </w:rPr>
  </w:style>
  <w:style w:type="paragraph" w:customStyle="1" w:styleId="23">
    <w:name w:val="表格内容"/>
    <w:basedOn w:val="1"/>
    <w:qFormat/>
    <w:uiPriority w:val="0"/>
    <w:pPr>
      <w:suppressLineNumbers/>
    </w:pPr>
  </w:style>
  <w:style w:type="paragraph" w:customStyle="1" w:styleId="24">
    <w:name w:val="表格标题"/>
    <w:basedOn w:val="23"/>
    <w:qFormat/>
    <w:uiPriority w:val="0"/>
    <w:pPr>
      <w:jc w:val="center"/>
    </w:pPr>
    <w:rPr>
      <w:b/>
      <w:bCs/>
    </w:rPr>
  </w:style>
  <w:style w:type="paragraph" w:customStyle="1" w:styleId="25">
    <w:name w:val="预格式化的文本"/>
    <w:basedOn w:val="1"/>
    <w:qFormat/>
    <w:uiPriority w:val="0"/>
    <w:rPr>
      <w:rFonts w:ascii="Liberation Mono" w:hAnsi="Liberation Mono" w:eastAsia="新宋体" w:cs="Liberation Mono"/>
      <w:sz w:val="20"/>
      <w:szCs w:val="20"/>
    </w:rPr>
  </w:style>
  <w:style w:type="table" w:customStyle="1" w:styleId="26">
    <w:name w:val="Table Normal"/>
    <w:unhideWhenUsed/>
    <w:qFormat/>
    <w:uiPriority w:val="2"/>
    <w:tblPr>
      <w:tblLayout w:type="fixed"/>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6" Type="http://schemas.openxmlformats.org/officeDocument/2006/relationships/fontTable" Target="fontTable.xml"/><Relationship Id="rId25" Type="http://schemas.openxmlformats.org/officeDocument/2006/relationships/numbering" Target="numbering.xml"/><Relationship Id="rId24" Type="http://schemas.openxmlformats.org/officeDocument/2006/relationships/customXml" Target="../customXml/item1.xml"/><Relationship Id="rId23" Type="http://schemas.openxmlformats.org/officeDocument/2006/relationships/image" Target="media/image2.png"/><Relationship Id="rId22" Type="http://schemas.openxmlformats.org/officeDocument/2006/relationships/image" Target="media/image1.png"/><Relationship Id="rId21" Type="http://schemas.openxmlformats.org/officeDocument/2006/relationships/theme" Target="theme/theme1.xml"/><Relationship Id="rId20" Type="http://schemas.openxmlformats.org/officeDocument/2006/relationships/footer" Target="footer16.xml"/><Relationship Id="rId2" Type="http://schemas.openxmlformats.org/officeDocument/2006/relationships/settings" Target="settings.xml"/><Relationship Id="rId19" Type="http://schemas.openxmlformats.org/officeDocument/2006/relationships/footer" Target="footer15.xml"/><Relationship Id="rId18" Type="http://schemas.openxmlformats.org/officeDocument/2006/relationships/footer" Target="footer14.xml"/><Relationship Id="rId17" Type="http://schemas.openxmlformats.org/officeDocument/2006/relationships/footer" Target="footer13.xml"/><Relationship Id="rId16" Type="http://schemas.openxmlformats.org/officeDocument/2006/relationships/footer" Target="footer12.xml"/><Relationship Id="rId15" Type="http://schemas.openxmlformats.org/officeDocument/2006/relationships/footer" Target="footer11.xml"/><Relationship Id="rId14" Type="http://schemas.openxmlformats.org/officeDocument/2006/relationships/footer" Target="footer10.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23</Pages>
  <Words>3386</Words>
  <Characters>7333</Characters>
  <Lines>0</Lines>
  <Paragraphs>501</Paragraphs>
  <ScaleCrop>false</ScaleCrop>
  <LinksUpToDate>false</LinksUpToDate>
  <CharactersWithSpaces>7399</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2021-04-16T03:22:00Z</dcterms:created>
  <dc:creator>陈长军(本处室套红)</dc:creator>
  <cp:lastModifiedBy>admin</cp:lastModifiedBy>
  <dcterms:modified xsi:type="dcterms:W3CDTF">2023-03-21T10:00:51Z</dcterms:modified>
  <dc:title>部门决算公开</dc:title>
  <cp:revision>175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2021-02-03T00:00:00Z</vt:filetime>
  </property>
  <property fmtid="{D5CDD505-2E9C-101B-9397-08002B2CF9AE}" pid="3" name="Creator">
    <vt:lpwstr>ÿþ¹eckýVEŒ⁄ech Y thV </vt:lpwstr>
  </property>
  <property fmtid="{D5CDD505-2E9C-101B-9397-08002B2CF9AE}" pid="4" name="ICV">
    <vt:lpwstr>C823B2FE72FE4DF285E985223D1A425B</vt:lpwstr>
  </property>
  <property fmtid="{D5CDD505-2E9C-101B-9397-08002B2CF9AE}" pid="5" name="KSOProductBuildVer">
    <vt:lpwstr>2052-10.8.0.5715</vt:lpwstr>
  </property>
  <property fmtid="{D5CDD505-2E9C-101B-9397-08002B2CF9AE}" pid="6" name="LastSaved">
    <vt:filetime>2021-04-15T00:00:00Z</vt:filetime>
  </property>
</Properties>
</file>