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EF56DD">
      <w:pPr>
        <w:spacing w:after="156" w:afterLines="50" w:line="550" w:lineRule="exact"/>
        <w:jc w:val="left"/>
        <w:rPr>
          <w:rFonts w:ascii="方正黑体_GBK" w:hAnsi="等线" w:eastAsia="方正黑体_GBK"/>
          <w:sz w:val="32"/>
          <w:szCs w:val="32"/>
        </w:rPr>
      </w:pPr>
      <w:r>
        <w:rPr>
          <w:rFonts w:hint="eastAsia" w:ascii="方正黑体_GBK" w:hAnsi="等线" w:eastAsia="方正黑体_GBK"/>
          <w:sz w:val="32"/>
          <w:szCs w:val="32"/>
        </w:rPr>
        <w:t>附件</w:t>
      </w:r>
      <w:r>
        <w:rPr>
          <w:rFonts w:ascii="Times New Roman" w:hAnsi="Times New Roman" w:eastAsia="方正黑体_GBK"/>
          <w:sz w:val="32"/>
          <w:szCs w:val="32"/>
        </w:rPr>
        <w:t>1</w:t>
      </w:r>
    </w:p>
    <w:p w14:paraId="1EF32C0F">
      <w:pPr>
        <w:spacing w:after="156" w:afterLines="50" w:line="550" w:lineRule="exact"/>
        <w:jc w:val="center"/>
        <w:rPr>
          <w:rFonts w:hint="eastAsia" w:ascii="方正小标宋_GBK" w:hAnsi="等线" w:eastAsia="方正小标宋_GBK"/>
          <w:sz w:val="44"/>
          <w:szCs w:val="44"/>
        </w:rPr>
      </w:pPr>
      <w:r>
        <w:rPr>
          <w:rFonts w:hint="eastAsia" w:ascii="方正小标宋_GBK" w:hAnsi="Times New Roman" w:eastAsia="方正小标宋_GBK"/>
          <w:sz w:val="44"/>
          <w:szCs w:val="44"/>
        </w:rPr>
        <w:t>2025年社会组织参与乡村振兴重点</w:t>
      </w:r>
      <w:r>
        <w:rPr>
          <w:rFonts w:ascii="方正小标宋_GBK" w:hAnsi="Times New Roman" w:eastAsia="方正小标宋_GBK"/>
          <w:sz w:val="44"/>
          <w:szCs w:val="44"/>
        </w:rPr>
        <w:t>帮扶</w:t>
      </w:r>
      <w:r>
        <w:rPr>
          <w:rFonts w:hint="eastAsia" w:ascii="方正小标宋_GBK" w:hAnsi="Times New Roman" w:eastAsia="方正小标宋_GBK"/>
          <w:sz w:val="44"/>
          <w:szCs w:val="44"/>
        </w:rPr>
        <w:t>项目需求统计表</w:t>
      </w:r>
    </w:p>
    <w:tbl>
      <w:tblPr>
        <w:tblStyle w:val="3"/>
        <w:tblW w:w="126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65"/>
        <w:gridCol w:w="658"/>
        <w:gridCol w:w="1388"/>
        <w:gridCol w:w="6520"/>
        <w:gridCol w:w="567"/>
        <w:gridCol w:w="709"/>
        <w:gridCol w:w="1134"/>
        <w:gridCol w:w="1231"/>
      </w:tblGrid>
      <w:tr w14:paraId="657C4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1" w:hRule="atLeast"/>
          <w:tblHeader/>
          <w:jc w:val="center"/>
        </w:trPr>
        <w:tc>
          <w:tcPr>
            <w:tcW w:w="465" w:type="dxa"/>
            <w:noWrap w:val="0"/>
            <w:vAlign w:val="center"/>
          </w:tcPr>
          <w:p w14:paraId="5CBD0F24">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序号</w:t>
            </w:r>
          </w:p>
        </w:tc>
        <w:tc>
          <w:tcPr>
            <w:tcW w:w="658" w:type="dxa"/>
            <w:noWrap w:val="0"/>
            <w:vAlign w:val="center"/>
          </w:tcPr>
          <w:p w14:paraId="674E1105">
            <w:pPr>
              <w:autoSpaceDE w:val="0"/>
              <w:autoSpaceDN w:val="0"/>
              <w:snapToGrid w:val="0"/>
              <w:spacing w:line="240" w:lineRule="exact"/>
              <w:jc w:val="center"/>
              <w:rPr>
                <w:rFonts w:ascii="方正黑体_GBK" w:hAnsi="Times New Roman" w:eastAsia="方正黑体_GBK"/>
                <w:sz w:val="18"/>
                <w:szCs w:val="18"/>
              </w:rPr>
            </w:pPr>
            <w:r>
              <w:rPr>
                <w:rFonts w:hint="eastAsia" w:ascii="方正黑体_GBK" w:hAnsi="Times New Roman" w:eastAsia="方正黑体_GBK"/>
                <w:sz w:val="18"/>
                <w:szCs w:val="18"/>
              </w:rPr>
              <w:t>实施</w:t>
            </w:r>
          </w:p>
          <w:p w14:paraId="7B284D6A">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地区</w:t>
            </w:r>
          </w:p>
        </w:tc>
        <w:tc>
          <w:tcPr>
            <w:tcW w:w="1388" w:type="dxa"/>
            <w:noWrap w:val="0"/>
            <w:vAlign w:val="center"/>
          </w:tcPr>
          <w:p w14:paraId="45EBD90E">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项目名称</w:t>
            </w:r>
          </w:p>
        </w:tc>
        <w:tc>
          <w:tcPr>
            <w:tcW w:w="6520" w:type="dxa"/>
            <w:noWrap w:val="0"/>
            <w:vAlign w:val="center"/>
          </w:tcPr>
          <w:p w14:paraId="732C796E">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项目内容</w:t>
            </w:r>
          </w:p>
        </w:tc>
        <w:tc>
          <w:tcPr>
            <w:tcW w:w="567" w:type="dxa"/>
            <w:noWrap w:val="0"/>
            <w:vAlign w:val="center"/>
          </w:tcPr>
          <w:p w14:paraId="2ADE2737">
            <w:pPr>
              <w:widowControl/>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项目</w:t>
            </w:r>
          </w:p>
          <w:p w14:paraId="1C371085">
            <w:pPr>
              <w:widowControl/>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周期</w:t>
            </w:r>
          </w:p>
          <w:p w14:paraId="71200078">
            <w:pPr>
              <w:widowControl/>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（月）</w:t>
            </w:r>
          </w:p>
        </w:tc>
        <w:tc>
          <w:tcPr>
            <w:tcW w:w="709" w:type="dxa"/>
            <w:noWrap w:val="0"/>
            <w:vAlign w:val="center"/>
          </w:tcPr>
          <w:p w14:paraId="7E876A5C">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需求</w:t>
            </w:r>
          </w:p>
          <w:p w14:paraId="58F8EB88">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资金</w:t>
            </w:r>
          </w:p>
          <w:p w14:paraId="0F6C5FAE">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（万元）</w:t>
            </w:r>
          </w:p>
        </w:tc>
        <w:tc>
          <w:tcPr>
            <w:tcW w:w="1134" w:type="dxa"/>
            <w:noWrap w:val="0"/>
            <w:vAlign w:val="center"/>
          </w:tcPr>
          <w:p w14:paraId="47E148E5">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受赠方</w:t>
            </w:r>
          </w:p>
          <w:p w14:paraId="42B18A3F">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（收款单位）</w:t>
            </w:r>
          </w:p>
        </w:tc>
        <w:tc>
          <w:tcPr>
            <w:tcW w:w="1231" w:type="dxa"/>
            <w:noWrap w:val="0"/>
            <w:vAlign w:val="center"/>
          </w:tcPr>
          <w:p w14:paraId="732298C9">
            <w:pPr>
              <w:autoSpaceDE w:val="0"/>
              <w:autoSpaceDN w:val="0"/>
              <w:snapToGrid w:val="0"/>
              <w:spacing w:line="200" w:lineRule="exact"/>
              <w:jc w:val="center"/>
              <w:rPr>
                <w:rFonts w:ascii="方正黑体_GBK" w:hAnsi="Times New Roman" w:eastAsia="方正黑体_GBK"/>
                <w:sz w:val="18"/>
                <w:szCs w:val="18"/>
              </w:rPr>
            </w:pPr>
            <w:r>
              <w:rPr>
                <w:rFonts w:hint="eastAsia" w:ascii="方正黑体_GBK" w:hAnsi="Times New Roman" w:eastAsia="方正黑体_GBK"/>
                <w:sz w:val="18"/>
                <w:szCs w:val="18"/>
              </w:rPr>
              <w:t>出具票据</w:t>
            </w:r>
          </w:p>
          <w:p w14:paraId="57E0AB64">
            <w:pPr>
              <w:autoSpaceDE w:val="0"/>
              <w:autoSpaceDN w:val="0"/>
              <w:snapToGrid w:val="0"/>
              <w:spacing w:line="20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类型</w:t>
            </w:r>
          </w:p>
        </w:tc>
      </w:tr>
      <w:tr w14:paraId="01E99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2" w:hRule="exact"/>
          <w:jc w:val="center"/>
        </w:trPr>
        <w:tc>
          <w:tcPr>
            <w:tcW w:w="465" w:type="dxa"/>
            <w:noWrap w:val="0"/>
            <w:vAlign w:val="center"/>
          </w:tcPr>
          <w:p w14:paraId="6A7CF56A">
            <w:pPr>
              <w:widowControl/>
              <w:jc w:val="center"/>
              <w:rPr>
                <w:rFonts w:ascii="Times New Roman" w:hAnsi="Times New Roman"/>
                <w:kern w:val="0"/>
                <w:sz w:val="18"/>
                <w:szCs w:val="18"/>
              </w:rPr>
            </w:pPr>
            <w:r>
              <w:rPr>
                <w:rFonts w:ascii="Times New Roman" w:hAnsi="Times New Roman"/>
                <w:sz w:val="18"/>
                <w:szCs w:val="18"/>
              </w:rPr>
              <w:t>1</w:t>
            </w:r>
          </w:p>
        </w:tc>
        <w:tc>
          <w:tcPr>
            <w:tcW w:w="658" w:type="dxa"/>
            <w:vMerge w:val="restart"/>
            <w:noWrap w:val="0"/>
            <w:vAlign w:val="center"/>
          </w:tcPr>
          <w:p w14:paraId="0C8FB6EF">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新疆伊犁州</w:t>
            </w:r>
          </w:p>
        </w:tc>
        <w:tc>
          <w:tcPr>
            <w:tcW w:w="1388" w:type="dxa"/>
            <w:noWrap w:val="0"/>
            <w:vAlign w:val="center"/>
          </w:tcPr>
          <w:p w14:paraId="15907163">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“苏伊携手 温暖过冬”温暖冬衣项目</w:t>
            </w:r>
          </w:p>
        </w:tc>
        <w:tc>
          <w:tcPr>
            <w:tcW w:w="6520" w:type="dxa"/>
            <w:noWrap w:val="0"/>
            <w:vAlign w:val="center"/>
          </w:tcPr>
          <w:p w14:paraId="40FE896C">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伊犁哈萨克自治州位于祖国的西北边陲，经济欠发达，困难群众数量众多。全州共有近13万常规救助对象，其中特困人员1841人，孤儿1674人。</w:t>
            </w:r>
          </w:p>
          <w:p w14:paraId="3D7264FD">
            <w:pPr>
              <w:autoSpaceDE w:val="0"/>
              <w:autoSpaceDN w:val="0"/>
              <w:snapToGrid w:val="0"/>
              <w:spacing w:line="240" w:lineRule="exact"/>
              <w:ind w:firstLine="360" w:firstLineChars="200"/>
              <w:rPr>
                <w:rFonts w:ascii="Times New Roman" w:hAnsi="Times New Roman" w:eastAsia="方正仿宋_GBK"/>
                <w:sz w:val="18"/>
                <w:szCs w:val="18"/>
              </w:rPr>
            </w:pPr>
            <w:r>
              <w:rPr>
                <w:rFonts w:hint="eastAsia" w:ascii="Times New Roman" w:hAnsi="Times New Roman" w:eastAsia="方正仿宋_GBK"/>
                <w:sz w:val="18"/>
                <w:szCs w:val="18"/>
              </w:rPr>
              <w:t>项目</w:t>
            </w:r>
            <w:r>
              <w:rPr>
                <w:rFonts w:ascii="Times New Roman" w:hAnsi="Times New Roman" w:eastAsia="方正仿宋_GBK"/>
                <w:sz w:val="18"/>
                <w:szCs w:val="18"/>
              </w:rPr>
              <w:t>预期成效与社会影响</w:t>
            </w:r>
            <w:r>
              <w:rPr>
                <w:rFonts w:hint="eastAsia" w:ascii="Times New Roman" w:hAnsi="Times New Roman" w:eastAsia="方正仿宋_GBK"/>
                <w:sz w:val="18"/>
                <w:szCs w:val="18"/>
              </w:rPr>
              <w:t>：</w:t>
            </w:r>
            <w:r>
              <w:rPr>
                <w:rFonts w:ascii="Times New Roman" w:hAnsi="Times New Roman" w:eastAsia="方正仿宋_GBK"/>
                <w:sz w:val="18"/>
                <w:szCs w:val="18"/>
              </w:rPr>
              <w:t>1.民生保障提质增效</w:t>
            </w:r>
            <w:r>
              <w:rPr>
                <w:rFonts w:hint="eastAsia" w:ascii="Times New Roman" w:hAnsi="Times New Roman" w:eastAsia="方正仿宋_GBK"/>
                <w:sz w:val="18"/>
                <w:szCs w:val="18"/>
              </w:rPr>
              <w:t>。</w:t>
            </w:r>
            <w:r>
              <w:rPr>
                <w:rFonts w:ascii="Times New Roman" w:hAnsi="Times New Roman" w:eastAsia="方正仿宋_GBK"/>
                <w:sz w:val="18"/>
                <w:szCs w:val="18"/>
              </w:rPr>
              <w:t>计划</w:t>
            </w:r>
            <w:r>
              <w:rPr>
                <w:rFonts w:hint="eastAsia" w:ascii="Times New Roman" w:hAnsi="Times New Roman" w:eastAsia="方正仿宋_GBK"/>
                <w:sz w:val="18"/>
                <w:szCs w:val="18"/>
              </w:rPr>
              <w:t>总</w:t>
            </w:r>
            <w:r>
              <w:rPr>
                <w:rFonts w:ascii="Times New Roman" w:hAnsi="Times New Roman" w:eastAsia="方正仿宋_GBK"/>
                <w:sz w:val="18"/>
                <w:szCs w:val="18"/>
              </w:rPr>
              <w:t>筹集善款100万元，为困难群体购买三千余件羽绒服、冲锋衣等御寒衣物，让三千余名困难群众不再受寒风的侵袭，度过一个温暖而安全的冬天，切实解决伊犁州直困难家庭的实际困难，让他们感受到江苏省的大爱无疆和守望相助。2.民族团结与文化交融</w:t>
            </w:r>
            <w:r>
              <w:rPr>
                <w:rFonts w:hint="eastAsia" w:ascii="Times New Roman" w:hAnsi="Times New Roman" w:eastAsia="方正仿宋_GBK"/>
                <w:sz w:val="18"/>
                <w:szCs w:val="18"/>
              </w:rPr>
              <w:t>。</w:t>
            </w:r>
            <w:r>
              <w:rPr>
                <w:rFonts w:ascii="Times New Roman" w:hAnsi="Times New Roman" w:eastAsia="方正仿宋_GBK"/>
                <w:sz w:val="18"/>
                <w:szCs w:val="18"/>
              </w:rPr>
              <w:t>结合“苏伊携手 温暖过冬”温暖过冬项目，“苏韵伊情”文化润心工程，加强苏伊两地交流交融。</w:t>
            </w:r>
          </w:p>
        </w:tc>
        <w:tc>
          <w:tcPr>
            <w:tcW w:w="567" w:type="dxa"/>
            <w:noWrap w:val="0"/>
            <w:vAlign w:val="center"/>
          </w:tcPr>
          <w:p w14:paraId="7A788BE7">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709" w:type="dxa"/>
            <w:noWrap w:val="0"/>
            <w:vAlign w:val="center"/>
          </w:tcPr>
          <w:p w14:paraId="3C0C8A9E">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50</w:t>
            </w:r>
          </w:p>
        </w:tc>
        <w:tc>
          <w:tcPr>
            <w:tcW w:w="1134" w:type="dxa"/>
            <w:noWrap w:val="0"/>
            <w:vAlign w:val="center"/>
          </w:tcPr>
          <w:p w14:paraId="52CDDD70">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73B7DA65">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1D85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53" w:hRule="exact"/>
          <w:jc w:val="center"/>
        </w:trPr>
        <w:tc>
          <w:tcPr>
            <w:tcW w:w="465" w:type="dxa"/>
            <w:noWrap w:val="0"/>
            <w:vAlign w:val="center"/>
          </w:tcPr>
          <w:p w14:paraId="74C20AF0">
            <w:pPr>
              <w:jc w:val="center"/>
              <w:rPr>
                <w:rFonts w:ascii="Times New Roman" w:hAnsi="Times New Roman"/>
                <w:sz w:val="18"/>
                <w:szCs w:val="18"/>
              </w:rPr>
            </w:pPr>
            <w:r>
              <w:rPr>
                <w:rFonts w:ascii="Times New Roman" w:hAnsi="Times New Roman"/>
                <w:sz w:val="18"/>
                <w:szCs w:val="18"/>
              </w:rPr>
              <w:t>2</w:t>
            </w:r>
          </w:p>
        </w:tc>
        <w:tc>
          <w:tcPr>
            <w:tcW w:w="658" w:type="dxa"/>
            <w:vMerge w:val="continue"/>
            <w:noWrap w:val="0"/>
            <w:vAlign w:val="center"/>
          </w:tcPr>
          <w:p w14:paraId="33294BC3">
            <w:pPr>
              <w:autoSpaceDE w:val="0"/>
              <w:autoSpaceDN w:val="0"/>
              <w:snapToGrid w:val="0"/>
              <w:spacing w:line="240" w:lineRule="exact"/>
              <w:rPr>
                <w:rFonts w:ascii="Times New Roman" w:hAnsi="Times New Roman" w:eastAsia="方正仿宋_GBK"/>
                <w:sz w:val="18"/>
                <w:szCs w:val="18"/>
              </w:rPr>
            </w:pPr>
          </w:p>
        </w:tc>
        <w:tc>
          <w:tcPr>
            <w:tcW w:w="1388" w:type="dxa"/>
            <w:noWrap w:val="0"/>
            <w:vAlign w:val="center"/>
          </w:tcPr>
          <w:p w14:paraId="4EB37123">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“情暖伊犁 圆梦青春”高中学子助学计划</w:t>
            </w:r>
          </w:p>
        </w:tc>
        <w:tc>
          <w:tcPr>
            <w:tcW w:w="6520" w:type="dxa"/>
            <w:noWrap w:val="0"/>
            <w:vAlign w:val="center"/>
          </w:tcPr>
          <w:p w14:paraId="744006D2">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教育是民族振兴、社会进步的基石。在伊犁州直，仍有许多品学兼优的高中生因家庭经济困难而面临辍学风险。为帮助他们顺利完成学业，实现人生梦想，伊犁慈善总会特设立“情暖伊犁 圆梦青春”高中学子助学计划，旨在汇聚社会爱心力量，为寒门学子点燃希望之光。资助对象</w:t>
            </w:r>
            <w:r>
              <w:rPr>
                <w:rFonts w:hint="eastAsia" w:ascii="Times New Roman" w:hAnsi="Times New Roman" w:eastAsia="方正仿宋_GBK"/>
                <w:sz w:val="18"/>
                <w:szCs w:val="18"/>
              </w:rPr>
              <w:t>：</w:t>
            </w:r>
            <w:r>
              <w:rPr>
                <w:rFonts w:ascii="Times New Roman" w:hAnsi="Times New Roman" w:eastAsia="方正仿宋_GBK"/>
                <w:sz w:val="18"/>
                <w:szCs w:val="18"/>
              </w:rPr>
              <w:t>伊犁州直普通高中在校学生，家庭经济困难，且品学兼优；优先考虑孤儿、残疾学生、留守学生、低保家庭学生等。资助标准</w:t>
            </w:r>
            <w:r>
              <w:rPr>
                <w:rFonts w:hint="eastAsia" w:ascii="Times New Roman" w:hAnsi="Times New Roman" w:eastAsia="方正仿宋_GBK"/>
                <w:sz w:val="18"/>
                <w:szCs w:val="18"/>
              </w:rPr>
              <w:t>：</w:t>
            </w:r>
            <w:r>
              <w:rPr>
                <w:rFonts w:ascii="Times New Roman" w:hAnsi="Times New Roman" w:eastAsia="方正仿宋_GBK"/>
                <w:sz w:val="18"/>
                <w:szCs w:val="18"/>
              </w:rPr>
              <w:t>每名学生每年资助人民币5000元，用于学费、住宿费、生活费等；资助期限为三年，直至受助学生高中毕业。</w:t>
            </w:r>
          </w:p>
          <w:p w14:paraId="480C8C58">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项目预期成效</w:t>
            </w:r>
            <w:r>
              <w:rPr>
                <w:rFonts w:hint="eastAsia" w:ascii="Times New Roman" w:hAnsi="Times New Roman" w:eastAsia="方正仿宋_GBK"/>
                <w:sz w:val="18"/>
                <w:szCs w:val="18"/>
              </w:rPr>
              <w:t>：</w:t>
            </w:r>
            <w:r>
              <w:rPr>
                <w:rFonts w:ascii="Times New Roman" w:hAnsi="Times New Roman" w:eastAsia="方正仿宋_GBK"/>
                <w:sz w:val="18"/>
                <w:szCs w:val="18"/>
              </w:rPr>
              <w:t>1.资助50名伊犁州直家庭经济困难的高中生，帮助他们顺利完成高中学业。2.通过物质帮助和精神关怀，激励受助学生奋发图强，树立积极向上的人生态度。3.弘扬慈善精神，营造全社会关心教育、关爱青少年的良好氛围。</w:t>
            </w:r>
          </w:p>
        </w:tc>
        <w:tc>
          <w:tcPr>
            <w:tcW w:w="567" w:type="dxa"/>
            <w:noWrap w:val="0"/>
            <w:vAlign w:val="center"/>
          </w:tcPr>
          <w:p w14:paraId="1647E3CF">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36</w:t>
            </w:r>
          </w:p>
        </w:tc>
        <w:tc>
          <w:tcPr>
            <w:tcW w:w="709" w:type="dxa"/>
            <w:noWrap w:val="0"/>
            <w:vAlign w:val="center"/>
          </w:tcPr>
          <w:p w14:paraId="0C4BB528">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75</w:t>
            </w:r>
          </w:p>
        </w:tc>
        <w:tc>
          <w:tcPr>
            <w:tcW w:w="1134" w:type="dxa"/>
            <w:noWrap w:val="0"/>
            <w:vAlign w:val="center"/>
          </w:tcPr>
          <w:p w14:paraId="6A785FF4">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0661B82D">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4CEA1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9" w:hRule="exact"/>
          <w:jc w:val="center"/>
        </w:trPr>
        <w:tc>
          <w:tcPr>
            <w:tcW w:w="465" w:type="dxa"/>
            <w:noWrap w:val="0"/>
            <w:vAlign w:val="center"/>
          </w:tcPr>
          <w:p w14:paraId="2C32DF9C">
            <w:pPr>
              <w:jc w:val="center"/>
              <w:rPr>
                <w:rFonts w:ascii="Times New Roman" w:hAnsi="Times New Roman"/>
                <w:sz w:val="18"/>
                <w:szCs w:val="18"/>
              </w:rPr>
            </w:pPr>
            <w:r>
              <w:rPr>
                <w:rFonts w:ascii="Times New Roman" w:hAnsi="Times New Roman"/>
                <w:sz w:val="18"/>
                <w:szCs w:val="18"/>
              </w:rPr>
              <w:t>3</w:t>
            </w:r>
          </w:p>
        </w:tc>
        <w:tc>
          <w:tcPr>
            <w:tcW w:w="658" w:type="dxa"/>
            <w:vMerge w:val="continue"/>
            <w:noWrap w:val="0"/>
            <w:vAlign w:val="center"/>
          </w:tcPr>
          <w:p w14:paraId="522F7F2A">
            <w:pPr>
              <w:autoSpaceDE w:val="0"/>
              <w:autoSpaceDN w:val="0"/>
              <w:snapToGrid w:val="0"/>
              <w:spacing w:line="240" w:lineRule="exact"/>
              <w:rPr>
                <w:rFonts w:ascii="Times New Roman" w:hAnsi="Times New Roman" w:eastAsia="方正仿宋_GBK"/>
                <w:sz w:val="18"/>
                <w:szCs w:val="18"/>
              </w:rPr>
            </w:pPr>
          </w:p>
        </w:tc>
        <w:tc>
          <w:tcPr>
            <w:tcW w:w="1388" w:type="dxa"/>
            <w:noWrap w:val="0"/>
            <w:vAlign w:val="center"/>
          </w:tcPr>
          <w:p w14:paraId="2213B715">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“苏韵伊情 护佑成长”困境儿童、孤儿、留守儿童助学项目</w:t>
            </w:r>
          </w:p>
        </w:tc>
        <w:tc>
          <w:tcPr>
            <w:tcW w:w="6520" w:type="dxa"/>
            <w:noWrap w:val="0"/>
            <w:vAlign w:val="center"/>
          </w:tcPr>
          <w:p w14:paraId="32BAE86A">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“苏韵伊情 护佑成长”困境儿童、孤儿、留守儿童助学项目由伊犁慈善总会与江苏省社会组织联合实施，旨在通过教育帮扶、心理关怀、文化交融等多维度举措，助力伊犁州特殊儿童群体健康成长。</w:t>
            </w:r>
          </w:p>
          <w:p w14:paraId="547B1E15">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项目预期成效</w:t>
            </w:r>
            <w:r>
              <w:rPr>
                <w:rFonts w:hint="eastAsia" w:ascii="Times New Roman" w:hAnsi="Times New Roman" w:eastAsia="方正仿宋_GBK"/>
                <w:sz w:val="18"/>
                <w:szCs w:val="18"/>
              </w:rPr>
              <w:t>：</w:t>
            </w:r>
            <w:r>
              <w:rPr>
                <w:rFonts w:ascii="Times New Roman" w:hAnsi="Times New Roman" w:eastAsia="方正仿宋_GBK"/>
                <w:sz w:val="18"/>
                <w:szCs w:val="18"/>
              </w:rPr>
              <w:t>1.教育赋能</w:t>
            </w:r>
            <w:r>
              <w:rPr>
                <w:rFonts w:hint="eastAsia" w:ascii="Times New Roman" w:hAnsi="Times New Roman" w:eastAsia="方正仿宋_GBK"/>
                <w:sz w:val="18"/>
                <w:szCs w:val="18"/>
              </w:rPr>
              <w:t>。</w:t>
            </w:r>
            <w:r>
              <w:rPr>
                <w:rFonts w:ascii="Times New Roman" w:hAnsi="Times New Roman" w:eastAsia="方正仿宋_GBK"/>
                <w:sz w:val="18"/>
                <w:szCs w:val="18"/>
              </w:rPr>
              <w:t>通过助学金、课业辅导等，提升困境儿童受教育水平。2.心理关怀</w:t>
            </w:r>
            <w:r>
              <w:rPr>
                <w:rFonts w:hint="eastAsia" w:ascii="Times New Roman" w:hAnsi="Times New Roman" w:eastAsia="方正仿宋_GBK"/>
                <w:sz w:val="18"/>
                <w:szCs w:val="18"/>
              </w:rPr>
              <w:t>。</w:t>
            </w:r>
            <w:r>
              <w:rPr>
                <w:rFonts w:ascii="Times New Roman" w:hAnsi="Times New Roman" w:eastAsia="方正仿宋_GBK"/>
                <w:sz w:val="18"/>
                <w:szCs w:val="18"/>
              </w:rPr>
              <w:t>建立心理健康服务体系，开展亲情陪伴、心理咨询等活动，缓解情感缺失问题。3.文化交融</w:t>
            </w:r>
            <w:r>
              <w:rPr>
                <w:rFonts w:hint="eastAsia" w:ascii="Times New Roman" w:hAnsi="Times New Roman" w:eastAsia="方正仿宋_GBK"/>
                <w:sz w:val="18"/>
                <w:szCs w:val="18"/>
              </w:rPr>
              <w:t>。</w:t>
            </w:r>
            <w:r>
              <w:rPr>
                <w:rFonts w:ascii="Times New Roman" w:hAnsi="Times New Roman" w:eastAsia="方正仿宋_GBK"/>
                <w:sz w:val="18"/>
                <w:szCs w:val="18"/>
              </w:rPr>
              <w:t>搭建苏伊青少年交流平台，促进民族融合，增强文化认同感。4.长效保障</w:t>
            </w:r>
            <w:r>
              <w:rPr>
                <w:rFonts w:hint="eastAsia" w:ascii="Times New Roman" w:hAnsi="Times New Roman" w:eastAsia="方正仿宋_GBK"/>
                <w:sz w:val="18"/>
                <w:szCs w:val="18"/>
              </w:rPr>
              <w:t>。</w:t>
            </w:r>
            <w:r>
              <w:rPr>
                <w:rFonts w:ascii="Times New Roman" w:hAnsi="Times New Roman" w:eastAsia="方正仿宋_GBK"/>
                <w:sz w:val="18"/>
                <w:szCs w:val="18"/>
              </w:rPr>
              <w:t>完善政策衔接与社会参与机制，形成“家庭-学校-政府-社会”协同育人网络。</w:t>
            </w:r>
          </w:p>
        </w:tc>
        <w:tc>
          <w:tcPr>
            <w:tcW w:w="567" w:type="dxa"/>
            <w:noWrap w:val="0"/>
            <w:vAlign w:val="center"/>
          </w:tcPr>
          <w:p w14:paraId="2C1E86A5">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8</w:t>
            </w:r>
          </w:p>
        </w:tc>
        <w:tc>
          <w:tcPr>
            <w:tcW w:w="709" w:type="dxa"/>
            <w:noWrap w:val="0"/>
            <w:vAlign w:val="center"/>
          </w:tcPr>
          <w:p w14:paraId="7206E49C">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F159CEA">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4A481FB5">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2350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17" w:hRule="exact"/>
          <w:jc w:val="center"/>
        </w:trPr>
        <w:tc>
          <w:tcPr>
            <w:tcW w:w="465" w:type="dxa"/>
            <w:noWrap w:val="0"/>
            <w:vAlign w:val="center"/>
          </w:tcPr>
          <w:p w14:paraId="0D078566">
            <w:pPr>
              <w:jc w:val="center"/>
              <w:rPr>
                <w:rFonts w:ascii="Times New Roman" w:hAnsi="Times New Roman"/>
                <w:sz w:val="18"/>
                <w:szCs w:val="18"/>
              </w:rPr>
            </w:pPr>
            <w:r>
              <w:rPr>
                <w:rFonts w:ascii="Times New Roman" w:hAnsi="Times New Roman"/>
                <w:sz w:val="18"/>
                <w:szCs w:val="18"/>
              </w:rPr>
              <w:t>4</w:t>
            </w:r>
          </w:p>
        </w:tc>
        <w:tc>
          <w:tcPr>
            <w:tcW w:w="658" w:type="dxa"/>
            <w:vMerge w:val="restart"/>
            <w:noWrap w:val="0"/>
            <w:vAlign w:val="center"/>
          </w:tcPr>
          <w:p w14:paraId="56BA9FE1">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新疆伊犁州</w:t>
            </w:r>
          </w:p>
        </w:tc>
        <w:tc>
          <w:tcPr>
            <w:tcW w:w="1388" w:type="dxa"/>
            <w:noWrap w:val="0"/>
            <w:vAlign w:val="center"/>
          </w:tcPr>
          <w:p w14:paraId="23EB70F8">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“宁伊童阅 护佑成长”图书室建设项目</w:t>
            </w:r>
          </w:p>
        </w:tc>
        <w:tc>
          <w:tcPr>
            <w:tcW w:w="6520" w:type="dxa"/>
            <w:noWrap w:val="0"/>
            <w:vAlign w:val="center"/>
          </w:tcPr>
          <w:p w14:paraId="25505077">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1.图书室基础设施建设</w:t>
            </w:r>
            <w:r>
              <w:rPr>
                <w:rFonts w:hint="eastAsia" w:ascii="Times New Roman" w:hAnsi="Times New Roman" w:eastAsia="方正仿宋_GBK"/>
                <w:sz w:val="18"/>
                <w:szCs w:val="18"/>
              </w:rPr>
              <w:t>。</w:t>
            </w:r>
            <w:r>
              <w:rPr>
                <w:rFonts w:ascii="Times New Roman" w:hAnsi="Times New Roman" w:eastAsia="方正仿宋_GBK"/>
                <w:sz w:val="18"/>
                <w:szCs w:val="18"/>
              </w:rPr>
              <w:t>支持伊犁州社会福利院儿童福利院、伊宁县儿童福利院、新源县儿童福利院图书室的硬件升级，包括场馆改造、书架配置、阅读桌椅更新等。配备标准化阅读空间。2.优质图书资源供给</w:t>
            </w:r>
            <w:r>
              <w:rPr>
                <w:rFonts w:hint="eastAsia" w:ascii="Times New Roman" w:hAnsi="Times New Roman" w:eastAsia="方正仿宋_GBK"/>
                <w:sz w:val="18"/>
                <w:szCs w:val="18"/>
              </w:rPr>
              <w:t>。</w:t>
            </w:r>
            <w:r>
              <w:rPr>
                <w:rFonts w:ascii="Times New Roman" w:hAnsi="Times New Roman" w:eastAsia="方正仿宋_GBK"/>
                <w:sz w:val="18"/>
                <w:szCs w:val="18"/>
              </w:rPr>
              <w:t>发动社会组织、爱心企业、学校及市民捐赠图书，覆盖文学、科普、艺术等领域，并针对不同年龄段儿童需求精准配置。3.阅读活动与文化交流</w:t>
            </w:r>
            <w:r>
              <w:rPr>
                <w:rFonts w:hint="eastAsia" w:ascii="Times New Roman" w:hAnsi="Times New Roman" w:eastAsia="方正仿宋_GBK"/>
                <w:sz w:val="18"/>
                <w:szCs w:val="18"/>
              </w:rPr>
              <w:t>。</w:t>
            </w:r>
            <w:r>
              <w:rPr>
                <w:rFonts w:ascii="Times New Roman" w:hAnsi="Times New Roman" w:eastAsia="方正仿宋_GBK"/>
                <w:sz w:val="18"/>
                <w:szCs w:val="18"/>
              </w:rPr>
              <w:t>项目通过线上线下结合的方式开展系列阅读推广活动。例如，“宁伊童听”有声作品征集活动鼓励两地儿童录制家乡文化故事、诗词朗读等音频，促进文化互鉴。4.专业支持与能力提升</w:t>
            </w:r>
            <w:r>
              <w:rPr>
                <w:rFonts w:hint="eastAsia" w:ascii="Times New Roman" w:hAnsi="Times New Roman" w:eastAsia="方正仿宋_GBK"/>
                <w:sz w:val="18"/>
                <w:szCs w:val="18"/>
              </w:rPr>
              <w:t>。</w:t>
            </w:r>
            <w:r>
              <w:rPr>
                <w:rFonts w:ascii="Times New Roman" w:hAnsi="Times New Roman" w:eastAsia="方正仿宋_GBK"/>
                <w:sz w:val="18"/>
                <w:szCs w:val="18"/>
              </w:rPr>
              <w:t>为伊犁州儿童福利机构工作人员提供阅读指导培训，包括儿童阅读心理学、图书分类管理等课程。</w:t>
            </w:r>
          </w:p>
          <w:p w14:paraId="1E4A7FBC">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预期预期成效</w:t>
            </w:r>
            <w:r>
              <w:rPr>
                <w:rFonts w:hint="eastAsia" w:ascii="Times New Roman" w:hAnsi="Times New Roman" w:eastAsia="方正仿宋_GBK"/>
                <w:sz w:val="18"/>
                <w:szCs w:val="18"/>
              </w:rPr>
              <w:t>：</w:t>
            </w:r>
            <w:r>
              <w:rPr>
                <w:rFonts w:ascii="Times New Roman" w:hAnsi="Times New Roman" w:eastAsia="方正仿宋_GBK"/>
                <w:sz w:val="18"/>
                <w:szCs w:val="18"/>
              </w:rPr>
              <w:t>1.儿童发展层面</w:t>
            </w:r>
            <w:r>
              <w:rPr>
                <w:rFonts w:hint="eastAsia" w:ascii="Times New Roman" w:hAnsi="Times New Roman" w:eastAsia="方正仿宋_GBK"/>
                <w:sz w:val="18"/>
                <w:szCs w:val="18"/>
              </w:rPr>
              <w:t>。</w:t>
            </w:r>
            <w:r>
              <w:rPr>
                <w:rFonts w:ascii="Times New Roman" w:hAnsi="Times New Roman" w:eastAsia="方正仿宋_GBK"/>
                <w:sz w:val="18"/>
                <w:szCs w:val="18"/>
              </w:rPr>
              <w:t>阅读能力显著提升</w:t>
            </w:r>
            <w:r>
              <w:rPr>
                <w:rFonts w:hint="eastAsia" w:ascii="Times New Roman" w:hAnsi="Times New Roman" w:eastAsia="方正仿宋_GBK"/>
                <w:sz w:val="18"/>
                <w:szCs w:val="18"/>
              </w:rPr>
              <w:t>，</w:t>
            </w:r>
            <w:r>
              <w:rPr>
                <w:rFonts w:ascii="Times New Roman" w:hAnsi="Times New Roman" w:eastAsia="方正仿宋_GBK"/>
                <w:sz w:val="18"/>
                <w:szCs w:val="18"/>
              </w:rPr>
              <w:t>通过系统的阅读资源供给和活动引导，预计每年受益儿童超2000人次，使福利院儿童阅读时长平均增加30%，阅读理解和表达能力明显增强。心理情感健康改善</w:t>
            </w:r>
            <w:r>
              <w:rPr>
                <w:rFonts w:hint="eastAsia" w:ascii="Times New Roman" w:hAnsi="Times New Roman" w:eastAsia="方正仿宋_GBK"/>
                <w:sz w:val="18"/>
                <w:szCs w:val="18"/>
              </w:rPr>
              <w:t>。</w:t>
            </w:r>
            <w:r>
              <w:rPr>
                <w:rFonts w:ascii="Times New Roman" w:hAnsi="Times New Roman" w:eastAsia="方正仿宋_GBK"/>
                <w:sz w:val="18"/>
                <w:szCs w:val="18"/>
              </w:rPr>
              <w:t>阅读活动为儿童提供情感宣泄与认知疏导的渠道，降低焦虑情绪，增强自信心与社交能力。文化认同与家国情怀培养：通过阅读中华经典、新疆地方文化书籍，增强儿童对中华民族共同体的认知。2.机构发展层面</w:t>
            </w:r>
            <w:r>
              <w:rPr>
                <w:rFonts w:hint="eastAsia" w:ascii="Times New Roman" w:hAnsi="Times New Roman" w:eastAsia="方正仿宋_GBK"/>
                <w:sz w:val="18"/>
                <w:szCs w:val="18"/>
              </w:rPr>
              <w:t>。</w:t>
            </w:r>
            <w:r>
              <w:rPr>
                <w:rFonts w:ascii="Times New Roman" w:hAnsi="Times New Roman" w:eastAsia="方正仿宋_GBK"/>
                <w:sz w:val="18"/>
                <w:szCs w:val="18"/>
              </w:rPr>
              <w:t>利院教育功能升级：图书馆建设使伊犁州儿童福利机构从单一养护机构向“养教康治娱”的一体化服务体系。区域示范效应</w:t>
            </w:r>
            <w:r>
              <w:rPr>
                <w:rFonts w:hint="eastAsia" w:ascii="Times New Roman" w:hAnsi="Times New Roman" w:eastAsia="方正仿宋_GBK"/>
                <w:sz w:val="18"/>
                <w:szCs w:val="18"/>
              </w:rPr>
              <w:t>。</w:t>
            </w:r>
            <w:r>
              <w:rPr>
                <w:rFonts w:ascii="Times New Roman" w:hAnsi="Times New Roman" w:eastAsia="方正仿宋_GBK"/>
                <w:sz w:val="18"/>
                <w:szCs w:val="18"/>
              </w:rPr>
              <w:t>项目经验可推广至伊犁州其他县市福利院，如巩留县福利院、特克斯县儿童福利院等，推动全州儿童福利机构阅读环境改善。3.社会与文化层面</w:t>
            </w:r>
            <w:r>
              <w:rPr>
                <w:rFonts w:hint="eastAsia" w:ascii="Times New Roman" w:hAnsi="Times New Roman" w:eastAsia="方正仿宋_GBK"/>
                <w:sz w:val="18"/>
                <w:szCs w:val="18"/>
              </w:rPr>
              <w:t>。</w:t>
            </w:r>
            <w:r>
              <w:rPr>
                <w:rFonts w:ascii="Times New Roman" w:hAnsi="Times New Roman" w:eastAsia="方正仿宋_GBK"/>
                <w:sz w:val="18"/>
                <w:szCs w:val="18"/>
              </w:rPr>
              <w:t>建立苏伊两地长效合作机制</w:t>
            </w:r>
            <w:r>
              <w:rPr>
                <w:rFonts w:hint="eastAsia" w:ascii="Times New Roman" w:hAnsi="Times New Roman" w:eastAsia="方正仿宋_GBK"/>
                <w:sz w:val="18"/>
                <w:szCs w:val="18"/>
              </w:rPr>
              <w:t>，</w:t>
            </w:r>
            <w:r>
              <w:rPr>
                <w:rFonts w:ascii="Times New Roman" w:hAnsi="Times New Roman" w:eastAsia="方正仿宋_GBK"/>
                <w:sz w:val="18"/>
                <w:szCs w:val="18"/>
              </w:rPr>
              <w:t>激发社会力量广泛参与边疆儿童关爱项目。铸牢中华民族共同体意识，促进两地青少年、儿童“手拉手”等活动，增强民族凝聚力。</w:t>
            </w:r>
          </w:p>
        </w:tc>
        <w:tc>
          <w:tcPr>
            <w:tcW w:w="567" w:type="dxa"/>
            <w:noWrap w:val="0"/>
            <w:vAlign w:val="center"/>
          </w:tcPr>
          <w:p w14:paraId="6E6060D6">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21A2733D">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4265BE72">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36002645">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3CD4D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49" w:hRule="exact"/>
          <w:jc w:val="center"/>
        </w:trPr>
        <w:tc>
          <w:tcPr>
            <w:tcW w:w="465" w:type="dxa"/>
            <w:noWrap w:val="0"/>
            <w:vAlign w:val="center"/>
          </w:tcPr>
          <w:p w14:paraId="0AA8FB9D">
            <w:pPr>
              <w:jc w:val="center"/>
              <w:rPr>
                <w:rFonts w:ascii="Times New Roman" w:hAnsi="Times New Roman"/>
                <w:sz w:val="18"/>
                <w:szCs w:val="18"/>
              </w:rPr>
            </w:pPr>
            <w:r>
              <w:rPr>
                <w:rFonts w:ascii="Times New Roman" w:hAnsi="Times New Roman"/>
                <w:sz w:val="18"/>
                <w:szCs w:val="18"/>
              </w:rPr>
              <w:t>5</w:t>
            </w:r>
          </w:p>
        </w:tc>
        <w:tc>
          <w:tcPr>
            <w:tcW w:w="658" w:type="dxa"/>
            <w:vMerge w:val="continue"/>
            <w:noWrap w:val="0"/>
            <w:vAlign w:val="center"/>
          </w:tcPr>
          <w:p w14:paraId="1340B9CA">
            <w:pPr>
              <w:autoSpaceDE w:val="0"/>
              <w:autoSpaceDN w:val="0"/>
              <w:snapToGrid w:val="0"/>
              <w:spacing w:line="240" w:lineRule="exact"/>
              <w:rPr>
                <w:rFonts w:ascii="Times New Roman" w:hAnsi="Times New Roman" w:eastAsia="方正仿宋_GBK"/>
                <w:sz w:val="18"/>
                <w:szCs w:val="18"/>
              </w:rPr>
            </w:pPr>
          </w:p>
        </w:tc>
        <w:tc>
          <w:tcPr>
            <w:tcW w:w="1388" w:type="dxa"/>
            <w:noWrap w:val="0"/>
            <w:vAlign w:val="center"/>
          </w:tcPr>
          <w:p w14:paraId="431AFF4B">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“江苏援疆行 教具暖童心”支援伊犁州儿童福利院特殊教育教具项目</w:t>
            </w:r>
          </w:p>
        </w:tc>
        <w:tc>
          <w:tcPr>
            <w:tcW w:w="6520" w:type="dxa"/>
            <w:noWrap w:val="0"/>
            <w:vAlign w:val="center"/>
          </w:tcPr>
          <w:p w14:paraId="1D8C3FC8">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伊犁州儿童福利院特殊教育班于2021年成立，目前共有一至四年级，共4个班，为院内及周边社区共计17名儿童开展特殊教育教学，为使特殊儿童接受更加全面的教育干预，需要补充特殊教育教具，《早期认知与交流训练系统》《情景互动训练系统》《孤独症儿童情绪能力教学套装》。为儿童提供科学实用、丰富有趣的认知交流评估与游戏，广泛的促进儿童大脑认知功能的发育，有效提高儿童评估与训练的准确性，不同的主题和难度等级，给予儿童多层次、多维度、阶段式的早期康复干预。</w:t>
            </w:r>
          </w:p>
        </w:tc>
        <w:tc>
          <w:tcPr>
            <w:tcW w:w="567" w:type="dxa"/>
            <w:noWrap w:val="0"/>
            <w:vAlign w:val="center"/>
          </w:tcPr>
          <w:p w14:paraId="7F8C9141">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56CED7FB">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728B916E">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2B0DADAA">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58EC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69" w:hRule="exact"/>
          <w:jc w:val="center"/>
        </w:trPr>
        <w:tc>
          <w:tcPr>
            <w:tcW w:w="465" w:type="dxa"/>
            <w:noWrap w:val="0"/>
            <w:vAlign w:val="center"/>
          </w:tcPr>
          <w:p w14:paraId="4D6AA35C">
            <w:pPr>
              <w:jc w:val="center"/>
              <w:rPr>
                <w:rFonts w:ascii="Times New Roman" w:hAnsi="Times New Roman"/>
                <w:sz w:val="18"/>
                <w:szCs w:val="18"/>
              </w:rPr>
            </w:pPr>
            <w:r>
              <w:rPr>
                <w:rFonts w:ascii="Times New Roman" w:hAnsi="Times New Roman"/>
                <w:sz w:val="18"/>
                <w:szCs w:val="18"/>
              </w:rPr>
              <w:t>6</w:t>
            </w:r>
          </w:p>
        </w:tc>
        <w:tc>
          <w:tcPr>
            <w:tcW w:w="658" w:type="dxa"/>
            <w:noWrap w:val="0"/>
            <w:vAlign w:val="center"/>
          </w:tcPr>
          <w:p w14:paraId="2A529203">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新疆伊犁州</w:t>
            </w:r>
          </w:p>
        </w:tc>
        <w:tc>
          <w:tcPr>
            <w:tcW w:w="1388" w:type="dxa"/>
            <w:noWrap w:val="0"/>
            <w:vAlign w:val="center"/>
          </w:tcPr>
          <w:p w14:paraId="0850E2AB">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伊犁州社会（儿童）福利院文化润疆项目</w:t>
            </w:r>
          </w:p>
        </w:tc>
        <w:tc>
          <w:tcPr>
            <w:tcW w:w="6520" w:type="dxa"/>
            <w:noWrap w:val="0"/>
            <w:vAlign w:val="center"/>
          </w:tcPr>
          <w:p w14:paraId="77E09A65">
            <w:pPr>
              <w:autoSpaceDE w:val="0"/>
              <w:autoSpaceDN w:val="0"/>
              <w:snapToGrid w:val="0"/>
              <w:spacing w:line="240" w:lineRule="exact"/>
              <w:ind w:firstLine="360" w:firstLineChars="200"/>
              <w:rPr>
                <w:rFonts w:hint="eastAsia" w:ascii="Times New Roman" w:hAnsi="Times New Roman" w:eastAsia="方正仿宋_GBK"/>
                <w:sz w:val="18"/>
                <w:szCs w:val="18"/>
              </w:rPr>
            </w:pPr>
            <w:r>
              <w:rPr>
                <w:rFonts w:hint="eastAsia" w:ascii="Times New Roman" w:hAnsi="Times New Roman" w:eastAsia="方正仿宋_GBK"/>
                <w:sz w:val="18"/>
                <w:szCs w:val="18"/>
              </w:rPr>
              <w:t>1</w:t>
            </w:r>
            <w:r>
              <w:rPr>
                <w:rFonts w:ascii="Times New Roman" w:hAnsi="Times New Roman" w:eastAsia="方正仿宋_GBK"/>
                <w:sz w:val="18"/>
                <w:szCs w:val="18"/>
              </w:rPr>
              <w:t>.文化长廊：在老人儿童活动区域设置文化长廊，宣传党的治疆方针政策，展示具有新疆特色的文化元素，如：历史文化、民俗文化、艺术文化等；配备长椅和遮阳避雨设施，服务对象可在漫步之余稍作休息，品味文化内容。</w:t>
            </w:r>
            <w:r>
              <w:rPr>
                <w:rFonts w:hint="eastAsia" w:ascii="Times New Roman" w:hAnsi="Times New Roman" w:eastAsia="方正仿宋_GBK"/>
                <w:sz w:val="18"/>
                <w:szCs w:val="18"/>
              </w:rPr>
              <w:t>2</w:t>
            </w:r>
            <w:r>
              <w:rPr>
                <w:rFonts w:ascii="Times New Roman" w:hAnsi="Times New Roman" w:eastAsia="方正仿宋_GBK"/>
                <w:sz w:val="18"/>
                <w:szCs w:val="18"/>
              </w:rPr>
              <w:t>.文化宣传：在院内多个区域设置宣传栏，宣传社会福利院和儿童福利文化；院内增设有特色的雕塑作品，增加文化氛围</w:t>
            </w:r>
            <w:r>
              <w:rPr>
                <w:rFonts w:hint="eastAsia" w:ascii="Times New Roman" w:hAnsi="Times New Roman" w:eastAsia="方正仿宋_GBK"/>
                <w:sz w:val="18"/>
                <w:szCs w:val="18"/>
              </w:rPr>
              <w:t>。</w:t>
            </w:r>
            <w:r>
              <w:rPr>
                <w:rFonts w:ascii="Times New Roman" w:hAnsi="Times New Roman" w:eastAsia="方正仿宋_GBK"/>
                <w:sz w:val="18"/>
                <w:szCs w:val="18"/>
              </w:rPr>
              <w:t>预期成效：形成福利院独特文化标识，社会美誉度提高</w:t>
            </w:r>
            <w:r>
              <w:rPr>
                <w:rFonts w:hint="eastAsia" w:ascii="Times New Roman" w:hAnsi="Times New Roman" w:eastAsia="方正仿宋_GBK"/>
                <w:sz w:val="18"/>
                <w:szCs w:val="18"/>
              </w:rPr>
              <w:t>。</w:t>
            </w:r>
            <w:r>
              <w:rPr>
                <w:rFonts w:ascii="Times New Roman" w:hAnsi="Times New Roman" w:eastAsia="方正仿宋_GBK"/>
                <w:sz w:val="18"/>
                <w:szCs w:val="18"/>
              </w:rPr>
              <w:t>服务对象参与院内文化建设意识得到大幅度提升</w:t>
            </w:r>
            <w:r>
              <w:rPr>
                <w:rFonts w:hint="eastAsia" w:ascii="Times New Roman" w:hAnsi="Times New Roman" w:eastAsia="方正仿宋_GBK"/>
                <w:sz w:val="18"/>
                <w:szCs w:val="18"/>
              </w:rPr>
              <w:t>。</w:t>
            </w:r>
            <w:r>
              <w:rPr>
                <w:rFonts w:ascii="Times New Roman" w:hAnsi="Times New Roman" w:eastAsia="方正仿宋_GBK"/>
                <w:sz w:val="18"/>
                <w:szCs w:val="18"/>
              </w:rPr>
              <w:t>为服务对象营造更温馨的生活氛围</w:t>
            </w:r>
            <w:r>
              <w:rPr>
                <w:rFonts w:hint="eastAsia" w:ascii="Times New Roman" w:hAnsi="Times New Roman" w:eastAsia="方正仿宋_GBK"/>
                <w:sz w:val="18"/>
                <w:szCs w:val="18"/>
              </w:rPr>
              <w:t>。</w:t>
            </w:r>
          </w:p>
        </w:tc>
        <w:tc>
          <w:tcPr>
            <w:tcW w:w="567" w:type="dxa"/>
            <w:noWrap w:val="0"/>
            <w:vAlign w:val="center"/>
          </w:tcPr>
          <w:p w14:paraId="38B46ECF">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011B4F1A">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05826712">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06281F0A">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E915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99" w:hRule="exact"/>
          <w:jc w:val="center"/>
        </w:trPr>
        <w:tc>
          <w:tcPr>
            <w:tcW w:w="465" w:type="dxa"/>
            <w:noWrap w:val="0"/>
            <w:vAlign w:val="center"/>
          </w:tcPr>
          <w:p w14:paraId="70A85DD7">
            <w:pPr>
              <w:jc w:val="center"/>
              <w:rPr>
                <w:rFonts w:ascii="Times New Roman" w:hAnsi="Times New Roman"/>
                <w:sz w:val="18"/>
                <w:szCs w:val="18"/>
              </w:rPr>
            </w:pPr>
            <w:r>
              <w:rPr>
                <w:rFonts w:ascii="Times New Roman" w:hAnsi="Times New Roman"/>
                <w:sz w:val="18"/>
                <w:szCs w:val="18"/>
              </w:rPr>
              <w:t>7</w:t>
            </w:r>
          </w:p>
        </w:tc>
        <w:tc>
          <w:tcPr>
            <w:tcW w:w="658" w:type="dxa"/>
            <w:vMerge w:val="restart"/>
            <w:noWrap w:val="0"/>
            <w:vAlign w:val="center"/>
          </w:tcPr>
          <w:p w14:paraId="0AAC0A5A">
            <w:pPr>
              <w:widowControl/>
              <w:spacing w:line="240" w:lineRule="exact"/>
              <w:rPr>
                <w:rFonts w:ascii="Times New Roman" w:hAnsi="Times New Roman" w:eastAsia="方正仿宋_GBK"/>
                <w:kern w:val="0"/>
                <w:sz w:val="18"/>
                <w:szCs w:val="18"/>
              </w:rPr>
            </w:pPr>
            <w:r>
              <w:rPr>
                <w:rFonts w:ascii="Times New Roman" w:hAnsi="Times New Roman" w:eastAsia="方正仿宋_GBK"/>
                <w:sz w:val="18"/>
                <w:szCs w:val="18"/>
              </w:rPr>
              <w:t>新疆克州</w:t>
            </w:r>
          </w:p>
        </w:tc>
        <w:tc>
          <w:tcPr>
            <w:tcW w:w="1388" w:type="dxa"/>
            <w:noWrap w:val="0"/>
            <w:vAlign w:val="center"/>
          </w:tcPr>
          <w:p w14:paraId="75B799C8">
            <w:pPr>
              <w:spacing w:line="240" w:lineRule="exact"/>
              <w:rPr>
                <w:rFonts w:ascii="Times New Roman" w:hAnsi="Times New Roman" w:eastAsia="方正仿宋_GBK"/>
                <w:sz w:val="18"/>
                <w:szCs w:val="18"/>
              </w:rPr>
            </w:pPr>
            <w:r>
              <w:rPr>
                <w:rFonts w:ascii="Times New Roman" w:hAnsi="Times New Roman" w:eastAsia="方正仿宋_GBK"/>
                <w:sz w:val="18"/>
                <w:szCs w:val="18"/>
              </w:rPr>
              <w:t>克州未成年人救助保护服务项目</w:t>
            </w:r>
          </w:p>
        </w:tc>
        <w:tc>
          <w:tcPr>
            <w:tcW w:w="6520" w:type="dxa"/>
            <w:noWrap w:val="0"/>
            <w:vAlign w:val="center"/>
          </w:tcPr>
          <w:p w14:paraId="44B746CF">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对全州机构外社会散居孤儿，城乡残疾儿童、留守儿童进行全面摸排，开展安全评估、帮扶解困、爱国主义教育培训、定期探访、“暑期”关爱活动，提供危机干预、监护评估、心理疏导、协助维权等专业性服务，推动未成年人救助保护工作高质量发展。</w:t>
            </w:r>
          </w:p>
        </w:tc>
        <w:tc>
          <w:tcPr>
            <w:tcW w:w="567" w:type="dxa"/>
            <w:noWrap w:val="0"/>
            <w:vAlign w:val="center"/>
          </w:tcPr>
          <w:p w14:paraId="3028CB0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05F4AFD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7E65DA1">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阿图什市儿童福利院</w:t>
            </w:r>
          </w:p>
        </w:tc>
        <w:tc>
          <w:tcPr>
            <w:tcW w:w="1231" w:type="dxa"/>
            <w:noWrap w:val="0"/>
            <w:vAlign w:val="center"/>
          </w:tcPr>
          <w:p w14:paraId="3078AF18">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EF60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41" w:hRule="exact"/>
          <w:jc w:val="center"/>
        </w:trPr>
        <w:tc>
          <w:tcPr>
            <w:tcW w:w="465" w:type="dxa"/>
            <w:noWrap w:val="0"/>
            <w:vAlign w:val="center"/>
          </w:tcPr>
          <w:p w14:paraId="0D66333F">
            <w:pPr>
              <w:jc w:val="center"/>
              <w:rPr>
                <w:rFonts w:ascii="Times New Roman" w:hAnsi="Times New Roman"/>
                <w:sz w:val="18"/>
                <w:szCs w:val="18"/>
              </w:rPr>
            </w:pPr>
            <w:r>
              <w:rPr>
                <w:rFonts w:ascii="Times New Roman" w:hAnsi="Times New Roman"/>
                <w:sz w:val="18"/>
                <w:szCs w:val="18"/>
              </w:rPr>
              <w:t>8</w:t>
            </w:r>
          </w:p>
        </w:tc>
        <w:tc>
          <w:tcPr>
            <w:tcW w:w="658" w:type="dxa"/>
            <w:vMerge w:val="continue"/>
            <w:noWrap w:val="0"/>
            <w:vAlign w:val="center"/>
          </w:tcPr>
          <w:p w14:paraId="4F030A58">
            <w:pPr>
              <w:spacing w:line="240" w:lineRule="exact"/>
              <w:rPr>
                <w:rFonts w:ascii="Times New Roman" w:hAnsi="Times New Roman" w:eastAsia="方正仿宋_GBK"/>
                <w:kern w:val="0"/>
                <w:sz w:val="18"/>
                <w:szCs w:val="18"/>
              </w:rPr>
            </w:pPr>
          </w:p>
        </w:tc>
        <w:tc>
          <w:tcPr>
            <w:tcW w:w="1388" w:type="dxa"/>
            <w:noWrap w:val="0"/>
            <w:vAlign w:val="center"/>
          </w:tcPr>
          <w:p w14:paraId="0492A88D">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阿图什市哈拉峻乡谢依特小学校史馆建设</w:t>
            </w:r>
          </w:p>
        </w:tc>
        <w:tc>
          <w:tcPr>
            <w:tcW w:w="6520" w:type="dxa"/>
            <w:noWrap w:val="0"/>
            <w:vAlign w:val="center"/>
          </w:tcPr>
          <w:p w14:paraId="50D0A6FF">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展示学校历史沿革、办学成果，陈列珍贵老照片、荣誉证书等实物；设置师生风采展区，呈现优秀师生事迹；利用多媒体技术，通过视频、音频回顾校园故事；打造互动体验区，增强参观者参与感，全方位展现学校文化底蕴与精神传承，以历史精神涵养学生铸牢中华民族共同体意识。</w:t>
            </w:r>
          </w:p>
        </w:tc>
        <w:tc>
          <w:tcPr>
            <w:tcW w:w="567" w:type="dxa"/>
            <w:noWrap w:val="0"/>
            <w:vAlign w:val="center"/>
          </w:tcPr>
          <w:p w14:paraId="3E0EDF26">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28003FD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5996D42B">
            <w:pPr>
              <w:spacing w:line="240" w:lineRule="exact"/>
              <w:rPr>
                <w:rFonts w:ascii="Times New Roman" w:hAnsi="Times New Roman" w:eastAsia="方正仿宋_GBK"/>
                <w:sz w:val="18"/>
                <w:szCs w:val="18"/>
              </w:rPr>
            </w:pPr>
            <w:r>
              <w:rPr>
                <w:rFonts w:ascii="Times New Roman" w:hAnsi="Times New Roman" w:eastAsia="方正仿宋_GBK"/>
                <w:sz w:val="18"/>
                <w:szCs w:val="18"/>
              </w:rPr>
              <w:t>克州慈善总会</w:t>
            </w:r>
          </w:p>
        </w:tc>
        <w:tc>
          <w:tcPr>
            <w:tcW w:w="1231" w:type="dxa"/>
            <w:noWrap w:val="0"/>
            <w:vAlign w:val="center"/>
          </w:tcPr>
          <w:p w14:paraId="448C8D95">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32668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13" w:hRule="exact"/>
          <w:jc w:val="center"/>
        </w:trPr>
        <w:tc>
          <w:tcPr>
            <w:tcW w:w="465" w:type="dxa"/>
            <w:noWrap w:val="0"/>
            <w:vAlign w:val="center"/>
          </w:tcPr>
          <w:p w14:paraId="446D27B8">
            <w:pPr>
              <w:jc w:val="center"/>
              <w:rPr>
                <w:rFonts w:ascii="Times New Roman" w:hAnsi="Times New Roman"/>
                <w:sz w:val="18"/>
                <w:szCs w:val="18"/>
              </w:rPr>
            </w:pPr>
            <w:r>
              <w:rPr>
                <w:rFonts w:ascii="Times New Roman" w:hAnsi="Times New Roman"/>
                <w:sz w:val="18"/>
                <w:szCs w:val="18"/>
              </w:rPr>
              <w:t>9</w:t>
            </w:r>
          </w:p>
        </w:tc>
        <w:tc>
          <w:tcPr>
            <w:tcW w:w="658" w:type="dxa"/>
            <w:vMerge w:val="continue"/>
            <w:noWrap w:val="0"/>
            <w:vAlign w:val="center"/>
          </w:tcPr>
          <w:p w14:paraId="127557B1">
            <w:pPr>
              <w:spacing w:line="240" w:lineRule="exact"/>
              <w:rPr>
                <w:rFonts w:ascii="Times New Roman" w:hAnsi="Times New Roman" w:eastAsia="方正仿宋_GBK"/>
                <w:sz w:val="18"/>
                <w:szCs w:val="18"/>
              </w:rPr>
            </w:pPr>
          </w:p>
        </w:tc>
        <w:tc>
          <w:tcPr>
            <w:tcW w:w="1388" w:type="dxa"/>
            <w:noWrap w:val="0"/>
            <w:vAlign w:val="center"/>
          </w:tcPr>
          <w:p w14:paraId="7B22C8EB">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乌恰县“致敬英模”慈善救助项目</w:t>
            </w:r>
          </w:p>
        </w:tc>
        <w:tc>
          <w:tcPr>
            <w:tcW w:w="6520" w:type="dxa"/>
            <w:noWrap w:val="0"/>
            <w:vAlign w:val="center"/>
          </w:tcPr>
          <w:p w14:paraId="3AD7798C">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在重大节日期间购买慰问品或发放慰问金</w:t>
            </w:r>
            <w:r>
              <w:rPr>
                <w:rFonts w:hint="eastAsia" w:ascii="Times New Roman" w:hAnsi="Times New Roman" w:eastAsia="方正仿宋_GBK"/>
                <w:sz w:val="18"/>
                <w:szCs w:val="18"/>
              </w:rPr>
              <w:t>，</w:t>
            </w:r>
            <w:r>
              <w:rPr>
                <w:rFonts w:ascii="Times New Roman" w:hAnsi="Times New Roman" w:eastAsia="方正仿宋_GBK"/>
                <w:sz w:val="18"/>
                <w:szCs w:val="18"/>
              </w:rPr>
              <w:t>对各类英模、英烈及见义勇为者</w:t>
            </w:r>
            <w:r>
              <w:rPr>
                <w:rFonts w:hint="eastAsia" w:ascii="Times New Roman" w:hAnsi="Times New Roman" w:eastAsia="方正仿宋_GBK"/>
                <w:sz w:val="18"/>
                <w:szCs w:val="18"/>
              </w:rPr>
              <w:t>、</w:t>
            </w:r>
            <w:r>
              <w:rPr>
                <w:rFonts w:ascii="Times New Roman" w:hAnsi="Times New Roman" w:eastAsia="方正仿宋_GBK"/>
                <w:sz w:val="18"/>
                <w:szCs w:val="18"/>
              </w:rPr>
              <w:t>因公牺牲或致残致病而导致家庭生活困难的人员给予慈善救助。</w:t>
            </w:r>
          </w:p>
        </w:tc>
        <w:tc>
          <w:tcPr>
            <w:tcW w:w="567" w:type="dxa"/>
            <w:noWrap w:val="0"/>
            <w:vAlign w:val="center"/>
          </w:tcPr>
          <w:p w14:paraId="6021F4FE">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1A725BE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7639DA3A">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乌恰县民政局</w:t>
            </w:r>
          </w:p>
        </w:tc>
        <w:tc>
          <w:tcPr>
            <w:tcW w:w="1231" w:type="dxa"/>
            <w:noWrap w:val="0"/>
            <w:vAlign w:val="center"/>
          </w:tcPr>
          <w:p w14:paraId="741FE65C">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5AB95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4" w:hRule="exact"/>
          <w:jc w:val="center"/>
        </w:trPr>
        <w:tc>
          <w:tcPr>
            <w:tcW w:w="465" w:type="dxa"/>
            <w:noWrap w:val="0"/>
            <w:vAlign w:val="center"/>
          </w:tcPr>
          <w:p w14:paraId="2A0733C6">
            <w:pPr>
              <w:jc w:val="center"/>
              <w:rPr>
                <w:rFonts w:ascii="Times New Roman" w:hAnsi="Times New Roman"/>
                <w:sz w:val="18"/>
                <w:szCs w:val="18"/>
              </w:rPr>
            </w:pPr>
            <w:r>
              <w:rPr>
                <w:rFonts w:ascii="Times New Roman" w:hAnsi="Times New Roman"/>
                <w:sz w:val="18"/>
                <w:szCs w:val="18"/>
              </w:rPr>
              <w:t>10</w:t>
            </w:r>
          </w:p>
        </w:tc>
        <w:tc>
          <w:tcPr>
            <w:tcW w:w="658" w:type="dxa"/>
            <w:vMerge w:val="continue"/>
            <w:noWrap w:val="0"/>
            <w:vAlign w:val="center"/>
          </w:tcPr>
          <w:p w14:paraId="2438F030">
            <w:pPr>
              <w:spacing w:line="240" w:lineRule="exact"/>
              <w:rPr>
                <w:rFonts w:ascii="Times New Roman" w:hAnsi="Times New Roman" w:eastAsia="方正仿宋_GBK"/>
                <w:sz w:val="18"/>
                <w:szCs w:val="18"/>
              </w:rPr>
            </w:pPr>
          </w:p>
        </w:tc>
        <w:tc>
          <w:tcPr>
            <w:tcW w:w="1388" w:type="dxa"/>
            <w:noWrap w:val="0"/>
            <w:vAlign w:val="center"/>
          </w:tcPr>
          <w:p w14:paraId="630E35F9">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乌恰县困难助学慈善帮扶项目</w:t>
            </w:r>
          </w:p>
        </w:tc>
        <w:tc>
          <w:tcPr>
            <w:tcW w:w="6520" w:type="dxa"/>
            <w:noWrap w:val="0"/>
            <w:vAlign w:val="center"/>
          </w:tcPr>
          <w:p w14:paraId="01E7033C">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为乌恰县低保户、特困户、孤儿家庭、低保边缘家庭、监测户、残疾户等困难家庭孩子提供助学资金帮扶。</w:t>
            </w:r>
          </w:p>
        </w:tc>
        <w:tc>
          <w:tcPr>
            <w:tcW w:w="567" w:type="dxa"/>
            <w:noWrap w:val="0"/>
            <w:vAlign w:val="center"/>
          </w:tcPr>
          <w:p w14:paraId="41A6F7D4">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76C6F19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24944FD2">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乌恰县民政局</w:t>
            </w:r>
          </w:p>
        </w:tc>
        <w:tc>
          <w:tcPr>
            <w:tcW w:w="1231" w:type="dxa"/>
            <w:noWrap w:val="0"/>
            <w:vAlign w:val="center"/>
          </w:tcPr>
          <w:p w14:paraId="417223A4">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2C7B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6" w:hRule="exact"/>
          <w:jc w:val="center"/>
        </w:trPr>
        <w:tc>
          <w:tcPr>
            <w:tcW w:w="465" w:type="dxa"/>
            <w:noWrap w:val="0"/>
            <w:vAlign w:val="center"/>
          </w:tcPr>
          <w:p w14:paraId="6E12703C">
            <w:pPr>
              <w:jc w:val="center"/>
              <w:rPr>
                <w:rFonts w:ascii="Times New Roman" w:hAnsi="Times New Roman"/>
                <w:sz w:val="18"/>
                <w:szCs w:val="18"/>
              </w:rPr>
            </w:pPr>
            <w:r>
              <w:rPr>
                <w:rFonts w:ascii="Times New Roman" w:hAnsi="Times New Roman"/>
                <w:sz w:val="18"/>
                <w:szCs w:val="18"/>
              </w:rPr>
              <w:t>11</w:t>
            </w:r>
          </w:p>
        </w:tc>
        <w:tc>
          <w:tcPr>
            <w:tcW w:w="658" w:type="dxa"/>
            <w:vMerge w:val="continue"/>
            <w:noWrap w:val="0"/>
            <w:vAlign w:val="center"/>
          </w:tcPr>
          <w:p w14:paraId="4D819D94">
            <w:pPr>
              <w:spacing w:line="240" w:lineRule="exact"/>
              <w:rPr>
                <w:rFonts w:ascii="Times New Roman" w:hAnsi="Times New Roman" w:eastAsia="方正仿宋_GBK"/>
                <w:sz w:val="18"/>
                <w:szCs w:val="18"/>
              </w:rPr>
            </w:pPr>
          </w:p>
        </w:tc>
        <w:tc>
          <w:tcPr>
            <w:tcW w:w="1388" w:type="dxa"/>
            <w:noWrap w:val="0"/>
            <w:vAlign w:val="center"/>
          </w:tcPr>
          <w:p w14:paraId="56BCFA76">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乌恰县慈善义诊进乡村项目</w:t>
            </w:r>
          </w:p>
        </w:tc>
        <w:tc>
          <w:tcPr>
            <w:tcW w:w="6520" w:type="dxa"/>
            <w:noWrap w:val="0"/>
            <w:vAlign w:val="center"/>
          </w:tcPr>
          <w:p w14:paraId="4AAB83CE">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用于开展“慈善义诊进乡村”快乐健康慈善项目，为各族群众免费开展义诊活动，服务群众不低于400人次。</w:t>
            </w:r>
          </w:p>
        </w:tc>
        <w:tc>
          <w:tcPr>
            <w:tcW w:w="567" w:type="dxa"/>
            <w:noWrap w:val="0"/>
            <w:vAlign w:val="center"/>
          </w:tcPr>
          <w:p w14:paraId="1EC0A130">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3C040AD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5351168E">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乌恰县民政局</w:t>
            </w:r>
          </w:p>
        </w:tc>
        <w:tc>
          <w:tcPr>
            <w:tcW w:w="1231" w:type="dxa"/>
            <w:noWrap w:val="0"/>
            <w:vAlign w:val="center"/>
          </w:tcPr>
          <w:p w14:paraId="76E86BFE">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0119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6040E25D">
            <w:pPr>
              <w:jc w:val="center"/>
              <w:rPr>
                <w:rFonts w:ascii="Times New Roman" w:hAnsi="Times New Roman"/>
                <w:sz w:val="18"/>
                <w:szCs w:val="18"/>
              </w:rPr>
            </w:pPr>
            <w:r>
              <w:rPr>
                <w:rFonts w:ascii="Times New Roman" w:hAnsi="Times New Roman"/>
                <w:sz w:val="18"/>
                <w:szCs w:val="18"/>
              </w:rPr>
              <w:t>12</w:t>
            </w:r>
          </w:p>
        </w:tc>
        <w:tc>
          <w:tcPr>
            <w:tcW w:w="658" w:type="dxa"/>
            <w:vMerge w:val="continue"/>
            <w:noWrap w:val="0"/>
            <w:vAlign w:val="center"/>
          </w:tcPr>
          <w:p w14:paraId="07E284F1">
            <w:pPr>
              <w:spacing w:line="240" w:lineRule="exact"/>
              <w:rPr>
                <w:rFonts w:ascii="Times New Roman" w:hAnsi="Times New Roman" w:eastAsia="方正仿宋_GBK"/>
                <w:sz w:val="18"/>
                <w:szCs w:val="18"/>
              </w:rPr>
            </w:pPr>
          </w:p>
        </w:tc>
        <w:tc>
          <w:tcPr>
            <w:tcW w:w="1388" w:type="dxa"/>
            <w:noWrap w:val="0"/>
            <w:vAlign w:val="center"/>
          </w:tcPr>
          <w:p w14:paraId="5F597C47">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乌恰县乡镇老年助餐慈善帮扶项目</w:t>
            </w:r>
          </w:p>
        </w:tc>
        <w:tc>
          <w:tcPr>
            <w:tcW w:w="6520" w:type="dxa"/>
            <w:noWrap w:val="0"/>
            <w:vAlign w:val="center"/>
          </w:tcPr>
          <w:p w14:paraId="5E981E62">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用于开展为乡镇困难老年人提供日常用餐服务，每人每天补助5元，解决困难老年人就餐问题。</w:t>
            </w:r>
          </w:p>
        </w:tc>
        <w:tc>
          <w:tcPr>
            <w:tcW w:w="567" w:type="dxa"/>
            <w:noWrap w:val="0"/>
            <w:vAlign w:val="center"/>
          </w:tcPr>
          <w:p w14:paraId="00AFB5A4">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29D8FAA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2BD9984A">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乌恰县民政局</w:t>
            </w:r>
          </w:p>
        </w:tc>
        <w:tc>
          <w:tcPr>
            <w:tcW w:w="1231" w:type="dxa"/>
            <w:noWrap w:val="0"/>
            <w:vAlign w:val="center"/>
          </w:tcPr>
          <w:p w14:paraId="7F66FD8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9A6A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0" w:hRule="exact"/>
          <w:jc w:val="center"/>
        </w:trPr>
        <w:tc>
          <w:tcPr>
            <w:tcW w:w="465" w:type="dxa"/>
            <w:noWrap w:val="0"/>
            <w:vAlign w:val="center"/>
          </w:tcPr>
          <w:p w14:paraId="7F26F295">
            <w:pPr>
              <w:jc w:val="center"/>
              <w:rPr>
                <w:rFonts w:ascii="Times New Roman" w:hAnsi="Times New Roman"/>
                <w:sz w:val="18"/>
                <w:szCs w:val="18"/>
              </w:rPr>
            </w:pPr>
            <w:r>
              <w:rPr>
                <w:rFonts w:ascii="Times New Roman" w:hAnsi="Times New Roman"/>
                <w:sz w:val="18"/>
                <w:szCs w:val="18"/>
              </w:rPr>
              <w:t>13</w:t>
            </w:r>
          </w:p>
        </w:tc>
        <w:tc>
          <w:tcPr>
            <w:tcW w:w="658" w:type="dxa"/>
            <w:vMerge w:val="continue"/>
            <w:noWrap w:val="0"/>
            <w:vAlign w:val="center"/>
          </w:tcPr>
          <w:p w14:paraId="323B729D">
            <w:pPr>
              <w:spacing w:line="240" w:lineRule="exact"/>
              <w:rPr>
                <w:rFonts w:ascii="Times New Roman" w:hAnsi="Times New Roman" w:eastAsia="方正仿宋_GBK"/>
                <w:sz w:val="18"/>
                <w:szCs w:val="18"/>
              </w:rPr>
            </w:pPr>
          </w:p>
        </w:tc>
        <w:tc>
          <w:tcPr>
            <w:tcW w:w="1388" w:type="dxa"/>
            <w:noWrap w:val="0"/>
            <w:vAlign w:val="center"/>
          </w:tcPr>
          <w:p w14:paraId="4E8AE95B">
            <w:pPr>
              <w:spacing w:line="240" w:lineRule="exact"/>
              <w:rPr>
                <w:rFonts w:ascii="Times New Roman" w:hAnsi="Times New Roman" w:eastAsia="方正仿宋_GBK"/>
                <w:sz w:val="18"/>
                <w:szCs w:val="18"/>
              </w:rPr>
            </w:pPr>
            <w:r>
              <w:rPr>
                <w:rFonts w:ascii="Times New Roman" w:hAnsi="Times New Roman" w:eastAsia="方正仿宋_GBK"/>
                <w:sz w:val="18"/>
                <w:szCs w:val="18"/>
              </w:rPr>
              <w:t>阿克陶县助力乡村振兴</w:t>
            </w:r>
          </w:p>
        </w:tc>
        <w:tc>
          <w:tcPr>
            <w:tcW w:w="6520" w:type="dxa"/>
            <w:noWrap w:val="0"/>
            <w:vAlign w:val="center"/>
          </w:tcPr>
          <w:p w14:paraId="3DA27A1B">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巴仁乡阿热买里村与克孜勒吾斯塘村各村100套学习桌</w:t>
            </w:r>
            <w:r>
              <w:rPr>
                <w:rFonts w:hint="eastAsia" w:ascii="Times New Roman" w:hAnsi="Times New Roman" w:eastAsia="方正仿宋_GBK"/>
                <w:sz w:val="18"/>
                <w:szCs w:val="18"/>
              </w:rPr>
              <w:t>。</w:t>
            </w:r>
          </w:p>
        </w:tc>
        <w:tc>
          <w:tcPr>
            <w:tcW w:w="567" w:type="dxa"/>
            <w:noWrap w:val="0"/>
            <w:vAlign w:val="center"/>
          </w:tcPr>
          <w:p w14:paraId="305AD562">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709" w:type="dxa"/>
            <w:noWrap w:val="0"/>
            <w:vAlign w:val="center"/>
          </w:tcPr>
          <w:p w14:paraId="72D3D26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19.2</w:t>
            </w:r>
          </w:p>
        </w:tc>
        <w:tc>
          <w:tcPr>
            <w:tcW w:w="1134" w:type="dxa"/>
            <w:noWrap w:val="0"/>
            <w:vAlign w:val="center"/>
          </w:tcPr>
          <w:p w14:paraId="029F6746">
            <w:pPr>
              <w:spacing w:line="240" w:lineRule="exact"/>
              <w:rPr>
                <w:rFonts w:ascii="Times New Roman" w:hAnsi="Times New Roman" w:eastAsia="方正仿宋_GBK"/>
                <w:sz w:val="18"/>
                <w:szCs w:val="18"/>
              </w:rPr>
            </w:pPr>
            <w:r>
              <w:rPr>
                <w:rFonts w:ascii="Times New Roman" w:hAnsi="Times New Roman" w:eastAsia="方正仿宋_GBK"/>
                <w:sz w:val="18"/>
                <w:szCs w:val="18"/>
              </w:rPr>
              <w:t>巴仁乡</w:t>
            </w:r>
          </w:p>
        </w:tc>
        <w:tc>
          <w:tcPr>
            <w:tcW w:w="1231" w:type="dxa"/>
            <w:noWrap w:val="0"/>
            <w:vAlign w:val="center"/>
          </w:tcPr>
          <w:p w14:paraId="345021C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0F1A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1CD8B162">
            <w:pPr>
              <w:jc w:val="center"/>
              <w:rPr>
                <w:rFonts w:ascii="Times New Roman" w:hAnsi="Times New Roman"/>
                <w:sz w:val="18"/>
                <w:szCs w:val="18"/>
              </w:rPr>
            </w:pPr>
            <w:r>
              <w:rPr>
                <w:rFonts w:ascii="Times New Roman" w:hAnsi="Times New Roman"/>
                <w:sz w:val="18"/>
                <w:szCs w:val="18"/>
              </w:rPr>
              <w:t>14</w:t>
            </w:r>
          </w:p>
        </w:tc>
        <w:tc>
          <w:tcPr>
            <w:tcW w:w="658" w:type="dxa"/>
            <w:vMerge w:val="restart"/>
            <w:noWrap w:val="0"/>
            <w:vAlign w:val="center"/>
          </w:tcPr>
          <w:p w14:paraId="3701EF62">
            <w:pPr>
              <w:spacing w:line="240" w:lineRule="exact"/>
              <w:rPr>
                <w:rFonts w:ascii="Times New Roman" w:hAnsi="Times New Roman" w:eastAsia="方正仿宋_GBK"/>
                <w:sz w:val="18"/>
                <w:szCs w:val="18"/>
              </w:rPr>
            </w:pPr>
            <w:r>
              <w:rPr>
                <w:rFonts w:ascii="Times New Roman" w:hAnsi="Times New Roman" w:eastAsia="方正仿宋_GBK"/>
                <w:sz w:val="18"/>
                <w:szCs w:val="18"/>
              </w:rPr>
              <w:t>新疆克州</w:t>
            </w:r>
          </w:p>
        </w:tc>
        <w:tc>
          <w:tcPr>
            <w:tcW w:w="1388" w:type="dxa"/>
            <w:noWrap w:val="0"/>
            <w:vAlign w:val="center"/>
          </w:tcPr>
          <w:p w14:paraId="41120E38">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阿图什市“困难大学生教育资助”项目</w:t>
            </w:r>
          </w:p>
        </w:tc>
        <w:tc>
          <w:tcPr>
            <w:tcW w:w="6520" w:type="dxa"/>
            <w:noWrap w:val="0"/>
            <w:vAlign w:val="center"/>
          </w:tcPr>
          <w:p w14:paraId="1E3BA1B0">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大约40人，按照每人5000元的标准对全市生活学习存在困难学生的进行帮扶、帮助其解决学习生活需求</w:t>
            </w:r>
            <w:r>
              <w:rPr>
                <w:rFonts w:hint="eastAsia" w:ascii="Times New Roman" w:hAnsi="Times New Roman" w:eastAsia="方正仿宋_GBK"/>
                <w:sz w:val="18"/>
                <w:szCs w:val="18"/>
              </w:rPr>
              <w:t>。</w:t>
            </w:r>
          </w:p>
        </w:tc>
        <w:tc>
          <w:tcPr>
            <w:tcW w:w="567" w:type="dxa"/>
            <w:noWrap w:val="0"/>
            <w:vAlign w:val="center"/>
          </w:tcPr>
          <w:p w14:paraId="2CDF077F">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1EFB9A43">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04891C3E">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5F5F22E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88F5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3" w:hRule="exact"/>
          <w:jc w:val="center"/>
        </w:trPr>
        <w:tc>
          <w:tcPr>
            <w:tcW w:w="465" w:type="dxa"/>
            <w:noWrap w:val="0"/>
            <w:vAlign w:val="center"/>
          </w:tcPr>
          <w:p w14:paraId="5B702A32">
            <w:pPr>
              <w:jc w:val="center"/>
              <w:rPr>
                <w:rFonts w:ascii="Times New Roman" w:hAnsi="Times New Roman"/>
                <w:sz w:val="18"/>
                <w:szCs w:val="18"/>
              </w:rPr>
            </w:pPr>
            <w:r>
              <w:rPr>
                <w:rFonts w:ascii="Times New Roman" w:hAnsi="Times New Roman"/>
                <w:sz w:val="18"/>
                <w:szCs w:val="18"/>
              </w:rPr>
              <w:t>15</w:t>
            </w:r>
          </w:p>
        </w:tc>
        <w:tc>
          <w:tcPr>
            <w:tcW w:w="658" w:type="dxa"/>
            <w:vMerge w:val="continue"/>
            <w:noWrap w:val="0"/>
            <w:vAlign w:val="center"/>
          </w:tcPr>
          <w:p w14:paraId="13B4EE03">
            <w:pPr>
              <w:widowControl/>
              <w:spacing w:line="240" w:lineRule="exact"/>
              <w:rPr>
                <w:rFonts w:ascii="Times New Roman" w:hAnsi="Times New Roman" w:eastAsia="方正仿宋_GBK"/>
                <w:kern w:val="0"/>
                <w:sz w:val="18"/>
                <w:szCs w:val="18"/>
              </w:rPr>
            </w:pPr>
          </w:p>
        </w:tc>
        <w:tc>
          <w:tcPr>
            <w:tcW w:w="1388" w:type="dxa"/>
            <w:noWrap w:val="0"/>
            <w:vAlign w:val="center"/>
          </w:tcPr>
          <w:p w14:paraId="0D118143">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阿图什市“冬日暖阳行动”项目</w:t>
            </w:r>
          </w:p>
        </w:tc>
        <w:tc>
          <w:tcPr>
            <w:tcW w:w="6520" w:type="dxa"/>
            <w:noWrap w:val="0"/>
            <w:vAlign w:val="center"/>
          </w:tcPr>
          <w:p w14:paraId="1FE7CAD3">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按照1000元的标准，聚焦全市贫困及弱势群体温暖过冬需求，采购并发放服装礼包、生活物资礼包、取暖物资等</w:t>
            </w:r>
            <w:r>
              <w:rPr>
                <w:rFonts w:hint="eastAsia" w:ascii="Times New Roman" w:hAnsi="Times New Roman" w:eastAsia="方正仿宋_GBK"/>
                <w:sz w:val="18"/>
                <w:szCs w:val="18"/>
              </w:rPr>
              <w:t>。</w:t>
            </w:r>
          </w:p>
        </w:tc>
        <w:tc>
          <w:tcPr>
            <w:tcW w:w="567" w:type="dxa"/>
            <w:noWrap w:val="0"/>
            <w:vAlign w:val="center"/>
          </w:tcPr>
          <w:p w14:paraId="6B2C2698">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12</w:t>
            </w:r>
          </w:p>
        </w:tc>
        <w:tc>
          <w:tcPr>
            <w:tcW w:w="709" w:type="dxa"/>
            <w:noWrap w:val="0"/>
            <w:vAlign w:val="center"/>
          </w:tcPr>
          <w:p w14:paraId="25CF9A3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4A024573">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21763B1C">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40700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285E7172">
            <w:pPr>
              <w:jc w:val="center"/>
              <w:rPr>
                <w:rFonts w:ascii="Times New Roman" w:hAnsi="Times New Roman"/>
                <w:sz w:val="18"/>
                <w:szCs w:val="18"/>
              </w:rPr>
            </w:pPr>
            <w:r>
              <w:rPr>
                <w:rFonts w:ascii="Times New Roman" w:hAnsi="Times New Roman"/>
                <w:sz w:val="18"/>
                <w:szCs w:val="18"/>
              </w:rPr>
              <w:t>16</w:t>
            </w:r>
          </w:p>
        </w:tc>
        <w:tc>
          <w:tcPr>
            <w:tcW w:w="658" w:type="dxa"/>
            <w:vMerge w:val="continue"/>
            <w:noWrap w:val="0"/>
            <w:vAlign w:val="center"/>
          </w:tcPr>
          <w:p w14:paraId="2348B6F9">
            <w:pPr>
              <w:spacing w:line="240" w:lineRule="exact"/>
              <w:rPr>
                <w:rFonts w:ascii="Times New Roman" w:hAnsi="Times New Roman" w:eastAsia="方正仿宋_GBK"/>
                <w:sz w:val="18"/>
                <w:szCs w:val="18"/>
              </w:rPr>
            </w:pPr>
          </w:p>
        </w:tc>
        <w:tc>
          <w:tcPr>
            <w:tcW w:w="1388" w:type="dxa"/>
            <w:noWrap w:val="0"/>
            <w:vAlign w:val="center"/>
          </w:tcPr>
          <w:p w14:paraId="1A99BCF4">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阿图什市“重大疾病曙光救助”项目</w:t>
            </w:r>
          </w:p>
        </w:tc>
        <w:tc>
          <w:tcPr>
            <w:tcW w:w="6520" w:type="dxa"/>
            <w:noWrap w:val="0"/>
            <w:vAlign w:val="center"/>
          </w:tcPr>
          <w:p w14:paraId="54BE309D">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按照每人10万元的标准，对低收入家庭人员当中患有血液、肿瘤等重大疾病患者提供治疗费用补贴，覆盖化疗、放疗、手术等关键环节，缓解患者家庭经济压力</w:t>
            </w:r>
            <w:r>
              <w:rPr>
                <w:rFonts w:hint="eastAsia" w:ascii="Times New Roman" w:hAnsi="Times New Roman" w:eastAsia="方正仿宋_GBK"/>
                <w:sz w:val="18"/>
                <w:szCs w:val="18"/>
              </w:rPr>
              <w:t>。</w:t>
            </w:r>
          </w:p>
        </w:tc>
        <w:tc>
          <w:tcPr>
            <w:tcW w:w="567" w:type="dxa"/>
            <w:noWrap w:val="0"/>
            <w:vAlign w:val="center"/>
          </w:tcPr>
          <w:p w14:paraId="2CE4127B">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12</w:t>
            </w:r>
          </w:p>
        </w:tc>
        <w:tc>
          <w:tcPr>
            <w:tcW w:w="709" w:type="dxa"/>
            <w:noWrap w:val="0"/>
            <w:vAlign w:val="center"/>
          </w:tcPr>
          <w:p w14:paraId="453165F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36AA2E35">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00E412A8">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BA8A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6" w:hRule="exact"/>
          <w:jc w:val="center"/>
        </w:trPr>
        <w:tc>
          <w:tcPr>
            <w:tcW w:w="465" w:type="dxa"/>
            <w:noWrap w:val="0"/>
            <w:vAlign w:val="center"/>
          </w:tcPr>
          <w:p w14:paraId="2843BD8C">
            <w:pPr>
              <w:jc w:val="center"/>
              <w:rPr>
                <w:rFonts w:ascii="Times New Roman" w:hAnsi="Times New Roman"/>
                <w:sz w:val="18"/>
                <w:szCs w:val="18"/>
              </w:rPr>
            </w:pPr>
            <w:r>
              <w:rPr>
                <w:rFonts w:ascii="Times New Roman" w:hAnsi="Times New Roman"/>
                <w:sz w:val="18"/>
                <w:szCs w:val="18"/>
              </w:rPr>
              <w:t>17</w:t>
            </w:r>
          </w:p>
        </w:tc>
        <w:tc>
          <w:tcPr>
            <w:tcW w:w="658" w:type="dxa"/>
            <w:vMerge w:val="continue"/>
            <w:noWrap w:val="0"/>
            <w:vAlign w:val="center"/>
          </w:tcPr>
          <w:p w14:paraId="15F033AF">
            <w:pPr>
              <w:spacing w:line="240" w:lineRule="exact"/>
              <w:rPr>
                <w:rFonts w:ascii="Times New Roman" w:hAnsi="Times New Roman" w:eastAsia="方正仿宋_GBK"/>
                <w:sz w:val="18"/>
                <w:szCs w:val="18"/>
              </w:rPr>
            </w:pPr>
          </w:p>
        </w:tc>
        <w:tc>
          <w:tcPr>
            <w:tcW w:w="1388" w:type="dxa"/>
            <w:noWrap w:val="0"/>
            <w:vAlign w:val="center"/>
          </w:tcPr>
          <w:p w14:paraId="2819669F">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阿图什市“向阳花开—关爱白血病儿童”项目</w:t>
            </w:r>
          </w:p>
        </w:tc>
        <w:tc>
          <w:tcPr>
            <w:tcW w:w="6520" w:type="dxa"/>
            <w:noWrap w:val="0"/>
            <w:vAlign w:val="center"/>
          </w:tcPr>
          <w:p w14:paraId="478B2493">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按照10万元的标准，提供治疗费用补贴，同时，为患儿及家属提供心理疏导服务，定期组织康复知识讲座和文娱活动，帮助他们缓解心理压力，积极面对治疗。</w:t>
            </w:r>
          </w:p>
        </w:tc>
        <w:tc>
          <w:tcPr>
            <w:tcW w:w="567" w:type="dxa"/>
            <w:noWrap w:val="0"/>
            <w:vAlign w:val="center"/>
          </w:tcPr>
          <w:p w14:paraId="5278D717">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12</w:t>
            </w:r>
          </w:p>
        </w:tc>
        <w:tc>
          <w:tcPr>
            <w:tcW w:w="709" w:type="dxa"/>
            <w:noWrap w:val="0"/>
            <w:vAlign w:val="center"/>
          </w:tcPr>
          <w:p w14:paraId="37A9753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090E71CA">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0938E07E">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A4A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8" w:hRule="exact"/>
          <w:jc w:val="center"/>
        </w:trPr>
        <w:tc>
          <w:tcPr>
            <w:tcW w:w="465" w:type="dxa"/>
            <w:noWrap w:val="0"/>
            <w:vAlign w:val="center"/>
          </w:tcPr>
          <w:p w14:paraId="0C8F86C3">
            <w:pPr>
              <w:jc w:val="center"/>
              <w:rPr>
                <w:rFonts w:ascii="Times New Roman" w:hAnsi="Times New Roman"/>
                <w:sz w:val="18"/>
                <w:szCs w:val="18"/>
              </w:rPr>
            </w:pPr>
            <w:r>
              <w:rPr>
                <w:rFonts w:ascii="Times New Roman" w:hAnsi="Times New Roman"/>
                <w:sz w:val="18"/>
                <w:szCs w:val="18"/>
              </w:rPr>
              <w:t>18</w:t>
            </w:r>
          </w:p>
        </w:tc>
        <w:tc>
          <w:tcPr>
            <w:tcW w:w="658" w:type="dxa"/>
            <w:vMerge w:val="continue"/>
            <w:noWrap w:val="0"/>
            <w:vAlign w:val="center"/>
          </w:tcPr>
          <w:p w14:paraId="3218616C">
            <w:pPr>
              <w:spacing w:line="240" w:lineRule="exact"/>
              <w:rPr>
                <w:rFonts w:ascii="Times New Roman" w:hAnsi="Times New Roman" w:eastAsia="方正仿宋_GBK"/>
                <w:sz w:val="18"/>
                <w:szCs w:val="18"/>
              </w:rPr>
            </w:pPr>
          </w:p>
        </w:tc>
        <w:tc>
          <w:tcPr>
            <w:tcW w:w="1388" w:type="dxa"/>
            <w:noWrap w:val="0"/>
            <w:vAlign w:val="center"/>
          </w:tcPr>
          <w:p w14:paraId="63038A22">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阿图什市“轮上新生，助力残障人士出行”项目</w:t>
            </w:r>
          </w:p>
        </w:tc>
        <w:tc>
          <w:tcPr>
            <w:tcW w:w="6520" w:type="dxa"/>
            <w:noWrap w:val="0"/>
            <w:vAlign w:val="center"/>
          </w:tcPr>
          <w:p w14:paraId="1D976A57">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大约50人，按4000元的电动轮椅价格标准，购买电动轮椅，为他们提供高效、便捷的出行工具。</w:t>
            </w:r>
          </w:p>
        </w:tc>
        <w:tc>
          <w:tcPr>
            <w:tcW w:w="567" w:type="dxa"/>
            <w:noWrap w:val="0"/>
            <w:vAlign w:val="center"/>
          </w:tcPr>
          <w:p w14:paraId="5BC33193">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12</w:t>
            </w:r>
          </w:p>
        </w:tc>
        <w:tc>
          <w:tcPr>
            <w:tcW w:w="709" w:type="dxa"/>
            <w:noWrap w:val="0"/>
            <w:vAlign w:val="center"/>
          </w:tcPr>
          <w:p w14:paraId="6E8654E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7AF7708">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34ADFFF4">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1D5B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25" w:hRule="exact"/>
          <w:jc w:val="center"/>
        </w:trPr>
        <w:tc>
          <w:tcPr>
            <w:tcW w:w="465" w:type="dxa"/>
            <w:noWrap w:val="0"/>
            <w:vAlign w:val="center"/>
          </w:tcPr>
          <w:p w14:paraId="004899CC">
            <w:pPr>
              <w:jc w:val="center"/>
              <w:rPr>
                <w:rFonts w:ascii="Times New Roman" w:hAnsi="Times New Roman"/>
                <w:sz w:val="18"/>
                <w:szCs w:val="18"/>
              </w:rPr>
            </w:pPr>
            <w:r>
              <w:rPr>
                <w:rFonts w:ascii="Times New Roman" w:hAnsi="Times New Roman"/>
                <w:sz w:val="18"/>
                <w:szCs w:val="18"/>
              </w:rPr>
              <w:t>19</w:t>
            </w:r>
          </w:p>
        </w:tc>
        <w:tc>
          <w:tcPr>
            <w:tcW w:w="658" w:type="dxa"/>
            <w:vMerge w:val="restart"/>
            <w:noWrap w:val="0"/>
            <w:vAlign w:val="center"/>
          </w:tcPr>
          <w:p w14:paraId="7118AF46">
            <w:pPr>
              <w:widowControl/>
              <w:spacing w:line="240" w:lineRule="exact"/>
              <w:rPr>
                <w:rFonts w:hint="eastAsia" w:ascii="Times New Roman" w:hAnsi="Times New Roman" w:eastAsia="方正仿宋_GBK"/>
                <w:kern w:val="0"/>
                <w:sz w:val="18"/>
                <w:szCs w:val="18"/>
              </w:rPr>
            </w:pPr>
            <w:r>
              <w:rPr>
                <w:rFonts w:ascii="Times New Roman" w:hAnsi="Times New Roman" w:eastAsia="方正仿宋_GBK"/>
                <w:sz w:val="18"/>
                <w:szCs w:val="18"/>
              </w:rPr>
              <w:t>青海省</w:t>
            </w:r>
          </w:p>
        </w:tc>
        <w:tc>
          <w:tcPr>
            <w:tcW w:w="1388" w:type="dxa"/>
            <w:noWrap w:val="0"/>
            <w:vAlign w:val="center"/>
          </w:tcPr>
          <w:p w14:paraId="7D2CBEF9">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海南州职业技术学校学生住宿改善项目</w:t>
            </w:r>
          </w:p>
        </w:tc>
        <w:tc>
          <w:tcPr>
            <w:tcW w:w="6520" w:type="dxa"/>
            <w:noWrap w:val="0"/>
            <w:vAlign w:val="center"/>
          </w:tcPr>
          <w:p w14:paraId="7A59F049">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学生宿舍床桌柜一体床位35套（上下铺，每套住2人）。通过项目建设，逐步推进并改善学生的住宿条件。</w:t>
            </w:r>
          </w:p>
        </w:tc>
        <w:tc>
          <w:tcPr>
            <w:tcW w:w="567" w:type="dxa"/>
            <w:noWrap w:val="0"/>
            <w:vAlign w:val="center"/>
          </w:tcPr>
          <w:p w14:paraId="7FF7F0C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03291B6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0693BC5F">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海南州职业技术学校</w:t>
            </w:r>
          </w:p>
        </w:tc>
        <w:tc>
          <w:tcPr>
            <w:tcW w:w="1231" w:type="dxa"/>
            <w:noWrap w:val="0"/>
            <w:vAlign w:val="center"/>
          </w:tcPr>
          <w:p w14:paraId="73C5CD33">
            <w:pPr>
              <w:spacing w:line="180" w:lineRule="exact"/>
              <w:rPr>
                <w:rFonts w:ascii="Times New Roman" w:hAnsi="Times New Roman" w:eastAsia="方正仿宋_GBK"/>
                <w:sz w:val="18"/>
                <w:szCs w:val="18"/>
              </w:rPr>
            </w:pPr>
            <w:r>
              <w:rPr>
                <w:rFonts w:ascii="Times New Roman" w:hAnsi="Times New Roman" w:eastAsia="方正仿宋_GBK"/>
                <w:sz w:val="18"/>
                <w:szCs w:val="18"/>
              </w:rPr>
              <w:t>青海省公益事业捐赠专用票据（电子）</w:t>
            </w:r>
          </w:p>
        </w:tc>
      </w:tr>
      <w:tr w14:paraId="06A35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3" w:hRule="exact"/>
          <w:jc w:val="center"/>
        </w:trPr>
        <w:tc>
          <w:tcPr>
            <w:tcW w:w="465" w:type="dxa"/>
            <w:noWrap w:val="0"/>
            <w:vAlign w:val="center"/>
          </w:tcPr>
          <w:p w14:paraId="40E73E95">
            <w:pPr>
              <w:jc w:val="center"/>
              <w:rPr>
                <w:rFonts w:ascii="Times New Roman" w:hAnsi="Times New Roman"/>
                <w:sz w:val="18"/>
                <w:szCs w:val="18"/>
              </w:rPr>
            </w:pPr>
            <w:r>
              <w:rPr>
                <w:rFonts w:ascii="Times New Roman" w:hAnsi="Times New Roman"/>
                <w:sz w:val="18"/>
                <w:szCs w:val="18"/>
              </w:rPr>
              <w:t>20</w:t>
            </w:r>
          </w:p>
        </w:tc>
        <w:tc>
          <w:tcPr>
            <w:tcW w:w="658" w:type="dxa"/>
            <w:vMerge w:val="continue"/>
            <w:noWrap w:val="0"/>
            <w:vAlign w:val="center"/>
          </w:tcPr>
          <w:p w14:paraId="02912FE5">
            <w:pPr>
              <w:spacing w:line="240" w:lineRule="exact"/>
              <w:rPr>
                <w:rFonts w:ascii="Times New Roman" w:hAnsi="Times New Roman" w:eastAsia="方正仿宋_GBK"/>
                <w:sz w:val="18"/>
                <w:szCs w:val="18"/>
              </w:rPr>
            </w:pPr>
          </w:p>
        </w:tc>
        <w:tc>
          <w:tcPr>
            <w:tcW w:w="1388" w:type="dxa"/>
            <w:noWrap w:val="0"/>
            <w:vAlign w:val="center"/>
          </w:tcPr>
          <w:p w14:paraId="7A60F8EF">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海南州“茉莉花开”奖学金</w:t>
            </w:r>
          </w:p>
        </w:tc>
        <w:tc>
          <w:tcPr>
            <w:tcW w:w="6520" w:type="dxa"/>
            <w:noWrap w:val="0"/>
            <w:vAlign w:val="center"/>
          </w:tcPr>
          <w:p w14:paraId="62C95626">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2023年11月，在常州市教育发展基金会的大力支持下，海南州高级中学设立了“茉莉花开”奖学金，分两年实施，每年5万元元，用于奖励高一、高二、高三3个年级的优秀学生。奖学金的设置与实施，极大地调动了学生的积极性，也在全校形成了“比学赶超”的良好的学习氛围。2024-2025学年度奖学金颁发后，10万元已经全部用完，特申请第二期的“茉莉花开”奖学金，以便更好地激励优秀学生。每学年5万元，其中高一、高二年级每学年各1.2万元，高三每学年2.6万元。奖学金设置优秀生奖学金和进步生奖学金。各年级按两个学期的期中、期末四次考试计算，每次按3000元发放。高三年级按第一学期的期中、期末，第二学期的3月模考、4月模考计算，每次按6500元发放。年级组根据班级类型、选科类型等综合评定后发放。</w:t>
            </w:r>
          </w:p>
        </w:tc>
        <w:tc>
          <w:tcPr>
            <w:tcW w:w="567" w:type="dxa"/>
            <w:noWrap w:val="0"/>
            <w:vAlign w:val="center"/>
          </w:tcPr>
          <w:p w14:paraId="3EA8E26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36</w:t>
            </w:r>
          </w:p>
        </w:tc>
        <w:tc>
          <w:tcPr>
            <w:tcW w:w="709" w:type="dxa"/>
            <w:noWrap w:val="0"/>
            <w:vAlign w:val="center"/>
          </w:tcPr>
          <w:p w14:paraId="0FB47EEF">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17F78A97">
            <w:pPr>
              <w:spacing w:line="240" w:lineRule="exact"/>
              <w:rPr>
                <w:rFonts w:ascii="Times New Roman" w:hAnsi="Times New Roman" w:eastAsia="方正仿宋_GBK"/>
                <w:sz w:val="18"/>
                <w:szCs w:val="18"/>
              </w:rPr>
            </w:pPr>
            <w:r>
              <w:rPr>
                <w:rFonts w:ascii="Times New Roman" w:hAnsi="Times New Roman" w:eastAsia="方正仿宋_GBK"/>
                <w:sz w:val="18"/>
                <w:szCs w:val="18"/>
              </w:rPr>
              <w:t>海南藏族自治州高级中学</w:t>
            </w:r>
          </w:p>
        </w:tc>
        <w:tc>
          <w:tcPr>
            <w:tcW w:w="1231" w:type="dxa"/>
            <w:noWrap w:val="0"/>
            <w:vAlign w:val="center"/>
          </w:tcPr>
          <w:p w14:paraId="6CF6F74E">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7DD0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99" w:hRule="exact"/>
          <w:jc w:val="center"/>
        </w:trPr>
        <w:tc>
          <w:tcPr>
            <w:tcW w:w="465" w:type="dxa"/>
            <w:noWrap w:val="0"/>
            <w:vAlign w:val="center"/>
          </w:tcPr>
          <w:p w14:paraId="357CD563">
            <w:pPr>
              <w:jc w:val="center"/>
              <w:rPr>
                <w:rFonts w:ascii="Times New Roman" w:hAnsi="Times New Roman"/>
                <w:sz w:val="18"/>
                <w:szCs w:val="18"/>
              </w:rPr>
            </w:pPr>
            <w:r>
              <w:rPr>
                <w:rFonts w:ascii="Times New Roman" w:hAnsi="Times New Roman"/>
                <w:sz w:val="18"/>
                <w:szCs w:val="18"/>
              </w:rPr>
              <w:t>21</w:t>
            </w:r>
          </w:p>
        </w:tc>
        <w:tc>
          <w:tcPr>
            <w:tcW w:w="658" w:type="dxa"/>
            <w:vMerge w:val="restart"/>
            <w:noWrap w:val="0"/>
            <w:vAlign w:val="center"/>
          </w:tcPr>
          <w:p w14:paraId="18938A62">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6D573E44">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西宁市中医院中医药服务能力提升项目</w:t>
            </w:r>
          </w:p>
        </w:tc>
        <w:tc>
          <w:tcPr>
            <w:tcW w:w="6520" w:type="dxa"/>
            <w:noWrap w:val="0"/>
            <w:vAlign w:val="center"/>
          </w:tcPr>
          <w:p w14:paraId="45C42D5E">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西宁市中医院中医药服务能力提升项目（7台煎药机、4台包装机）</w:t>
            </w:r>
            <w:r>
              <w:rPr>
                <w:rFonts w:hint="eastAsia" w:ascii="Times New Roman" w:hAnsi="Times New Roman" w:eastAsia="方正仿宋_GBK"/>
                <w:sz w:val="18"/>
                <w:szCs w:val="18"/>
              </w:rPr>
              <w:t>。</w:t>
            </w:r>
            <w:r>
              <w:rPr>
                <w:rFonts w:ascii="Times New Roman" w:hAnsi="Times New Roman" w:eastAsia="方正仿宋_GBK"/>
                <w:sz w:val="18"/>
                <w:szCs w:val="18"/>
              </w:rPr>
              <w:t>效率方面，煎药机能提高煎煮效率，节省时间，尤其是批量处理时。煎药机能精确温度和时间控制，确保每剂药的煎煮标准一致，避免人为因素导致的质量差异。</w:t>
            </w:r>
            <w:r>
              <w:rPr>
                <w:rFonts w:ascii="Times New Roman" w:hAnsi="Times New Roman" w:eastAsia="方正仿宋_GBK"/>
                <w:sz w:val="18"/>
                <w:szCs w:val="18"/>
              </w:rPr>
              <w:br w:type="textWrapping"/>
            </w:r>
            <w:r>
              <w:rPr>
                <w:rFonts w:ascii="Times New Roman" w:hAnsi="Times New Roman" w:eastAsia="方正仿宋_GBK"/>
                <w:sz w:val="18"/>
                <w:szCs w:val="18"/>
              </w:rPr>
              <w:t>患者体验方面，煎药机支持袋装密封，方便携带和保存，特别是对于上班族或外地患者，减少煎药的麻烦。另外，煎煮过程更卫生，减少污染风险，提升患者对中药的信任度。管理成本方面，优化资源配置，减少人工成本，同时便于记录和追溯，符合现代医院管理的规范化要求。</w:t>
            </w:r>
          </w:p>
        </w:tc>
        <w:tc>
          <w:tcPr>
            <w:tcW w:w="567" w:type="dxa"/>
            <w:noWrap w:val="0"/>
            <w:vAlign w:val="center"/>
          </w:tcPr>
          <w:p w14:paraId="33D95CF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7C0CF0F3">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29</w:t>
            </w:r>
          </w:p>
        </w:tc>
        <w:tc>
          <w:tcPr>
            <w:tcW w:w="1134" w:type="dxa"/>
            <w:noWrap w:val="0"/>
            <w:vAlign w:val="center"/>
          </w:tcPr>
          <w:p w14:paraId="1619903F">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西宁市中医院</w:t>
            </w:r>
          </w:p>
        </w:tc>
        <w:tc>
          <w:tcPr>
            <w:tcW w:w="1231" w:type="dxa"/>
            <w:noWrap w:val="0"/>
            <w:vAlign w:val="center"/>
          </w:tcPr>
          <w:p w14:paraId="72F131C5">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公益事业捐赠统一票据/行政事业单位资金往来结算票据</w:t>
            </w:r>
          </w:p>
        </w:tc>
      </w:tr>
      <w:tr w14:paraId="59D76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429D3B98">
            <w:pPr>
              <w:jc w:val="center"/>
              <w:rPr>
                <w:rFonts w:ascii="Times New Roman" w:hAnsi="Times New Roman"/>
                <w:sz w:val="18"/>
                <w:szCs w:val="18"/>
              </w:rPr>
            </w:pPr>
            <w:r>
              <w:rPr>
                <w:rFonts w:ascii="Times New Roman" w:hAnsi="Times New Roman"/>
                <w:sz w:val="18"/>
                <w:szCs w:val="18"/>
              </w:rPr>
              <w:t>22</w:t>
            </w:r>
          </w:p>
        </w:tc>
        <w:tc>
          <w:tcPr>
            <w:tcW w:w="658" w:type="dxa"/>
            <w:vMerge w:val="continue"/>
            <w:noWrap w:val="0"/>
            <w:vAlign w:val="center"/>
          </w:tcPr>
          <w:p w14:paraId="2354EE9A">
            <w:pPr>
              <w:spacing w:line="240" w:lineRule="exact"/>
              <w:rPr>
                <w:rFonts w:ascii="Times New Roman" w:hAnsi="Times New Roman" w:eastAsia="方正仿宋_GBK"/>
                <w:sz w:val="18"/>
                <w:szCs w:val="18"/>
              </w:rPr>
            </w:pPr>
          </w:p>
        </w:tc>
        <w:tc>
          <w:tcPr>
            <w:tcW w:w="1388" w:type="dxa"/>
            <w:noWrap w:val="0"/>
            <w:vAlign w:val="center"/>
          </w:tcPr>
          <w:p w14:paraId="1A0EE6EC">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海东市民和县李二堡镇中心学校浴室改造项目</w:t>
            </w:r>
          </w:p>
        </w:tc>
        <w:tc>
          <w:tcPr>
            <w:tcW w:w="6520" w:type="dxa"/>
            <w:noWrap w:val="0"/>
            <w:vAlign w:val="center"/>
          </w:tcPr>
          <w:p w14:paraId="5FA1E31C">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购置大功率速热电热水器10台及并网用电缆、开关等设备。</w:t>
            </w:r>
          </w:p>
        </w:tc>
        <w:tc>
          <w:tcPr>
            <w:tcW w:w="567" w:type="dxa"/>
            <w:noWrap w:val="0"/>
            <w:vAlign w:val="center"/>
          </w:tcPr>
          <w:p w14:paraId="229BEB8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8</w:t>
            </w:r>
          </w:p>
        </w:tc>
        <w:tc>
          <w:tcPr>
            <w:tcW w:w="709" w:type="dxa"/>
            <w:noWrap w:val="0"/>
            <w:vAlign w:val="center"/>
          </w:tcPr>
          <w:p w14:paraId="0C8C669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75E15961">
            <w:pPr>
              <w:spacing w:line="240" w:lineRule="exact"/>
              <w:rPr>
                <w:rFonts w:ascii="Times New Roman" w:hAnsi="Times New Roman" w:eastAsia="方正仿宋_GBK"/>
                <w:sz w:val="18"/>
                <w:szCs w:val="18"/>
              </w:rPr>
            </w:pPr>
            <w:r>
              <w:rPr>
                <w:rFonts w:ascii="Times New Roman" w:hAnsi="Times New Roman" w:eastAsia="方正仿宋_GBK"/>
                <w:sz w:val="18"/>
                <w:szCs w:val="18"/>
              </w:rPr>
              <w:t>民和县李二堡镇中心学校</w:t>
            </w:r>
          </w:p>
        </w:tc>
        <w:tc>
          <w:tcPr>
            <w:tcW w:w="1231" w:type="dxa"/>
            <w:noWrap w:val="0"/>
            <w:vAlign w:val="center"/>
          </w:tcPr>
          <w:p w14:paraId="36A6FF7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3F22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20" w:hRule="exact"/>
          <w:jc w:val="center"/>
        </w:trPr>
        <w:tc>
          <w:tcPr>
            <w:tcW w:w="465" w:type="dxa"/>
            <w:noWrap w:val="0"/>
            <w:vAlign w:val="center"/>
          </w:tcPr>
          <w:p w14:paraId="7E29D59C">
            <w:pPr>
              <w:jc w:val="center"/>
              <w:rPr>
                <w:rFonts w:ascii="Times New Roman" w:hAnsi="Times New Roman"/>
                <w:sz w:val="18"/>
                <w:szCs w:val="18"/>
              </w:rPr>
            </w:pPr>
            <w:r>
              <w:rPr>
                <w:rFonts w:ascii="Times New Roman" w:hAnsi="Times New Roman"/>
                <w:sz w:val="18"/>
                <w:szCs w:val="18"/>
              </w:rPr>
              <w:t>23</w:t>
            </w:r>
          </w:p>
        </w:tc>
        <w:tc>
          <w:tcPr>
            <w:tcW w:w="658" w:type="dxa"/>
            <w:vMerge w:val="continue"/>
            <w:noWrap w:val="0"/>
            <w:vAlign w:val="center"/>
          </w:tcPr>
          <w:p w14:paraId="5A2E7E8E">
            <w:pPr>
              <w:spacing w:line="240" w:lineRule="exact"/>
              <w:rPr>
                <w:rFonts w:ascii="Times New Roman" w:hAnsi="Times New Roman" w:eastAsia="方正仿宋_GBK"/>
                <w:sz w:val="18"/>
                <w:szCs w:val="18"/>
              </w:rPr>
            </w:pPr>
          </w:p>
        </w:tc>
        <w:tc>
          <w:tcPr>
            <w:tcW w:w="1388" w:type="dxa"/>
            <w:noWrap w:val="0"/>
            <w:vAlign w:val="center"/>
          </w:tcPr>
          <w:p w14:paraId="38BC6B65">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西宁市湟中区大才回族乡下白崖小学食堂改造</w:t>
            </w:r>
          </w:p>
        </w:tc>
        <w:tc>
          <w:tcPr>
            <w:tcW w:w="6520" w:type="dxa"/>
            <w:noWrap w:val="0"/>
            <w:vAlign w:val="center"/>
          </w:tcPr>
          <w:p w14:paraId="44445C37">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学校无食堂，部分学生午饭由学生家长送，大多数靠课发营养食品，现因停止供应牛奶和水果等课间配餐，学生无法就餐，为解决学生中午就餐困难的现状，现决定将教学楼一楼会议室加两个卫生间改造为简易食堂。改建内容包括上下水改造，墙面贴瓷砖、吊顶、各种操作间铝合金隔断、电路改造、设备购置压面机1台、和面机1台、蒸箱、六门冰柜，合计资金15万元。改造完成后能满足369名学生和27名教师就餐，让学生享受国家补助，吃上一顿热餐，感受国家的关爱。</w:t>
            </w:r>
          </w:p>
        </w:tc>
        <w:tc>
          <w:tcPr>
            <w:tcW w:w="567" w:type="dxa"/>
            <w:noWrap w:val="0"/>
            <w:vAlign w:val="center"/>
          </w:tcPr>
          <w:p w14:paraId="6C0472F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17E12EA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33C90468">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青海省西宁市湟中区大才回族乡中心学校</w:t>
            </w:r>
          </w:p>
        </w:tc>
        <w:tc>
          <w:tcPr>
            <w:tcW w:w="1231" w:type="dxa"/>
            <w:noWrap w:val="0"/>
            <w:vAlign w:val="center"/>
          </w:tcPr>
          <w:p w14:paraId="2378BAAF">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43878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2" w:hRule="exact"/>
          <w:jc w:val="center"/>
        </w:trPr>
        <w:tc>
          <w:tcPr>
            <w:tcW w:w="465" w:type="dxa"/>
            <w:noWrap w:val="0"/>
            <w:vAlign w:val="center"/>
          </w:tcPr>
          <w:p w14:paraId="584BB5A8">
            <w:pPr>
              <w:jc w:val="center"/>
              <w:rPr>
                <w:rFonts w:ascii="Times New Roman" w:hAnsi="Times New Roman"/>
                <w:sz w:val="18"/>
                <w:szCs w:val="18"/>
              </w:rPr>
            </w:pPr>
            <w:r>
              <w:rPr>
                <w:rFonts w:ascii="Times New Roman" w:hAnsi="Times New Roman"/>
                <w:sz w:val="18"/>
                <w:szCs w:val="18"/>
              </w:rPr>
              <w:t>24</w:t>
            </w:r>
          </w:p>
        </w:tc>
        <w:tc>
          <w:tcPr>
            <w:tcW w:w="658" w:type="dxa"/>
            <w:vMerge w:val="continue"/>
            <w:noWrap w:val="0"/>
            <w:vAlign w:val="center"/>
          </w:tcPr>
          <w:p w14:paraId="4A27317A">
            <w:pPr>
              <w:spacing w:line="240" w:lineRule="exact"/>
              <w:rPr>
                <w:rFonts w:ascii="Times New Roman" w:hAnsi="Times New Roman" w:eastAsia="方正仿宋_GBK"/>
                <w:sz w:val="18"/>
                <w:szCs w:val="18"/>
              </w:rPr>
            </w:pPr>
          </w:p>
        </w:tc>
        <w:tc>
          <w:tcPr>
            <w:tcW w:w="1388" w:type="dxa"/>
            <w:noWrap w:val="0"/>
            <w:vAlign w:val="center"/>
          </w:tcPr>
          <w:p w14:paraId="272D16D6">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海南州兴海县敬老院维修项目</w:t>
            </w:r>
          </w:p>
        </w:tc>
        <w:tc>
          <w:tcPr>
            <w:tcW w:w="6520" w:type="dxa"/>
            <w:noWrap w:val="0"/>
            <w:vAlign w:val="center"/>
          </w:tcPr>
          <w:p w14:paraId="631B0A9C">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西侧二楼电路改造、墙体抹灰粉刷，平房、封闭维修、花池瓷砖修复等。</w:t>
            </w:r>
          </w:p>
        </w:tc>
        <w:tc>
          <w:tcPr>
            <w:tcW w:w="567" w:type="dxa"/>
            <w:noWrap w:val="0"/>
            <w:vAlign w:val="center"/>
          </w:tcPr>
          <w:p w14:paraId="21EFCF49">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02A207D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18056F86">
            <w:pPr>
              <w:spacing w:line="240" w:lineRule="exact"/>
              <w:rPr>
                <w:rFonts w:ascii="Times New Roman" w:hAnsi="Times New Roman" w:eastAsia="方正仿宋_GBK"/>
                <w:sz w:val="18"/>
                <w:szCs w:val="18"/>
              </w:rPr>
            </w:pPr>
            <w:r>
              <w:rPr>
                <w:rFonts w:ascii="Times New Roman" w:hAnsi="Times New Roman" w:eastAsia="方正仿宋_GBK"/>
                <w:sz w:val="18"/>
                <w:szCs w:val="18"/>
              </w:rPr>
              <w:t>兴海县民政局</w:t>
            </w:r>
          </w:p>
        </w:tc>
        <w:tc>
          <w:tcPr>
            <w:tcW w:w="1231" w:type="dxa"/>
            <w:noWrap w:val="0"/>
            <w:vAlign w:val="center"/>
          </w:tcPr>
          <w:p w14:paraId="4F9A74EF">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29262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0" w:hRule="exact"/>
          <w:jc w:val="center"/>
        </w:trPr>
        <w:tc>
          <w:tcPr>
            <w:tcW w:w="465" w:type="dxa"/>
            <w:noWrap w:val="0"/>
            <w:vAlign w:val="center"/>
          </w:tcPr>
          <w:p w14:paraId="2D45B8A5">
            <w:pPr>
              <w:jc w:val="center"/>
              <w:rPr>
                <w:rFonts w:ascii="Times New Roman" w:hAnsi="Times New Roman"/>
                <w:sz w:val="18"/>
                <w:szCs w:val="18"/>
              </w:rPr>
            </w:pPr>
            <w:r>
              <w:rPr>
                <w:rFonts w:ascii="Times New Roman" w:hAnsi="Times New Roman"/>
                <w:sz w:val="18"/>
                <w:szCs w:val="18"/>
              </w:rPr>
              <w:t>25</w:t>
            </w:r>
          </w:p>
        </w:tc>
        <w:tc>
          <w:tcPr>
            <w:tcW w:w="658" w:type="dxa"/>
            <w:vMerge w:val="continue"/>
            <w:noWrap w:val="0"/>
            <w:vAlign w:val="center"/>
          </w:tcPr>
          <w:p w14:paraId="55AF4746">
            <w:pPr>
              <w:spacing w:line="240" w:lineRule="exact"/>
              <w:rPr>
                <w:rFonts w:ascii="Times New Roman" w:hAnsi="Times New Roman" w:eastAsia="方正仿宋_GBK"/>
                <w:sz w:val="18"/>
                <w:szCs w:val="18"/>
              </w:rPr>
            </w:pPr>
          </w:p>
        </w:tc>
        <w:tc>
          <w:tcPr>
            <w:tcW w:w="1388" w:type="dxa"/>
            <w:noWrap w:val="0"/>
            <w:vAlign w:val="center"/>
          </w:tcPr>
          <w:p w14:paraId="6BC53600">
            <w:pPr>
              <w:spacing w:line="240" w:lineRule="exact"/>
              <w:rPr>
                <w:rFonts w:hint="eastAsia" w:ascii="Times New Roman" w:hAnsi="Times New Roman" w:eastAsia="方正仿宋_GBK"/>
                <w:sz w:val="18"/>
                <w:szCs w:val="18"/>
              </w:rPr>
            </w:pPr>
            <w:r>
              <w:rPr>
                <w:rFonts w:ascii="Times New Roman" w:hAnsi="Times New Roman" w:eastAsia="方正仿宋_GBK"/>
                <w:sz w:val="18"/>
                <w:szCs w:val="18"/>
              </w:rPr>
              <w:t>海南州兴海县曲什安中心卫生院抢救室设备采购</w:t>
            </w:r>
          </w:p>
        </w:tc>
        <w:tc>
          <w:tcPr>
            <w:tcW w:w="6520" w:type="dxa"/>
            <w:noWrap w:val="0"/>
            <w:vAlign w:val="center"/>
          </w:tcPr>
          <w:p w14:paraId="152C7FAA">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拟采购兴海县曲什安中心卫生院心电监护仪1台、除颤仪1台。</w:t>
            </w:r>
          </w:p>
        </w:tc>
        <w:tc>
          <w:tcPr>
            <w:tcW w:w="567" w:type="dxa"/>
            <w:noWrap w:val="0"/>
            <w:vAlign w:val="center"/>
          </w:tcPr>
          <w:p w14:paraId="351FC8D3">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4ABD7AD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40C3E0A6">
            <w:pPr>
              <w:spacing w:line="240" w:lineRule="exact"/>
              <w:rPr>
                <w:rFonts w:ascii="Times New Roman" w:hAnsi="Times New Roman" w:eastAsia="方正仿宋_GBK"/>
                <w:sz w:val="18"/>
                <w:szCs w:val="18"/>
              </w:rPr>
            </w:pPr>
            <w:r>
              <w:rPr>
                <w:rFonts w:ascii="Times New Roman" w:hAnsi="Times New Roman" w:eastAsia="方正仿宋_GBK"/>
                <w:sz w:val="18"/>
                <w:szCs w:val="18"/>
              </w:rPr>
              <w:t>兴海县曲什安中心卫生院</w:t>
            </w:r>
          </w:p>
        </w:tc>
        <w:tc>
          <w:tcPr>
            <w:tcW w:w="1231" w:type="dxa"/>
            <w:noWrap w:val="0"/>
            <w:vAlign w:val="center"/>
          </w:tcPr>
          <w:p w14:paraId="6554049F">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9D72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320E2597">
            <w:pPr>
              <w:jc w:val="center"/>
              <w:rPr>
                <w:rFonts w:ascii="Times New Roman" w:hAnsi="Times New Roman"/>
                <w:sz w:val="18"/>
                <w:szCs w:val="18"/>
              </w:rPr>
            </w:pPr>
            <w:r>
              <w:rPr>
                <w:rFonts w:ascii="Times New Roman" w:hAnsi="Times New Roman"/>
                <w:sz w:val="18"/>
                <w:szCs w:val="18"/>
              </w:rPr>
              <w:t>26</w:t>
            </w:r>
          </w:p>
        </w:tc>
        <w:tc>
          <w:tcPr>
            <w:tcW w:w="658" w:type="dxa"/>
            <w:vMerge w:val="continue"/>
            <w:noWrap w:val="0"/>
            <w:vAlign w:val="center"/>
          </w:tcPr>
          <w:p w14:paraId="20A5B112">
            <w:pPr>
              <w:spacing w:line="240" w:lineRule="exact"/>
              <w:rPr>
                <w:rFonts w:ascii="Times New Roman" w:hAnsi="Times New Roman" w:eastAsia="方正仿宋_GBK"/>
                <w:sz w:val="18"/>
                <w:szCs w:val="18"/>
              </w:rPr>
            </w:pPr>
          </w:p>
        </w:tc>
        <w:tc>
          <w:tcPr>
            <w:tcW w:w="1388" w:type="dxa"/>
            <w:noWrap w:val="0"/>
            <w:vAlign w:val="center"/>
          </w:tcPr>
          <w:p w14:paraId="3F99ED58">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海南州贵德县困境儿童学习环境提升改造</w:t>
            </w:r>
          </w:p>
        </w:tc>
        <w:tc>
          <w:tcPr>
            <w:tcW w:w="6520" w:type="dxa"/>
            <w:noWrap w:val="0"/>
            <w:vAlign w:val="center"/>
          </w:tcPr>
          <w:p w14:paraId="72B0EDA9">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重点为困境儿童家庭（6-8户）改造独立学习空间，实施地面、墙面、顶面改造，营造温暖、整洁、明亮、安全的学习环境，配备书桌、台灯、衣柜等基本学习及生活用品。</w:t>
            </w:r>
          </w:p>
        </w:tc>
        <w:tc>
          <w:tcPr>
            <w:tcW w:w="567" w:type="dxa"/>
            <w:noWrap w:val="0"/>
            <w:vAlign w:val="center"/>
          </w:tcPr>
          <w:p w14:paraId="5452101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7DBD1DF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719FA968">
            <w:pPr>
              <w:spacing w:line="240" w:lineRule="exact"/>
              <w:rPr>
                <w:rFonts w:ascii="Times New Roman" w:hAnsi="Times New Roman" w:eastAsia="方正仿宋_GBK"/>
                <w:sz w:val="18"/>
                <w:szCs w:val="18"/>
              </w:rPr>
            </w:pPr>
            <w:r>
              <w:rPr>
                <w:rFonts w:ascii="Times New Roman" w:hAnsi="Times New Roman" w:eastAsia="方正仿宋_GBK"/>
                <w:sz w:val="18"/>
                <w:szCs w:val="18"/>
              </w:rPr>
              <w:t>共青团贵德县委员会</w:t>
            </w:r>
          </w:p>
        </w:tc>
        <w:tc>
          <w:tcPr>
            <w:tcW w:w="1231" w:type="dxa"/>
            <w:noWrap w:val="0"/>
            <w:vAlign w:val="center"/>
          </w:tcPr>
          <w:p w14:paraId="4F383E0C">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666A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54CB7DDB">
            <w:pPr>
              <w:jc w:val="center"/>
              <w:rPr>
                <w:rFonts w:ascii="Times New Roman" w:hAnsi="Times New Roman"/>
                <w:sz w:val="18"/>
                <w:szCs w:val="18"/>
              </w:rPr>
            </w:pPr>
            <w:r>
              <w:rPr>
                <w:rFonts w:ascii="Times New Roman" w:hAnsi="Times New Roman"/>
                <w:sz w:val="18"/>
                <w:szCs w:val="18"/>
              </w:rPr>
              <w:t>27</w:t>
            </w:r>
          </w:p>
        </w:tc>
        <w:tc>
          <w:tcPr>
            <w:tcW w:w="658" w:type="dxa"/>
            <w:vMerge w:val="continue"/>
            <w:noWrap w:val="0"/>
            <w:vAlign w:val="center"/>
          </w:tcPr>
          <w:p w14:paraId="1B9F91AA">
            <w:pPr>
              <w:spacing w:line="240" w:lineRule="exact"/>
              <w:rPr>
                <w:rFonts w:ascii="Times New Roman" w:hAnsi="Times New Roman" w:eastAsia="方正仿宋_GBK"/>
                <w:sz w:val="18"/>
                <w:szCs w:val="18"/>
              </w:rPr>
            </w:pPr>
          </w:p>
        </w:tc>
        <w:tc>
          <w:tcPr>
            <w:tcW w:w="1388" w:type="dxa"/>
            <w:noWrap w:val="0"/>
            <w:vAlign w:val="center"/>
          </w:tcPr>
          <w:p w14:paraId="0AF04AAF">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海南州贵南县中学学生食堂设备购置</w:t>
            </w:r>
          </w:p>
        </w:tc>
        <w:tc>
          <w:tcPr>
            <w:tcW w:w="6520" w:type="dxa"/>
            <w:noWrap w:val="0"/>
            <w:vAlign w:val="center"/>
          </w:tcPr>
          <w:p w14:paraId="46CB6CBD">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为贵南县中学学生食堂购置餐具清洗消毒设备及其附属设施，提升学生就餐卫生</w:t>
            </w:r>
            <w:r>
              <w:rPr>
                <w:rFonts w:hint="eastAsia" w:ascii="Times New Roman" w:hAnsi="Times New Roman" w:eastAsia="方正仿宋_GBK"/>
                <w:sz w:val="18"/>
                <w:szCs w:val="18"/>
              </w:rPr>
              <w:t>条件</w:t>
            </w:r>
            <w:r>
              <w:rPr>
                <w:rFonts w:ascii="Times New Roman" w:hAnsi="Times New Roman" w:eastAsia="方正仿宋_GBK"/>
                <w:sz w:val="18"/>
                <w:szCs w:val="18"/>
              </w:rPr>
              <w:t>。</w:t>
            </w:r>
          </w:p>
        </w:tc>
        <w:tc>
          <w:tcPr>
            <w:tcW w:w="567" w:type="dxa"/>
            <w:noWrap w:val="0"/>
            <w:vAlign w:val="center"/>
          </w:tcPr>
          <w:p w14:paraId="6C7F4E5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29FBD2D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68B1E9D2">
            <w:pPr>
              <w:spacing w:line="180" w:lineRule="exact"/>
              <w:rPr>
                <w:rFonts w:ascii="Times New Roman" w:hAnsi="Times New Roman" w:eastAsia="方正仿宋_GBK"/>
                <w:sz w:val="18"/>
                <w:szCs w:val="18"/>
              </w:rPr>
            </w:pPr>
            <w:r>
              <w:rPr>
                <w:rFonts w:ascii="Times New Roman" w:hAnsi="Times New Roman" w:eastAsia="方正仿宋_GBK"/>
                <w:sz w:val="18"/>
                <w:szCs w:val="18"/>
              </w:rPr>
              <w:t>贵南县人民政府（贵南县教育局）</w:t>
            </w:r>
          </w:p>
        </w:tc>
        <w:tc>
          <w:tcPr>
            <w:tcW w:w="1231" w:type="dxa"/>
            <w:noWrap w:val="0"/>
            <w:vAlign w:val="center"/>
          </w:tcPr>
          <w:p w14:paraId="63F394BD">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DADD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465" w:type="dxa"/>
            <w:noWrap w:val="0"/>
            <w:vAlign w:val="center"/>
          </w:tcPr>
          <w:p w14:paraId="47DBE217">
            <w:pPr>
              <w:jc w:val="center"/>
              <w:rPr>
                <w:rFonts w:ascii="Times New Roman" w:hAnsi="Times New Roman"/>
                <w:sz w:val="18"/>
                <w:szCs w:val="18"/>
              </w:rPr>
            </w:pPr>
            <w:r>
              <w:rPr>
                <w:rFonts w:ascii="Times New Roman" w:hAnsi="Times New Roman"/>
                <w:sz w:val="18"/>
                <w:szCs w:val="18"/>
              </w:rPr>
              <w:t>28</w:t>
            </w:r>
          </w:p>
        </w:tc>
        <w:tc>
          <w:tcPr>
            <w:tcW w:w="658" w:type="dxa"/>
            <w:vMerge w:val="continue"/>
            <w:noWrap w:val="0"/>
            <w:vAlign w:val="center"/>
          </w:tcPr>
          <w:p w14:paraId="00FE972F">
            <w:pPr>
              <w:spacing w:line="240" w:lineRule="exact"/>
              <w:rPr>
                <w:rFonts w:ascii="Times New Roman" w:hAnsi="Times New Roman" w:eastAsia="方正仿宋_GBK"/>
                <w:sz w:val="18"/>
                <w:szCs w:val="18"/>
              </w:rPr>
            </w:pPr>
          </w:p>
        </w:tc>
        <w:tc>
          <w:tcPr>
            <w:tcW w:w="1388" w:type="dxa"/>
            <w:noWrap w:val="0"/>
            <w:vAlign w:val="center"/>
          </w:tcPr>
          <w:p w14:paraId="47E2F39C">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海南州贵南县学生课桌椅购置</w:t>
            </w:r>
          </w:p>
        </w:tc>
        <w:tc>
          <w:tcPr>
            <w:tcW w:w="6520" w:type="dxa"/>
            <w:noWrap w:val="0"/>
            <w:vAlign w:val="center"/>
          </w:tcPr>
          <w:p w14:paraId="2ED4B752">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为贵南县部分中小学购置课桌椅，提升学生学习环境。</w:t>
            </w:r>
          </w:p>
        </w:tc>
        <w:tc>
          <w:tcPr>
            <w:tcW w:w="567" w:type="dxa"/>
            <w:noWrap w:val="0"/>
            <w:vAlign w:val="center"/>
          </w:tcPr>
          <w:p w14:paraId="0AF1DFD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6D5D117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35F07958">
            <w:pPr>
              <w:spacing w:line="180" w:lineRule="exact"/>
              <w:rPr>
                <w:rFonts w:ascii="Times New Roman" w:hAnsi="Times New Roman" w:eastAsia="方正仿宋_GBK"/>
                <w:sz w:val="18"/>
                <w:szCs w:val="18"/>
              </w:rPr>
            </w:pPr>
            <w:r>
              <w:rPr>
                <w:rFonts w:ascii="Times New Roman" w:hAnsi="Times New Roman" w:eastAsia="方正仿宋_GBK"/>
                <w:sz w:val="18"/>
                <w:szCs w:val="18"/>
              </w:rPr>
              <w:t>贵南县人民政府（贵南县教育局）</w:t>
            </w:r>
          </w:p>
        </w:tc>
        <w:tc>
          <w:tcPr>
            <w:tcW w:w="1231" w:type="dxa"/>
            <w:noWrap w:val="0"/>
            <w:vAlign w:val="center"/>
          </w:tcPr>
          <w:p w14:paraId="40BAA2B3">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D57F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5" w:hRule="exact"/>
          <w:jc w:val="center"/>
        </w:trPr>
        <w:tc>
          <w:tcPr>
            <w:tcW w:w="465" w:type="dxa"/>
            <w:noWrap w:val="0"/>
            <w:vAlign w:val="center"/>
          </w:tcPr>
          <w:p w14:paraId="46652E5C">
            <w:pPr>
              <w:jc w:val="center"/>
              <w:rPr>
                <w:rFonts w:ascii="Times New Roman" w:hAnsi="Times New Roman"/>
                <w:sz w:val="18"/>
                <w:szCs w:val="18"/>
              </w:rPr>
            </w:pPr>
            <w:r>
              <w:rPr>
                <w:rFonts w:ascii="Times New Roman" w:hAnsi="Times New Roman"/>
                <w:sz w:val="18"/>
                <w:szCs w:val="18"/>
              </w:rPr>
              <w:t>29</w:t>
            </w:r>
          </w:p>
        </w:tc>
        <w:tc>
          <w:tcPr>
            <w:tcW w:w="658" w:type="dxa"/>
            <w:vMerge w:val="continue"/>
            <w:noWrap w:val="0"/>
            <w:vAlign w:val="center"/>
          </w:tcPr>
          <w:p w14:paraId="33CAFA9C">
            <w:pPr>
              <w:spacing w:line="240" w:lineRule="exact"/>
              <w:rPr>
                <w:rFonts w:ascii="Times New Roman" w:hAnsi="Times New Roman" w:eastAsia="方正仿宋_GBK"/>
                <w:sz w:val="18"/>
                <w:szCs w:val="18"/>
              </w:rPr>
            </w:pPr>
          </w:p>
        </w:tc>
        <w:tc>
          <w:tcPr>
            <w:tcW w:w="1388" w:type="dxa"/>
            <w:noWrap w:val="0"/>
            <w:vAlign w:val="center"/>
          </w:tcPr>
          <w:p w14:paraId="3CA52E9B">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海南州同德县学生资助及奖学金</w:t>
            </w:r>
          </w:p>
        </w:tc>
        <w:tc>
          <w:tcPr>
            <w:tcW w:w="6520" w:type="dxa"/>
            <w:noWrap w:val="0"/>
            <w:vAlign w:val="center"/>
          </w:tcPr>
          <w:p w14:paraId="6F2CAAFA">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重点贫困生资助和成绩优异及进步奖学金</w:t>
            </w:r>
            <w:r>
              <w:rPr>
                <w:rFonts w:hint="eastAsia" w:ascii="Times New Roman" w:hAnsi="Times New Roman" w:eastAsia="方正仿宋_GBK"/>
                <w:sz w:val="18"/>
                <w:szCs w:val="18"/>
              </w:rPr>
              <w:t>。</w:t>
            </w:r>
          </w:p>
        </w:tc>
        <w:tc>
          <w:tcPr>
            <w:tcW w:w="567" w:type="dxa"/>
            <w:noWrap w:val="0"/>
            <w:vAlign w:val="center"/>
          </w:tcPr>
          <w:p w14:paraId="1617F60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3B0C30D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6DDBC6A8">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海南州第五民族高级中学</w:t>
            </w:r>
          </w:p>
        </w:tc>
        <w:tc>
          <w:tcPr>
            <w:tcW w:w="1231" w:type="dxa"/>
            <w:noWrap w:val="0"/>
            <w:vAlign w:val="center"/>
          </w:tcPr>
          <w:p w14:paraId="2D04596F">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26F0A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1" w:hRule="exact"/>
          <w:jc w:val="center"/>
        </w:trPr>
        <w:tc>
          <w:tcPr>
            <w:tcW w:w="465" w:type="dxa"/>
            <w:noWrap w:val="0"/>
            <w:vAlign w:val="center"/>
          </w:tcPr>
          <w:p w14:paraId="3EEF0EA8">
            <w:pPr>
              <w:jc w:val="center"/>
              <w:rPr>
                <w:rFonts w:ascii="Times New Roman" w:hAnsi="Times New Roman"/>
                <w:sz w:val="18"/>
                <w:szCs w:val="18"/>
              </w:rPr>
            </w:pPr>
            <w:r>
              <w:rPr>
                <w:rFonts w:ascii="Times New Roman" w:hAnsi="Times New Roman"/>
                <w:sz w:val="18"/>
                <w:szCs w:val="18"/>
              </w:rPr>
              <w:t>30</w:t>
            </w:r>
          </w:p>
        </w:tc>
        <w:tc>
          <w:tcPr>
            <w:tcW w:w="658" w:type="dxa"/>
            <w:vMerge w:val="restart"/>
            <w:noWrap w:val="0"/>
            <w:vAlign w:val="center"/>
          </w:tcPr>
          <w:p w14:paraId="4657C6EB">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477428C1">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海南州共和县沙珠玉乡民族寄宿制小学电路改造项目</w:t>
            </w:r>
          </w:p>
        </w:tc>
        <w:tc>
          <w:tcPr>
            <w:tcW w:w="6520" w:type="dxa"/>
            <w:noWrap w:val="0"/>
            <w:vAlign w:val="center"/>
          </w:tcPr>
          <w:p w14:paraId="61E5E814">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校园电路改造150米</w:t>
            </w:r>
            <w:r>
              <w:rPr>
                <w:rFonts w:hint="eastAsia" w:ascii="Times New Roman" w:hAnsi="Times New Roman" w:eastAsia="方正仿宋_GBK"/>
                <w:sz w:val="18"/>
                <w:szCs w:val="18"/>
              </w:rPr>
              <w:t>。</w:t>
            </w:r>
          </w:p>
        </w:tc>
        <w:tc>
          <w:tcPr>
            <w:tcW w:w="567" w:type="dxa"/>
            <w:noWrap w:val="0"/>
            <w:vAlign w:val="center"/>
          </w:tcPr>
          <w:p w14:paraId="0FE05FC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644A0D9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70E57290">
            <w:pPr>
              <w:spacing w:line="240" w:lineRule="exact"/>
              <w:rPr>
                <w:rFonts w:ascii="Times New Roman" w:hAnsi="Times New Roman" w:eastAsia="方正仿宋_GBK"/>
                <w:sz w:val="18"/>
                <w:szCs w:val="18"/>
              </w:rPr>
            </w:pPr>
            <w:r>
              <w:rPr>
                <w:rFonts w:ascii="Times New Roman" w:hAnsi="Times New Roman" w:eastAsia="方正仿宋_GBK"/>
                <w:sz w:val="18"/>
                <w:szCs w:val="18"/>
              </w:rPr>
              <w:t>共和县教育局</w:t>
            </w:r>
          </w:p>
        </w:tc>
        <w:tc>
          <w:tcPr>
            <w:tcW w:w="1231" w:type="dxa"/>
            <w:noWrap w:val="0"/>
            <w:vAlign w:val="center"/>
          </w:tcPr>
          <w:p w14:paraId="76A2EBBB">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03903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0" w:hRule="exact"/>
          <w:jc w:val="center"/>
        </w:trPr>
        <w:tc>
          <w:tcPr>
            <w:tcW w:w="465" w:type="dxa"/>
            <w:noWrap w:val="0"/>
            <w:vAlign w:val="center"/>
          </w:tcPr>
          <w:p w14:paraId="4A0E74D0">
            <w:pPr>
              <w:jc w:val="center"/>
              <w:rPr>
                <w:rFonts w:ascii="Times New Roman" w:hAnsi="Times New Roman"/>
                <w:sz w:val="18"/>
                <w:szCs w:val="18"/>
              </w:rPr>
            </w:pPr>
            <w:r>
              <w:rPr>
                <w:rFonts w:ascii="Times New Roman" w:hAnsi="Times New Roman"/>
                <w:sz w:val="18"/>
                <w:szCs w:val="18"/>
              </w:rPr>
              <w:t>31</w:t>
            </w:r>
          </w:p>
        </w:tc>
        <w:tc>
          <w:tcPr>
            <w:tcW w:w="658" w:type="dxa"/>
            <w:vMerge w:val="continue"/>
            <w:noWrap w:val="0"/>
            <w:vAlign w:val="center"/>
          </w:tcPr>
          <w:p w14:paraId="2DA32188">
            <w:pPr>
              <w:spacing w:line="240" w:lineRule="exact"/>
              <w:rPr>
                <w:rFonts w:ascii="Times New Roman" w:hAnsi="Times New Roman" w:eastAsia="方正仿宋_GBK"/>
                <w:sz w:val="18"/>
                <w:szCs w:val="18"/>
              </w:rPr>
            </w:pPr>
          </w:p>
        </w:tc>
        <w:tc>
          <w:tcPr>
            <w:tcW w:w="1388" w:type="dxa"/>
            <w:noWrap w:val="0"/>
            <w:vAlign w:val="center"/>
          </w:tcPr>
          <w:p w14:paraId="40582438">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海南州共和县恰卜恰镇东香卡村村民综合服务中心能力提升项目</w:t>
            </w:r>
          </w:p>
        </w:tc>
        <w:tc>
          <w:tcPr>
            <w:tcW w:w="6520" w:type="dxa"/>
            <w:noWrap w:val="0"/>
            <w:vAlign w:val="center"/>
          </w:tcPr>
          <w:p w14:paraId="4862B08F">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门窗修缮及取暖设施</w:t>
            </w:r>
            <w:r>
              <w:rPr>
                <w:rFonts w:hint="eastAsia" w:ascii="Times New Roman" w:hAnsi="Times New Roman" w:eastAsia="方正仿宋_GBK"/>
                <w:sz w:val="18"/>
                <w:szCs w:val="18"/>
              </w:rPr>
              <w:t>。</w:t>
            </w:r>
          </w:p>
        </w:tc>
        <w:tc>
          <w:tcPr>
            <w:tcW w:w="567" w:type="dxa"/>
            <w:noWrap w:val="0"/>
            <w:vAlign w:val="center"/>
          </w:tcPr>
          <w:p w14:paraId="1189418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6815829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34520C60">
            <w:pPr>
              <w:spacing w:line="240" w:lineRule="exact"/>
              <w:rPr>
                <w:rFonts w:ascii="Times New Roman" w:hAnsi="Times New Roman" w:eastAsia="方正仿宋_GBK"/>
                <w:sz w:val="18"/>
                <w:szCs w:val="18"/>
              </w:rPr>
            </w:pPr>
            <w:r>
              <w:rPr>
                <w:rFonts w:ascii="Times New Roman" w:hAnsi="Times New Roman" w:eastAsia="方正仿宋_GBK"/>
                <w:sz w:val="18"/>
                <w:szCs w:val="18"/>
              </w:rPr>
              <w:t>共和县民政局</w:t>
            </w:r>
          </w:p>
        </w:tc>
        <w:tc>
          <w:tcPr>
            <w:tcW w:w="1231" w:type="dxa"/>
            <w:noWrap w:val="0"/>
            <w:vAlign w:val="center"/>
          </w:tcPr>
          <w:p w14:paraId="2DDFF95B">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2AD96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48" w:hRule="exact"/>
          <w:jc w:val="center"/>
        </w:trPr>
        <w:tc>
          <w:tcPr>
            <w:tcW w:w="465" w:type="dxa"/>
            <w:noWrap w:val="0"/>
            <w:vAlign w:val="center"/>
          </w:tcPr>
          <w:p w14:paraId="76BC61AA">
            <w:pPr>
              <w:jc w:val="center"/>
              <w:rPr>
                <w:rFonts w:ascii="Times New Roman" w:hAnsi="Times New Roman"/>
                <w:sz w:val="18"/>
                <w:szCs w:val="18"/>
              </w:rPr>
            </w:pPr>
            <w:r>
              <w:rPr>
                <w:rFonts w:ascii="Times New Roman" w:hAnsi="Times New Roman"/>
                <w:sz w:val="18"/>
                <w:szCs w:val="18"/>
              </w:rPr>
              <w:t>32</w:t>
            </w:r>
          </w:p>
        </w:tc>
        <w:tc>
          <w:tcPr>
            <w:tcW w:w="658" w:type="dxa"/>
            <w:vMerge w:val="continue"/>
            <w:noWrap w:val="0"/>
            <w:vAlign w:val="center"/>
          </w:tcPr>
          <w:p w14:paraId="54F97CC0">
            <w:pPr>
              <w:spacing w:line="240" w:lineRule="exact"/>
              <w:rPr>
                <w:rFonts w:ascii="Times New Roman" w:hAnsi="Times New Roman" w:eastAsia="方正仿宋_GBK"/>
                <w:sz w:val="18"/>
                <w:szCs w:val="18"/>
              </w:rPr>
            </w:pPr>
          </w:p>
        </w:tc>
        <w:tc>
          <w:tcPr>
            <w:tcW w:w="1388" w:type="dxa"/>
            <w:noWrap w:val="0"/>
            <w:vAlign w:val="center"/>
          </w:tcPr>
          <w:p w14:paraId="7D1BB21B">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西宁市湟源县和平乡华石山片区马家湾乡村振兴示范村项目</w:t>
            </w:r>
          </w:p>
        </w:tc>
        <w:tc>
          <w:tcPr>
            <w:tcW w:w="6520" w:type="dxa"/>
            <w:noWrap w:val="0"/>
            <w:vAlign w:val="center"/>
          </w:tcPr>
          <w:p w14:paraId="3C511892">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实施内容：新建基础设施（保护性绿道、天幕帐篷配套木平台，车行砂石路、自驾车房车露营地铺装、绿地工程、木质非永久性游客服务中心，生态停车场及标示标牌、照明电及亮化设施，给排水设施及污水池、环保厕所、垃圾处理设备），其他服务设施（“浪河滩”标识、网红打卡设施）。建设成效：马家湾乡村振兴示范项目为华石山片区打造生态旅游目的地夯实了基础，率先探索将湟源“浪河滩”从“简单粗放”向“精品优质”模式转变，将以往“散户主导”向“政府引导、企业主导、个体参与”模式转型，将白水河沿线“浪河滩”产业打造成规模化、特色化、系统化“精品”旅游线路，不断推进生态旅游持续升温，同时有效发挥集体经济增收和务工就业、“门前经济”等联农带农效益，促进了强村富民。</w:t>
            </w:r>
          </w:p>
        </w:tc>
        <w:tc>
          <w:tcPr>
            <w:tcW w:w="567" w:type="dxa"/>
            <w:noWrap w:val="0"/>
            <w:vAlign w:val="center"/>
          </w:tcPr>
          <w:p w14:paraId="09BC29F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4</w:t>
            </w:r>
          </w:p>
        </w:tc>
        <w:tc>
          <w:tcPr>
            <w:tcW w:w="709" w:type="dxa"/>
            <w:noWrap w:val="0"/>
            <w:vAlign w:val="center"/>
          </w:tcPr>
          <w:p w14:paraId="3954BABF">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5B204967">
            <w:pPr>
              <w:spacing w:line="240" w:lineRule="exact"/>
              <w:rPr>
                <w:rFonts w:ascii="Times New Roman" w:hAnsi="Times New Roman" w:eastAsia="方正仿宋_GBK"/>
                <w:sz w:val="18"/>
                <w:szCs w:val="18"/>
              </w:rPr>
            </w:pPr>
            <w:r>
              <w:rPr>
                <w:rFonts w:ascii="Times New Roman" w:hAnsi="Times New Roman" w:eastAsia="方正仿宋_GBK"/>
                <w:sz w:val="18"/>
                <w:szCs w:val="18"/>
              </w:rPr>
              <w:t>和平乡马家湾村</w:t>
            </w:r>
          </w:p>
        </w:tc>
        <w:tc>
          <w:tcPr>
            <w:tcW w:w="1231" w:type="dxa"/>
            <w:noWrap w:val="0"/>
            <w:vAlign w:val="center"/>
          </w:tcPr>
          <w:p w14:paraId="3065DC81">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185C6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8" w:hRule="exact"/>
          <w:jc w:val="center"/>
        </w:trPr>
        <w:tc>
          <w:tcPr>
            <w:tcW w:w="465" w:type="dxa"/>
            <w:noWrap w:val="0"/>
            <w:vAlign w:val="center"/>
          </w:tcPr>
          <w:p w14:paraId="162B5B2C">
            <w:pPr>
              <w:jc w:val="center"/>
              <w:rPr>
                <w:rFonts w:ascii="Times New Roman" w:hAnsi="Times New Roman"/>
                <w:sz w:val="18"/>
                <w:szCs w:val="18"/>
              </w:rPr>
            </w:pPr>
            <w:r>
              <w:rPr>
                <w:rFonts w:ascii="Times New Roman" w:hAnsi="Times New Roman"/>
                <w:sz w:val="18"/>
                <w:szCs w:val="18"/>
              </w:rPr>
              <w:t>33</w:t>
            </w:r>
          </w:p>
        </w:tc>
        <w:tc>
          <w:tcPr>
            <w:tcW w:w="658" w:type="dxa"/>
            <w:vMerge w:val="continue"/>
            <w:noWrap w:val="0"/>
            <w:vAlign w:val="center"/>
          </w:tcPr>
          <w:p w14:paraId="0CCA7079">
            <w:pPr>
              <w:spacing w:line="240" w:lineRule="exact"/>
              <w:rPr>
                <w:rFonts w:ascii="Times New Roman" w:hAnsi="Times New Roman" w:eastAsia="方正仿宋_GBK"/>
                <w:sz w:val="18"/>
                <w:szCs w:val="18"/>
              </w:rPr>
            </w:pPr>
          </w:p>
        </w:tc>
        <w:tc>
          <w:tcPr>
            <w:tcW w:w="1388" w:type="dxa"/>
            <w:noWrap w:val="0"/>
            <w:vAlign w:val="center"/>
          </w:tcPr>
          <w:p w14:paraId="6F6CFD8A">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西宁市湟中区土门关乡加汝尔小学学生厨房改造</w:t>
            </w:r>
          </w:p>
        </w:tc>
        <w:tc>
          <w:tcPr>
            <w:tcW w:w="6520" w:type="dxa"/>
            <w:noWrap w:val="0"/>
            <w:vAlign w:val="center"/>
          </w:tcPr>
          <w:p w14:paraId="1442CDB3">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对土门关乡加汝尔小学简易厨房进行改造扩建，具体如下：1.厨房设备购置：压面机1台、和面机1台、蒸箱、六门冰柜等。2.厨房改造：贴墙面板、铝扣板吊顶、不锈钢纱窗等。3.排水改造：化粪池、排水沟、检查井等，以上合计：15.3万元。</w:t>
            </w:r>
          </w:p>
        </w:tc>
        <w:tc>
          <w:tcPr>
            <w:tcW w:w="567" w:type="dxa"/>
            <w:noWrap w:val="0"/>
            <w:vAlign w:val="center"/>
          </w:tcPr>
          <w:p w14:paraId="73B97D6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48C4911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15.3</w:t>
            </w:r>
          </w:p>
        </w:tc>
        <w:tc>
          <w:tcPr>
            <w:tcW w:w="1134" w:type="dxa"/>
            <w:noWrap w:val="0"/>
            <w:vAlign w:val="center"/>
          </w:tcPr>
          <w:p w14:paraId="6958ED5F">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青海省西宁市湟中区土门关乡加汝尔小学</w:t>
            </w:r>
          </w:p>
        </w:tc>
        <w:tc>
          <w:tcPr>
            <w:tcW w:w="1231" w:type="dxa"/>
            <w:noWrap w:val="0"/>
            <w:vAlign w:val="center"/>
          </w:tcPr>
          <w:p w14:paraId="2065897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F744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exact"/>
          <w:jc w:val="center"/>
        </w:trPr>
        <w:tc>
          <w:tcPr>
            <w:tcW w:w="465" w:type="dxa"/>
            <w:noWrap w:val="0"/>
            <w:vAlign w:val="center"/>
          </w:tcPr>
          <w:p w14:paraId="67BEDE2C">
            <w:pPr>
              <w:jc w:val="center"/>
              <w:rPr>
                <w:rFonts w:ascii="Times New Roman" w:hAnsi="Times New Roman"/>
                <w:sz w:val="18"/>
                <w:szCs w:val="18"/>
              </w:rPr>
            </w:pPr>
            <w:r>
              <w:rPr>
                <w:rFonts w:ascii="Times New Roman" w:hAnsi="Times New Roman"/>
                <w:sz w:val="18"/>
                <w:szCs w:val="18"/>
              </w:rPr>
              <w:t>34</w:t>
            </w:r>
          </w:p>
        </w:tc>
        <w:tc>
          <w:tcPr>
            <w:tcW w:w="658" w:type="dxa"/>
            <w:vMerge w:val="continue"/>
            <w:noWrap w:val="0"/>
            <w:vAlign w:val="center"/>
          </w:tcPr>
          <w:p w14:paraId="1F8ED9C3">
            <w:pPr>
              <w:spacing w:line="240" w:lineRule="exact"/>
              <w:rPr>
                <w:rFonts w:ascii="Times New Roman" w:hAnsi="Times New Roman" w:eastAsia="方正仿宋_GBK"/>
                <w:sz w:val="18"/>
                <w:szCs w:val="18"/>
              </w:rPr>
            </w:pPr>
          </w:p>
        </w:tc>
        <w:tc>
          <w:tcPr>
            <w:tcW w:w="1388" w:type="dxa"/>
            <w:noWrap w:val="0"/>
            <w:vAlign w:val="center"/>
          </w:tcPr>
          <w:p w14:paraId="75C54258">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西宁市第三人民医院不孕门诊建设</w:t>
            </w:r>
          </w:p>
        </w:tc>
        <w:tc>
          <w:tcPr>
            <w:tcW w:w="6520" w:type="dxa"/>
            <w:noWrap w:val="0"/>
            <w:vAlign w:val="center"/>
          </w:tcPr>
          <w:p w14:paraId="504D2FFD">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宫腔镜检查镜头3条</w:t>
            </w:r>
            <w:r>
              <w:rPr>
                <w:rFonts w:hint="eastAsia" w:ascii="Times New Roman" w:hAnsi="Times New Roman" w:eastAsia="方正仿宋_GBK"/>
                <w:sz w:val="18"/>
                <w:szCs w:val="18"/>
              </w:rPr>
              <w:t>。</w:t>
            </w:r>
          </w:p>
        </w:tc>
        <w:tc>
          <w:tcPr>
            <w:tcW w:w="567" w:type="dxa"/>
            <w:noWrap w:val="0"/>
            <w:vAlign w:val="center"/>
          </w:tcPr>
          <w:p w14:paraId="6B9BF72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12FDD7E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2FC1D869">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西宁市第三人民医院</w:t>
            </w:r>
          </w:p>
        </w:tc>
        <w:tc>
          <w:tcPr>
            <w:tcW w:w="1231" w:type="dxa"/>
            <w:noWrap w:val="0"/>
            <w:vAlign w:val="center"/>
          </w:tcPr>
          <w:p w14:paraId="51D5DD85">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公益事业捐赠统一票据/行政事业单位资金往来结算票据</w:t>
            </w:r>
          </w:p>
        </w:tc>
      </w:tr>
      <w:tr w14:paraId="2757D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53" w:hRule="exact"/>
          <w:jc w:val="center"/>
        </w:trPr>
        <w:tc>
          <w:tcPr>
            <w:tcW w:w="465" w:type="dxa"/>
            <w:noWrap w:val="0"/>
            <w:vAlign w:val="center"/>
          </w:tcPr>
          <w:p w14:paraId="0C4ED9FE">
            <w:pPr>
              <w:jc w:val="center"/>
              <w:rPr>
                <w:rFonts w:ascii="Times New Roman" w:hAnsi="Times New Roman"/>
                <w:sz w:val="18"/>
                <w:szCs w:val="18"/>
              </w:rPr>
            </w:pPr>
            <w:r>
              <w:rPr>
                <w:rFonts w:ascii="Times New Roman" w:hAnsi="Times New Roman"/>
                <w:sz w:val="18"/>
                <w:szCs w:val="18"/>
              </w:rPr>
              <w:t>35</w:t>
            </w:r>
          </w:p>
        </w:tc>
        <w:tc>
          <w:tcPr>
            <w:tcW w:w="658" w:type="dxa"/>
            <w:vMerge w:val="continue"/>
            <w:noWrap w:val="0"/>
            <w:vAlign w:val="center"/>
          </w:tcPr>
          <w:p w14:paraId="7A68C120">
            <w:pPr>
              <w:spacing w:line="240" w:lineRule="exact"/>
              <w:rPr>
                <w:rFonts w:ascii="Times New Roman" w:hAnsi="Times New Roman" w:eastAsia="方正仿宋_GBK"/>
                <w:sz w:val="18"/>
                <w:szCs w:val="18"/>
              </w:rPr>
            </w:pPr>
          </w:p>
        </w:tc>
        <w:tc>
          <w:tcPr>
            <w:tcW w:w="1388" w:type="dxa"/>
            <w:noWrap w:val="0"/>
            <w:vAlign w:val="center"/>
          </w:tcPr>
          <w:p w14:paraId="52C46FBD">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西宁市城北区户外儿童游艺康复训练组合设施项目</w:t>
            </w:r>
          </w:p>
        </w:tc>
        <w:tc>
          <w:tcPr>
            <w:tcW w:w="6520" w:type="dxa"/>
            <w:noWrap w:val="0"/>
            <w:vAlign w:val="center"/>
          </w:tcPr>
          <w:p w14:paraId="1E7F4D1A">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项目主要是购置安装户外儿童游艺康复训练组合设施器材，材质选用环保、坚固、防滑、安全的优质材料，符合儿童年龄和安全标准设定的合适高度、坡度等。项目投用后，通过合理设计组合搭配，将户外体育游艺活动与特殊儿童康复训练有机融合，结合攀爬、滑行、平衡、协调等康复目标，在体育游戏中嵌入功能性训练，增强特殊儿童身体控制、肌肉力量、协调能力和感觉统合功能，达到“运动强体魄，康复促成长”的双向赋能目标。</w:t>
            </w:r>
          </w:p>
        </w:tc>
        <w:tc>
          <w:tcPr>
            <w:tcW w:w="567" w:type="dxa"/>
            <w:noWrap w:val="0"/>
            <w:vAlign w:val="center"/>
          </w:tcPr>
          <w:p w14:paraId="4BDEA21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709" w:type="dxa"/>
            <w:noWrap w:val="0"/>
            <w:vAlign w:val="center"/>
          </w:tcPr>
          <w:p w14:paraId="14D92FC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0FA0FD4B">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西宁市特殊教育学校</w:t>
            </w:r>
          </w:p>
        </w:tc>
        <w:tc>
          <w:tcPr>
            <w:tcW w:w="1231" w:type="dxa"/>
            <w:noWrap w:val="0"/>
            <w:vAlign w:val="center"/>
          </w:tcPr>
          <w:p w14:paraId="74745D7D">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ABF8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67" w:hRule="exact"/>
          <w:jc w:val="center"/>
        </w:trPr>
        <w:tc>
          <w:tcPr>
            <w:tcW w:w="465" w:type="dxa"/>
            <w:noWrap w:val="0"/>
            <w:vAlign w:val="center"/>
          </w:tcPr>
          <w:p w14:paraId="5D580BF0">
            <w:pPr>
              <w:jc w:val="center"/>
              <w:rPr>
                <w:rFonts w:ascii="Times New Roman" w:hAnsi="Times New Roman"/>
                <w:sz w:val="18"/>
                <w:szCs w:val="18"/>
              </w:rPr>
            </w:pPr>
            <w:r>
              <w:rPr>
                <w:rFonts w:ascii="Times New Roman" w:hAnsi="Times New Roman"/>
                <w:sz w:val="18"/>
                <w:szCs w:val="18"/>
              </w:rPr>
              <w:t>36</w:t>
            </w:r>
          </w:p>
        </w:tc>
        <w:tc>
          <w:tcPr>
            <w:tcW w:w="658" w:type="dxa"/>
            <w:vMerge w:val="restart"/>
            <w:noWrap w:val="0"/>
            <w:vAlign w:val="center"/>
          </w:tcPr>
          <w:p w14:paraId="09A5180E">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507A4E80">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西宁市湟源县日月藏族乡卫生院急诊急救能力提升</w:t>
            </w:r>
          </w:p>
        </w:tc>
        <w:tc>
          <w:tcPr>
            <w:tcW w:w="6520" w:type="dxa"/>
            <w:noWrap w:val="0"/>
            <w:vAlign w:val="center"/>
          </w:tcPr>
          <w:p w14:paraId="1B4D6F9F">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具体内容</w:t>
            </w:r>
            <w:r>
              <w:rPr>
                <w:rFonts w:hint="eastAsia" w:ascii="Times New Roman" w:hAnsi="Times New Roman" w:eastAsia="方正仿宋_GBK"/>
                <w:sz w:val="18"/>
                <w:szCs w:val="18"/>
              </w:rPr>
              <w:t>：</w:t>
            </w:r>
            <w:r>
              <w:rPr>
                <w:rFonts w:ascii="Times New Roman" w:hAnsi="Times New Roman" w:eastAsia="方正仿宋_GBK"/>
                <w:sz w:val="18"/>
                <w:szCs w:val="18"/>
              </w:rPr>
              <w:t>购置除颤仪，心电监护仪，制氧机等设备</w:t>
            </w:r>
            <w:r>
              <w:rPr>
                <w:rFonts w:hint="eastAsia" w:ascii="Times New Roman" w:hAnsi="Times New Roman" w:eastAsia="方正仿宋_GBK"/>
                <w:sz w:val="18"/>
                <w:szCs w:val="18"/>
              </w:rPr>
              <w:t>。</w:t>
            </w:r>
            <w:r>
              <w:rPr>
                <w:rFonts w:ascii="Times New Roman" w:hAnsi="Times New Roman" w:eastAsia="方正仿宋_GBK"/>
                <w:sz w:val="18"/>
                <w:szCs w:val="18"/>
              </w:rPr>
              <w:t>预期成效</w:t>
            </w:r>
            <w:r>
              <w:rPr>
                <w:rFonts w:hint="eastAsia" w:ascii="Times New Roman" w:hAnsi="Times New Roman" w:eastAsia="方正仿宋_GBK"/>
                <w:sz w:val="18"/>
                <w:szCs w:val="18"/>
              </w:rPr>
              <w:t>：</w:t>
            </w:r>
            <w:r>
              <w:rPr>
                <w:rFonts w:ascii="Times New Roman" w:hAnsi="Times New Roman" w:eastAsia="方正仿宋_GBK"/>
                <w:sz w:val="18"/>
                <w:szCs w:val="18"/>
              </w:rPr>
              <w:t>1</w:t>
            </w:r>
            <w:r>
              <w:rPr>
                <w:rFonts w:hint="eastAsia" w:ascii="Times New Roman" w:hAnsi="Times New Roman" w:eastAsia="方正仿宋_GBK"/>
                <w:sz w:val="18"/>
                <w:szCs w:val="18"/>
              </w:rPr>
              <w:t>.</w:t>
            </w:r>
            <w:r>
              <w:rPr>
                <w:rFonts w:ascii="Times New Roman" w:hAnsi="Times New Roman" w:eastAsia="方正仿宋_GBK"/>
                <w:sz w:val="18"/>
                <w:szCs w:val="18"/>
              </w:rPr>
              <w:t>医疗救治及时性显著提升</w:t>
            </w:r>
            <w:r>
              <w:rPr>
                <w:rFonts w:hint="eastAsia" w:ascii="Times New Roman" w:hAnsi="Times New Roman" w:eastAsia="方正仿宋_GBK"/>
                <w:sz w:val="18"/>
                <w:szCs w:val="18"/>
              </w:rPr>
              <w:t>。</w:t>
            </w:r>
            <w:r>
              <w:rPr>
                <w:rFonts w:ascii="Times New Roman" w:hAnsi="Times New Roman" w:eastAsia="方正仿宋_GBK"/>
                <w:sz w:val="18"/>
                <w:szCs w:val="18"/>
              </w:rPr>
              <w:t>能快速启动响应机制，专业急救团队可在接到呼救后迅速出诊，大大缩短院前急救时间，争取在“黄金救治时间”内开展有效救治，提高患者生存率。2</w:t>
            </w:r>
            <w:r>
              <w:rPr>
                <w:rFonts w:hint="eastAsia" w:ascii="Times New Roman" w:hAnsi="Times New Roman" w:eastAsia="方正仿宋_GBK"/>
                <w:sz w:val="18"/>
                <w:szCs w:val="18"/>
              </w:rPr>
              <w:t>.</w:t>
            </w:r>
            <w:r>
              <w:rPr>
                <w:rFonts w:ascii="Times New Roman" w:hAnsi="Times New Roman" w:eastAsia="方正仿宋_GBK"/>
                <w:sz w:val="18"/>
                <w:szCs w:val="18"/>
              </w:rPr>
              <w:t>卫生院周边居民突发疾病或意外受伤时，能以最快速度抵达，避免因路途遥远、转诊流程繁琐耽误病情，实现紧急医疗服务的快速可及。3</w:t>
            </w:r>
            <w:r>
              <w:rPr>
                <w:rFonts w:hint="eastAsia" w:ascii="Times New Roman" w:hAnsi="Times New Roman" w:eastAsia="方正仿宋_GBK"/>
                <w:sz w:val="18"/>
                <w:szCs w:val="18"/>
              </w:rPr>
              <w:t>.</w:t>
            </w:r>
            <w:r>
              <w:rPr>
                <w:rFonts w:ascii="Times New Roman" w:hAnsi="Times New Roman" w:eastAsia="方正仿宋_GBK"/>
                <w:sz w:val="18"/>
                <w:szCs w:val="18"/>
              </w:rPr>
              <w:t>区域医疗协同增强，作为基层医疗机构的急诊急救中心，能与上级医院建立紧密的转诊协作关系，在遇到超出救治能力的疑难重症时，可迅速、顺畅转诊，并提前与上级医院沟通患者病情，让患者得到无缝对接的后续救治，形成分级诊疗、上下联动的区域协同救治格局。4</w:t>
            </w:r>
            <w:r>
              <w:rPr>
                <w:rFonts w:hint="eastAsia" w:ascii="Times New Roman" w:hAnsi="Times New Roman" w:eastAsia="方正仿宋_GBK"/>
                <w:sz w:val="18"/>
                <w:szCs w:val="18"/>
              </w:rPr>
              <w:t>.</w:t>
            </w:r>
            <w:r>
              <w:rPr>
                <w:rFonts w:ascii="Times New Roman" w:hAnsi="Times New Roman" w:eastAsia="方正仿宋_GBK"/>
                <w:sz w:val="18"/>
                <w:szCs w:val="18"/>
              </w:rPr>
              <w:t>对区域内突发公共卫生事件，如食物中毒、传染病疫情等，能够快速响应，承担起早期救治、分流患者、疫情防控监测等任务，配合政府部门和上级医疗机构做好公共卫生应急管理，保障当地群众健康安全。5</w:t>
            </w:r>
            <w:r>
              <w:rPr>
                <w:rFonts w:hint="eastAsia" w:ascii="Times New Roman" w:hAnsi="Times New Roman" w:eastAsia="方正仿宋_GBK"/>
                <w:sz w:val="18"/>
                <w:szCs w:val="18"/>
              </w:rPr>
              <w:t>.</w:t>
            </w:r>
            <w:r>
              <w:rPr>
                <w:rFonts w:ascii="Times New Roman" w:hAnsi="Times New Roman" w:eastAsia="方正仿宋_GBK"/>
                <w:sz w:val="18"/>
                <w:szCs w:val="18"/>
              </w:rPr>
              <w:t>日月乡距离县城较远，居民居住分散，离县级急救中心远，一旦突发急危重症，如心肌梗死、脑卒中等，很难及时获得专业救治。并且处于109交通要道，人员和车辆流动频繁，意外事故发生率较高，如交通事故、工伤等，提升急诊急救能力能在第一时间对伤者进行紧急处理，弥补转运时间长的缺陷，为后续治疗争取宝贵时间，提高患者的生存率和康复几率。</w:t>
            </w:r>
          </w:p>
        </w:tc>
        <w:tc>
          <w:tcPr>
            <w:tcW w:w="567" w:type="dxa"/>
            <w:noWrap w:val="0"/>
            <w:vAlign w:val="center"/>
          </w:tcPr>
          <w:p w14:paraId="2F58ABC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6850712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9F73A28">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青海省西宁市湟源县日月藏族乡卫生院</w:t>
            </w:r>
          </w:p>
        </w:tc>
        <w:tc>
          <w:tcPr>
            <w:tcW w:w="1231" w:type="dxa"/>
            <w:noWrap w:val="0"/>
            <w:vAlign w:val="center"/>
          </w:tcPr>
          <w:p w14:paraId="7D62438D">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3CFDF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41" w:hRule="exact"/>
          <w:jc w:val="center"/>
        </w:trPr>
        <w:tc>
          <w:tcPr>
            <w:tcW w:w="465" w:type="dxa"/>
            <w:noWrap w:val="0"/>
            <w:vAlign w:val="center"/>
          </w:tcPr>
          <w:p w14:paraId="77822B31">
            <w:pPr>
              <w:jc w:val="center"/>
              <w:rPr>
                <w:rFonts w:ascii="Times New Roman" w:hAnsi="Times New Roman"/>
                <w:sz w:val="18"/>
                <w:szCs w:val="18"/>
              </w:rPr>
            </w:pPr>
            <w:r>
              <w:rPr>
                <w:rFonts w:ascii="Times New Roman" w:hAnsi="Times New Roman"/>
                <w:sz w:val="18"/>
                <w:szCs w:val="18"/>
              </w:rPr>
              <w:t>37</w:t>
            </w:r>
          </w:p>
        </w:tc>
        <w:tc>
          <w:tcPr>
            <w:tcW w:w="658" w:type="dxa"/>
            <w:vMerge w:val="continue"/>
            <w:noWrap w:val="0"/>
            <w:vAlign w:val="center"/>
          </w:tcPr>
          <w:p w14:paraId="7EF1F178">
            <w:pPr>
              <w:spacing w:line="240" w:lineRule="exact"/>
              <w:rPr>
                <w:rFonts w:ascii="Times New Roman" w:hAnsi="Times New Roman" w:eastAsia="方正仿宋_GBK"/>
                <w:sz w:val="18"/>
                <w:szCs w:val="18"/>
              </w:rPr>
            </w:pPr>
          </w:p>
        </w:tc>
        <w:tc>
          <w:tcPr>
            <w:tcW w:w="1388" w:type="dxa"/>
            <w:noWrap w:val="0"/>
            <w:vAlign w:val="center"/>
          </w:tcPr>
          <w:p w14:paraId="48F62747">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海东市民和</w:t>
            </w:r>
            <w:r>
              <w:rPr>
                <w:rFonts w:hint="eastAsia" w:ascii="Times New Roman" w:hAnsi="Times New Roman" w:eastAsia="方正仿宋_GBK"/>
                <w:sz w:val="18"/>
                <w:szCs w:val="18"/>
              </w:rPr>
              <w:t>县</w:t>
            </w:r>
            <w:r>
              <w:rPr>
                <w:rFonts w:ascii="Times New Roman" w:hAnsi="Times New Roman" w:eastAsia="方正仿宋_GBK"/>
                <w:sz w:val="18"/>
                <w:szCs w:val="18"/>
              </w:rPr>
              <w:t>医疗设备购置提升业务水平项目</w:t>
            </w:r>
          </w:p>
        </w:tc>
        <w:tc>
          <w:tcPr>
            <w:tcW w:w="6520" w:type="dxa"/>
            <w:noWrap w:val="0"/>
            <w:vAlign w:val="center"/>
          </w:tcPr>
          <w:p w14:paraId="20EF7274">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设备购置</w:t>
            </w:r>
            <w:r>
              <w:rPr>
                <w:rFonts w:hint="eastAsia" w:ascii="Times New Roman" w:hAnsi="Times New Roman" w:eastAsia="方正仿宋_GBK"/>
                <w:sz w:val="18"/>
                <w:szCs w:val="18"/>
              </w:rPr>
              <w:t>：</w:t>
            </w:r>
            <w:r>
              <w:rPr>
                <w:rFonts w:ascii="Times New Roman" w:hAnsi="Times New Roman" w:eastAsia="方正仿宋_GBK"/>
                <w:sz w:val="18"/>
                <w:szCs w:val="18"/>
              </w:rPr>
              <w:t>为提升我院眼科的业务水平能力及手术精准度与安全性开展白内障超声乳化手术所需。需购置手术显微镜照相系统以及超乳手柄一套</w:t>
            </w:r>
            <w:r>
              <w:rPr>
                <w:rFonts w:hint="eastAsia" w:ascii="Times New Roman" w:hAnsi="Times New Roman" w:eastAsia="方正仿宋_GBK"/>
                <w:sz w:val="18"/>
                <w:szCs w:val="18"/>
              </w:rPr>
              <w:t>。</w:t>
            </w:r>
            <w:r>
              <w:rPr>
                <w:rFonts w:ascii="Times New Roman" w:hAnsi="Times New Roman" w:eastAsia="方正仿宋_GBK"/>
                <w:sz w:val="18"/>
                <w:szCs w:val="18"/>
              </w:rPr>
              <w:t>预期成效：1</w:t>
            </w:r>
            <w:r>
              <w:rPr>
                <w:rFonts w:hint="eastAsia" w:ascii="Times New Roman" w:hAnsi="Times New Roman" w:eastAsia="方正仿宋_GBK"/>
                <w:sz w:val="18"/>
                <w:szCs w:val="18"/>
              </w:rPr>
              <w:t>.</w:t>
            </w:r>
            <w:r>
              <w:rPr>
                <w:rFonts w:ascii="Times New Roman" w:hAnsi="Times New Roman" w:eastAsia="方正仿宋_GBK"/>
                <w:sz w:val="18"/>
                <w:szCs w:val="18"/>
              </w:rPr>
              <w:t>手术显微镜：凭借其高倍放大与清晰成像能力，医生能够更清晰地观察眼部细微结构，在进行诸如视网膜脱离修复、角膜移植、青光眼手术等精细操作时，精准分辨病变组织与正常组织，避免损伤周围健康组织，显著提升手术精准度，降低手术风险，提高手术成功率。例如在视网膜脱离手术中，可清晰看到视网膜上的细微裂孔以及周围的血管分布，医生能够更准确地进行修复操作，减少对视网膜血管的损伤，降低术后并发症的发生几率。2</w:t>
            </w:r>
            <w:r>
              <w:rPr>
                <w:rFonts w:hint="eastAsia" w:ascii="Times New Roman" w:hAnsi="Times New Roman" w:eastAsia="方正仿宋_GBK"/>
                <w:sz w:val="18"/>
                <w:szCs w:val="18"/>
              </w:rPr>
              <w:t>.</w:t>
            </w:r>
            <w:r>
              <w:rPr>
                <w:rFonts w:ascii="Times New Roman" w:hAnsi="Times New Roman" w:eastAsia="方正仿宋_GBK"/>
                <w:sz w:val="18"/>
                <w:szCs w:val="18"/>
              </w:rPr>
              <w:t>超乳手柄：其稳定且高效的乳化、吸出性能，在白内障超声乳化手术中，能精准地将晶状体核粉碎并乳化吸出，同时最大限度减少对眼内其他组织如虹膜、角膜内皮等的损伤。医生可以更精确地控制操作力度和范围，确保手术过程平稳、安全，提高手术质量。</w:t>
            </w:r>
          </w:p>
        </w:tc>
        <w:tc>
          <w:tcPr>
            <w:tcW w:w="567" w:type="dxa"/>
            <w:noWrap w:val="0"/>
            <w:vAlign w:val="center"/>
          </w:tcPr>
          <w:p w14:paraId="6A7175D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7853326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489D1B8F">
            <w:pPr>
              <w:spacing w:line="240" w:lineRule="exact"/>
              <w:rPr>
                <w:rFonts w:ascii="Times New Roman" w:hAnsi="Times New Roman" w:eastAsia="方正仿宋_GBK"/>
                <w:sz w:val="18"/>
                <w:szCs w:val="18"/>
              </w:rPr>
            </w:pPr>
            <w:r>
              <w:rPr>
                <w:rFonts w:ascii="Times New Roman" w:hAnsi="Times New Roman" w:eastAsia="方正仿宋_GBK"/>
                <w:sz w:val="18"/>
                <w:szCs w:val="18"/>
              </w:rPr>
              <w:t>民和回族土族自治县中医院</w:t>
            </w:r>
          </w:p>
        </w:tc>
        <w:tc>
          <w:tcPr>
            <w:tcW w:w="1231" w:type="dxa"/>
            <w:noWrap w:val="0"/>
            <w:vAlign w:val="center"/>
          </w:tcPr>
          <w:p w14:paraId="55451BBA">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404F5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08" w:hRule="exact"/>
          <w:jc w:val="center"/>
        </w:trPr>
        <w:tc>
          <w:tcPr>
            <w:tcW w:w="465" w:type="dxa"/>
            <w:noWrap w:val="0"/>
            <w:vAlign w:val="center"/>
          </w:tcPr>
          <w:p w14:paraId="569013B8">
            <w:pPr>
              <w:jc w:val="center"/>
              <w:rPr>
                <w:rFonts w:ascii="Times New Roman" w:hAnsi="Times New Roman"/>
                <w:sz w:val="18"/>
                <w:szCs w:val="18"/>
              </w:rPr>
            </w:pPr>
            <w:r>
              <w:rPr>
                <w:rFonts w:ascii="Times New Roman" w:hAnsi="Times New Roman"/>
                <w:sz w:val="18"/>
                <w:szCs w:val="18"/>
              </w:rPr>
              <w:t>38</w:t>
            </w:r>
          </w:p>
        </w:tc>
        <w:tc>
          <w:tcPr>
            <w:tcW w:w="658" w:type="dxa"/>
            <w:vMerge w:val="restart"/>
            <w:noWrap w:val="0"/>
            <w:vAlign w:val="center"/>
          </w:tcPr>
          <w:p w14:paraId="23272398">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49D3A25A">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w:t>
            </w:r>
            <w:r>
              <w:rPr>
                <w:rFonts w:hint="eastAsia" w:ascii="Times New Roman" w:hAnsi="Times New Roman" w:eastAsia="方正仿宋_GBK"/>
                <w:sz w:val="18"/>
                <w:szCs w:val="18"/>
              </w:rPr>
              <w:t>互助县</w:t>
            </w:r>
            <w:r>
              <w:rPr>
                <w:rFonts w:ascii="Times New Roman" w:hAnsi="Times New Roman" w:eastAsia="方正仿宋_GBK"/>
                <w:sz w:val="18"/>
                <w:szCs w:val="18"/>
              </w:rPr>
              <w:t>日间照料中心新建项目</w:t>
            </w:r>
          </w:p>
        </w:tc>
        <w:tc>
          <w:tcPr>
            <w:tcW w:w="6520" w:type="dxa"/>
            <w:noWrap w:val="0"/>
            <w:vAlign w:val="center"/>
          </w:tcPr>
          <w:p w14:paraId="73A3366A">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在红崖子沟乡老幼村选址建设一所日间照料中心。中心规划设置休息区、娱乐区、用餐区、医疗保健区等多个功能区域。休息区配备舒适的床铺和躺椅，供老人午休或休息；娱乐区配置电视、棋牌桌等娱乐设施，丰富老人的精神文化生活；用餐区建设标准化厨房，为老人提供营养均衡的餐食；医疗保健区配备基本的医疗设备，如血压计、血糖仪等，并定期邀请医护人员为老人进行健康检查和护理指导。预期成效：项目建成后，预计可为村里的老人提供日间照料服务，让他们在熟悉的社区环境中享受便捷的生活照料、医疗保健和文化娱乐服务，有效缓解子女照顾老人的压力，提升老年人的生活质量和幸福感，促进社区和谐发展。</w:t>
            </w:r>
          </w:p>
        </w:tc>
        <w:tc>
          <w:tcPr>
            <w:tcW w:w="567" w:type="dxa"/>
            <w:noWrap w:val="0"/>
            <w:vAlign w:val="center"/>
          </w:tcPr>
          <w:p w14:paraId="462A868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4F452FD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11AF43E8">
            <w:pPr>
              <w:spacing w:line="240" w:lineRule="exact"/>
              <w:rPr>
                <w:rFonts w:ascii="Times New Roman" w:hAnsi="Times New Roman" w:eastAsia="方正仿宋_GBK"/>
                <w:sz w:val="18"/>
                <w:szCs w:val="18"/>
              </w:rPr>
            </w:pPr>
            <w:r>
              <w:rPr>
                <w:rFonts w:ascii="Times New Roman" w:hAnsi="Times New Roman" w:eastAsia="方正仿宋_GBK"/>
                <w:sz w:val="18"/>
                <w:szCs w:val="18"/>
              </w:rPr>
              <w:t>互助县红崖子沟乡</w:t>
            </w:r>
          </w:p>
        </w:tc>
        <w:tc>
          <w:tcPr>
            <w:tcW w:w="1231" w:type="dxa"/>
            <w:noWrap w:val="0"/>
            <w:vAlign w:val="center"/>
          </w:tcPr>
          <w:p w14:paraId="776DDE9D">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342B6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9" w:hRule="exact"/>
          <w:jc w:val="center"/>
        </w:trPr>
        <w:tc>
          <w:tcPr>
            <w:tcW w:w="465" w:type="dxa"/>
            <w:noWrap w:val="0"/>
            <w:vAlign w:val="center"/>
          </w:tcPr>
          <w:p w14:paraId="313A36C8">
            <w:pPr>
              <w:jc w:val="center"/>
              <w:rPr>
                <w:rFonts w:ascii="Times New Roman" w:hAnsi="Times New Roman"/>
                <w:sz w:val="18"/>
                <w:szCs w:val="18"/>
              </w:rPr>
            </w:pPr>
            <w:r>
              <w:rPr>
                <w:rFonts w:ascii="Times New Roman" w:hAnsi="Times New Roman"/>
                <w:sz w:val="18"/>
                <w:szCs w:val="18"/>
              </w:rPr>
              <w:t>39</w:t>
            </w:r>
          </w:p>
        </w:tc>
        <w:tc>
          <w:tcPr>
            <w:tcW w:w="658" w:type="dxa"/>
            <w:vMerge w:val="continue"/>
            <w:noWrap w:val="0"/>
            <w:vAlign w:val="center"/>
          </w:tcPr>
          <w:p w14:paraId="40C9070C">
            <w:pPr>
              <w:spacing w:line="240" w:lineRule="exact"/>
              <w:rPr>
                <w:rFonts w:ascii="Times New Roman" w:hAnsi="Times New Roman" w:eastAsia="方正仿宋_GBK"/>
                <w:sz w:val="18"/>
                <w:szCs w:val="18"/>
              </w:rPr>
            </w:pPr>
          </w:p>
        </w:tc>
        <w:tc>
          <w:tcPr>
            <w:tcW w:w="1388" w:type="dxa"/>
            <w:noWrap w:val="0"/>
            <w:vAlign w:val="center"/>
          </w:tcPr>
          <w:p w14:paraId="4E91D840">
            <w:pPr>
              <w:spacing w:line="240" w:lineRule="exact"/>
              <w:rPr>
                <w:rFonts w:ascii="Times New Roman" w:hAnsi="Times New Roman" w:eastAsia="方正仿宋_GBK"/>
                <w:sz w:val="18"/>
                <w:szCs w:val="18"/>
              </w:rPr>
            </w:pPr>
            <w:r>
              <w:rPr>
                <w:rFonts w:hint="eastAsia" w:ascii="Times New Roman" w:hAnsi="Times New Roman" w:eastAsia="方正仿宋_GBK"/>
                <w:sz w:val="18"/>
                <w:szCs w:val="18"/>
              </w:rPr>
              <w:t>海东市</w:t>
            </w:r>
            <w:r>
              <w:rPr>
                <w:rFonts w:ascii="Times New Roman" w:hAnsi="Times New Roman" w:eastAsia="方正仿宋_GBK"/>
                <w:sz w:val="18"/>
                <w:szCs w:val="18"/>
              </w:rPr>
              <w:t>化隆县思源实验学校对口支援体育用品受援项目</w:t>
            </w:r>
          </w:p>
        </w:tc>
        <w:tc>
          <w:tcPr>
            <w:tcW w:w="6520" w:type="dxa"/>
            <w:noWrap w:val="0"/>
            <w:vAlign w:val="center"/>
          </w:tcPr>
          <w:p w14:paraId="60BF6961">
            <w:pPr>
              <w:spacing w:line="240" w:lineRule="exact"/>
              <w:ind w:firstLine="360" w:firstLineChars="200"/>
              <w:rPr>
                <w:rFonts w:ascii="Times New Roman" w:hAnsi="Times New Roman" w:eastAsia="方正仿宋_GBK"/>
                <w:sz w:val="18"/>
                <w:szCs w:val="18"/>
              </w:rPr>
            </w:pPr>
            <w:r>
              <w:rPr>
                <w:rFonts w:hint="eastAsia" w:ascii="Times New Roman" w:hAnsi="Times New Roman" w:eastAsia="方正仿宋_GBK"/>
                <w:sz w:val="18"/>
                <w:szCs w:val="18"/>
              </w:rPr>
              <w:t>购置</w:t>
            </w:r>
            <w:r>
              <w:rPr>
                <w:rFonts w:ascii="Times New Roman" w:hAnsi="Times New Roman" w:eastAsia="方正仿宋_GBK"/>
                <w:sz w:val="18"/>
                <w:szCs w:val="18"/>
              </w:rPr>
              <w:t>8人制足球门1对。乒乓球桌20台。乒乓球拍100套。羽毛球柱4个。羽毛球拍100套。篮球100个。足球100个。通过体育锻炼，培养学生的体育爱好，增强学生体质</w:t>
            </w:r>
            <w:r>
              <w:rPr>
                <w:rFonts w:hint="eastAsia" w:ascii="Times New Roman" w:hAnsi="Times New Roman" w:eastAsia="方正仿宋_GBK"/>
                <w:sz w:val="18"/>
                <w:szCs w:val="18"/>
              </w:rPr>
              <w:t>。</w:t>
            </w:r>
          </w:p>
        </w:tc>
        <w:tc>
          <w:tcPr>
            <w:tcW w:w="567" w:type="dxa"/>
            <w:noWrap w:val="0"/>
            <w:vAlign w:val="center"/>
          </w:tcPr>
          <w:p w14:paraId="0873077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4FDC755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1134" w:type="dxa"/>
            <w:noWrap w:val="0"/>
            <w:vAlign w:val="center"/>
          </w:tcPr>
          <w:p w14:paraId="12C154A5">
            <w:pPr>
              <w:spacing w:line="240" w:lineRule="exact"/>
              <w:rPr>
                <w:rFonts w:ascii="Times New Roman" w:hAnsi="Times New Roman" w:eastAsia="方正仿宋_GBK"/>
                <w:sz w:val="18"/>
                <w:szCs w:val="18"/>
              </w:rPr>
            </w:pPr>
            <w:r>
              <w:rPr>
                <w:rFonts w:ascii="Times New Roman" w:hAnsi="Times New Roman" w:eastAsia="方正仿宋_GBK"/>
                <w:sz w:val="18"/>
                <w:szCs w:val="18"/>
              </w:rPr>
              <w:t>化隆县思源实验学校</w:t>
            </w:r>
          </w:p>
        </w:tc>
        <w:tc>
          <w:tcPr>
            <w:tcW w:w="1231" w:type="dxa"/>
            <w:noWrap w:val="0"/>
            <w:vAlign w:val="center"/>
          </w:tcPr>
          <w:p w14:paraId="6AE54E56">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3461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6" w:hRule="exact"/>
          <w:jc w:val="center"/>
        </w:trPr>
        <w:tc>
          <w:tcPr>
            <w:tcW w:w="465" w:type="dxa"/>
            <w:noWrap w:val="0"/>
            <w:vAlign w:val="center"/>
          </w:tcPr>
          <w:p w14:paraId="67E094BF">
            <w:pPr>
              <w:jc w:val="center"/>
              <w:rPr>
                <w:rFonts w:ascii="Times New Roman" w:hAnsi="Times New Roman"/>
                <w:sz w:val="18"/>
                <w:szCs w:val="18"/>
              </w:rPr>
            </w:pPr>
            <w:r>
              <w:rPr>
                <w:rFonts w:ascii="Times New Roman" w:hAnsi="Times New Roman"/>
                <w:sz w:val="18"/>
                <w:szCs w:val="18"/>
              </w:rPr>
              <w:t>40</w:t>
            </w:r>
          </w:p>
        </w:tc>
        <w:tc>
          <w:tcPr>
            <w:tcW w:w="658" w:type="dxa"/>
            <w:vMerge w:val="continue"/>
            <w:noWrap w:val="0"/>
            <w:vAlign w:val="center"/>
          </w:tcPr>
          <w:p w14:paraId="5B42EFE1">
            <w:pPr>
              <w:spacing w:line="240" w:lineRule="exact"/>
              <w:rPr>
                <w:rFonts w:ascii="Times New Roman" w:hAnsi="Times New Roman" w:eastAsia="方正仿宋_GBK"/>
                <w:sz w:val="18"/>
                <w:szCs w:val="18"/>
              </w:rPr>
            </w:pPr>
          </w:p>
        </w:tc>
        <w:tc>
          <w:tcPr>
            <w:tcW w:w="1388" w:type="dxa"/>
            <w:noWrap w:val="0"/>
            <w:vAlign w:val="center"/>
          </w:tcPr>
          <w:p w14:paraId="01716E9D">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海东市循化县清水乡下庄村乡村振兴示范点路灯安装项目</w:t>
            </w:r>
          </w:p>
        </w:tc>
        <w:tc>
          <w:tcPr>
            <w:tcW w:w="6520" w:type="dxa"/>
            <w:noWrap w:val="0"/>
            <w:vAlign w:val="center"/>
          </w:tcPr>
          <w:p w14:paraId="5CB7904D">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清水乡下庄村乡村振兴示范点是我乡重点打造的东西部协作项目示范点，近几年在苏青对口帮扶单位的支持下下庄村英雄湾小农家已初具规模，目前已产生效益。但由于资金短缺的原因，从清水乡中心学校到英雄湾小农家之间的路没有路灯，同时该路段也是中下学生放学和活动的重点路段，存在一定的安全隐患。该路段需安装太阳能路灯40盏。该项目不仅解决“最后一公里”的照明问题，更体现政府对教育和乡村振兴点的重视，完善基础设施还可吸引外部的投资或考察，强化示范点的典型带动作用。</w:t>
            </w:r>
          </w:p>
        </w:tc>
        <w:tc>
          <w:tcPr>
            <w:tcW w:w="567" w:type="dxa"/>
            <w:noWrap w:val="0"/>
            <w:vAlign w:val="center"/>
          </w:tcPr>
          <w:p w14:paraId="13B04BB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6B1CA8D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1C4B7823">
            <w:pPr>
              <w:spacing w:line="240" w:lineRule="exact"/>
              <w:rPr>
                <w:rFonts w:ascii="Times New Roman" w:hAnsi="Times New Roman" w:eastAsia="方正仿宋_GBK"/>
                <w:sz w:val="18"/>
                <w:szCs w:val="18"/>
              </w:rPr>
            </w:pPr>
            <w:r>
              <w:rPr>
                <w:rFonts w:ascii="Times New Roman" w:hAnsi="Times New Roman" w:eastAsia="方正仿宋_GBK"/>
                <w:sz w:val="18"/>
                <w:szCs w:val="18"/>
              </w:rPr>
              <w:t>清水乡人民政府</w:t>
            </w:r>
          </w:p>
        </w:tc>
        <w:tc>
          <w:tcPr>
            <w:tcW w:w="1231" w:type="dxa"/>
            <w:noWrap w:val="0"/>
            <w:vAlign w:val="center"/>
          </w:tcPr>
          <w:p w14:paraId="63205C72">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447FC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8" w:hRule="exact"/>
          <w:jc w:val="center"/>
        </w:trPr>
        <w:tc>
          <w:tcPr>
            <w:tcW w:w="465" w:type="dxa"/>
            <w:noWrap w:val="0"/>
            <w:vAlign w:val="center"/>
          </w:tcPr>
          <w:p w14:paraId="7EDEEFCF">
            <w:pPr>
              <w:jc w:val="center"/>
              <w:rPr>
                <w:rFonts w:ascii="Times New Roman" w:hAnsi="Times New Roman"/>
                <w:sz w:val="18"/>
                <w:szCs w:val="18"/>
              </w:rPr>
            </w:pPr>
            <w:r>
              <w:rPr>
                <w:rFonts w:ascii="Times New Roman" w:hAnsi="Times New Roman"/>
                <w:sz w:val="18"/>
                <w:szCs w:val="18"/>
              </w:rPr>
              <w:t>41</w:t>
            </w:r>
          </w:p>
        </w:tc>
        <w:tc>
          <w:tcPr>
            <w:tcW w:w="658" w:type="dxa"/>
            <w:vMerge w:val="continue"/>
            <w:noWrap w:val="0"/>
            <w:vAlign w:val="center"/>
          </w:tcPr>
          <w:p w14:paraId="495422A8">
            <w:pPr>
              <w:spacing w:line="240" w:lineRule="exact"/>
              <w:rPr>
                <w:rFonts w:ascii="Times New Roman" w:hAnsi="Times New Roman" w:eastAsia="方正仿宋_GBK"/>
                <w:sz w:val="18"/>
                <w:szCs w:val="18"/>
              </w:rPr>
            </w:pPr>
          </w:p>
        </w:tc>
        <w:tc>
          <w:tcPr>
            <w:tcW w:w="1388" w:type="dxa"/>
            <w:noWrap w:val="0"/>
            <w:vAlign w:val="center"/>
          </w:tcPr>
          <w:p w14:paraId="3BBCD1FF">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海东市锡海“医”路同行·健康扶贫手术援助项目</w:t>
            </w:r>
          </w:p>
        </w:tc>
        <w:tc>
          <w:tcPr>
            <w:tcW w:w="6520" w:type="dxa"/>
            <w:noWrap w:val="0"/>
            <w:vAlign w:val="center"/>
          </w:tcPr>
          <w:p w14:paraId="26406C25">
            <w:pPr>
              <w:spacing w:line="240" w:lineRule="exact"/>
              <w:ind w:firstLine="360" w:firstLineChars="200"/>
              <w:rPr>
                <w:rFonts w:ascii="Times New Roman" w:hAnsi="Times New Roman" w:eastAsia="方正仿宋_GBK"/>
                <w:sz w:val="18"/>
                <w:szCs w:val="18"/>
              </w:rPr>
            </w:pPr>
            <w:r>
              <w:rPr>
                <w:rFonts w:hint="eastAsia" w:ascii="Times New Roman" w:hAnsi="Times New Roman" w:eastAsia="方正仿宋_GBK"/>
                <w:sz w:val="18"/>
                <w:szCs w:val="18"/>
              </w:rPr>
              <w:t>1.</w:t>
            </w:r>
            <w:r>
              <w:rPr>
                <w:rFonts w:ascii="Times New Roman" w:hAnsi="Times New Roman" w:eastAsia="方正仿宋_GBK"/>
                <w:sz w:val="18"/>
                <w:szCs w:val="18"/>
              </w:rPr>
              <w:t>民生保障：为海东贫困人群提供手术费用支持，帮助他们摆脱因经济困难无法进行手术的困境，解决因病致贫、因病返贫问题，改善基本生活质量，让贫困患者重获健康希望。</w:t>
            </w:r>
            <w:r>
              <w:rPr>
                <w:rFonts w:hint="eastAsia" w:ascii="Times New Roman" w:hAnsi="Times New Roman" w:eastAsia="方正仿宋_GBK"/>
                <w:sz w:val="18"/>
                <w:szCs w:val="18"/>
              </w:rPr>
              <w:t>2.</w:t>
            </w:r>
            <w:r>
              <w:rPr>
                <w:rFonts w:ascii="Times New Roman" w:hAnsi="Times New Roman" w:eastAsia="方正仿宋_GBK"/>
                <w:sz w:val="18"/>
                <w:szCs w:val="18"/>
              </w:rPr>
              <w:t>深化协作：加强无锡市与海东地区在医疗卫生领域的协作交流，增进两地情谊，推动东西部协作向更深入、更全面的方向发展，树立东西部协作帮扶的典范。</w:t>
            </w:r>
            <w:r>
              <w:rPr>
                <w:rFonts w:hint="eastAsia" w:ascii="Times New Roman" w:hAnsi="Times New Roman" w:eastAsia="方正仿宋_GBK"/>
                <w:sz w:val="18"/>
                <w:szCs w:val="18"/>
              </w:rPr>
              <w:t>3.</w:t>
            </w:r>
            <w:r>
              <w:rPr>
                <w:rFonts w:ascii="Times New Roman" w:hAnsi="Times New Roman" w:eastAsia="方正仿宋_GBK"/>
                <w:sz w:val="18"/>
                <w:szCs w:val="18"/>
              </w:rPr>
              <w:t>能力提升：借助无锡市或江苏省专家来院手术的契机，通过现场示范、经验分享和交流指导，让海东二院当地医务人员近距离学习先进的手术技术和理念，提升其自主开展手术的能力和医疗服务水平，为当地留下一支带不走的医疗队伍。</w:t>
            </w:r>
          </w:p>
        </w:tc>
        <w:tc>
          <w:tcPr>
            <w:tcW w:w="567" w:type="dxa"/>
            <w:noWrap w:val="0"/>
            <w:vAlign w:val="center"/>
          </w:tcPr>
          <w:p w14:paraId="30678BD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4ED0CDC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53C5CF06">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海东市第二人民医院</w:t>
            </w:r>
          </w:p>
        </w:tc>
        <w:tc>
          <w:tcPr>
            <w:tcW w:w="1231" w:type="dxa"/>
            <w:noWrap w:val="0"/>
            <w:vAlign w:val="center"/>
          </w:tcPr>
          <w:p w14:paraId="43C0D81C">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9771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27" w:hRule="exact"/>
          <w:jc w:val="center"/>
        </w:trPr>
        <w:tc>
          <w:tcPr>
            <w:tcW w:w="465" w:type="dxa"/>
            <w:noWrap w:val="0"/>
            <w:vAlign w:val="center"/>
          </w:tcPr>
          <w:p w14:paraId="0B488564">
            <w:pPr>
              <w:jc w:val="center"/>
              <w:rPr>
                <w:rFonts w:ascii="Times New Roman" w:hAnsi="Times New Roman"/>
                <w:sz w:val="18"/>
                <w:szCs w:val="18"/>
              </w:rPr>
            </w:pPr>
            <w:r>
              <w:rPr>
                <w:rFonts w:ascii="Times New Roman" w:hAnsi="Times New Roman"/>
                <w:sz w:val="18"/>
                <w:szCs w:val="18"/>
              </w:rPr>
              <w:t>42</w:t>
            </w:r>
          </w:p>
        </w:tc>
        <w:tc>
          <w:tcPr>
            <w:tcW w:w="658" w:type="dxa"/>
            <w:vMerge w:val="restart"/>
            <w:noWrap w:val="0"/>
            <w:vAlign w:val="center"/>
          </w:tcPr>
          <w:p w14:paraId="1A146162">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6423F9CB">
            <w:pPr>
              <w:spacing w:line="240" w:lineRule="exact"/>
              <w:rPr>
                <w:rFonts w:ascii="Times New Roman" w:hAnsi="Times New Roman" w:eastAsia="方正仿宋_GBK"/>
                <w:sz w:val="18"/>
                <w:szCs w:val="18"/>
              </w:rPr>
            </w:pPr>
            <w:r>
              <w:rPr>
                <w:rFonts w:ascii="Times New Roman" w:hAnsi="Times New Roman" w:eastAsia="方正仿宋_GBK"/>
                <w:sz w:val="18"/>
                <w:szCs w:val="18"/>
              </w:rPr>
              <w:t>玉树市防返贫救助项目</w:t>
            </w:r>
          </w:p>
        </w:tc>
        <w:tc>
          <w:tcPr>
            <w:tcW w:w="6520" w:type="dxa"/>
            <w:noWrap w:val="0"/>
            <w:vAlign w:val="center"/>
          </w:tcPr>
          <w:p w14:paraId="2E42BBA4">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玉树市从产业项目收益中提取一部份资金用于开展防返贫救助工作，资金不足，特此申请。1、农牧民家庭为无固定经济来源的低收入家庭，家庭中子女接受异地全日制普通高职、中职、专科、预科、本科教育，且教育刚性支出巨大的农牧民家庭。2、受到突发严重灾害，导致诱发返贫风险的农牧户家庭。3、因病产生巨大刚性支出的农牧户，医疗报销自付部分每年超3万以上家庭。项目的实施减轻困难家庭因学、因病、因灾导致家庭产生巨大刚性支出的农牧户（含监测户、脱贫户、低保户）经济负担</w:t>
            </w:r>
            <w:r>
              <w:rPr>
                <w:rFonts w:hint="eastAsia" w:ascii="Times New Roman" w:hAnsi="Times New Roman" w:eastAsia="方正仿宋_GBK"/>
                <w:sz w:val="18"/>
                <w:szCs w:val="18"/>
              </w:rPr>
              <w:t>。</w:t>
            </w:r>
          </w:p>
        </w:tc>
        <w:tc>
          <w:tcPr>
            <w:tcW w:w="567" w:type="dxa"/>
            <w:noWrap w:val="0"/>
            <w:vAlign w:val="center"/>
          </w:tcPr>
          <w:p w14:paraId="55D8BD6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7D4D0FA5">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3C709798">
            <w:pPr>
              <w:spacing w:line="240" w:lineRule="exact"/>
              <w:rPr>
                <w:rFonts w:ascii="Times New Roman" w:hAnsi="Times New Roman" w:eastAsia="方正仿宋_GBK"/>
                <w:sz w:val="18"/>
                <w:szCs w:val="18"/>
              </w:rPr>
            </w:pPr>
            <w:r>
              <w:rPr>
                <w:rFonts w:ascii="Times New Roman" w:hAnsi="Times New Roman" w:eastAsia="方正仿宋_GBK"/>
                <w:sz w:val="18"/>
                <w:szCs w:val="18"/>
              </w:rPr>
              <w:t>玉树市农牧和科技局</w:t>
            </w:r>
          </w:p>
        </w:tc>
        <w:tc>
          <w:tcPr>
            <w:tcW w:w="1231" w:type="dxa"/>
            <w:noWrap w:val="0"/>
            <w:vAlign w:val="center"/>
          </w:tcPr>
          <w:p w14:paraId="66183507">
            <w:pPr>
              <w:spacing w:line="180" w:lineRule="exact"/>
              <w:rPr>
                <w:rFonts w:ascii="Times New Roman" w:hAnsi="Times New Roman" w:eastAsia="方正仿宋_GBK"/>
                <w:sz w:val="18"/>
                <w:szCs w:val="18"/>
              </w:rPr>
            </w:pPr>
            <w:r>
              <w:rPr>
                <w:rFonts w:ascii="Times New Roman" w:hAnsi="Times New Roman" w:eastAsia="方正仿宋_GBK"/>
                <w:sz w:val="18"/>
                <w:szCs w:val="18"/>
              </w:rPr>
              <w:t>可出具行政事业单位资金往来结算票据，并后附受助群众一卡通转账记录</w:t>
            </w:r>
          </w:p>
        </w:tc>
      </w:tr>
      <w:tr w14:paraId="2AD19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60" w:hRule="exact"/>
          <w:jc w:val="center"/>
        </w:trPr>
        <w:tc>
          <w:tcPr>
            <w:tcW w:w="465" w:type="dxa"/>
            <w:noWrap w:val="0"/>
            <w:vAlign w:val="center"/>
          </w:tcPr>
          <w:p w14:paraId="498122A7">
            <w:pPr>
              <w:jc w:val="center"/>
              <w:rPr>
                <w:rFonts w:ascii="Times New Roman" w:hAnsi="Times New Roman"/>
                <w:sz w:val="18"/>
                <w:szCs w:val="18"/>
              </w:rPr>
            </w:pPr>
            <w:r>
              <w:rPr>
                <w:rFonts w:ascii="Times New Roman" w:hAnsi="Times New Roman"/>
                <w:sz w:val="18"/>
                <w:szCs w:val="18"/>
              </w:rPr>
              <w:t>43</w:t>
            </w:r>
          </w:p>
        </w:tc>
        <w:tc>
          <w:tcPr>
            <w:tcW w:w="658" w:type="dxa"/>
            <w:vMerge w:val="continue"/>
            <w:noWrap w:val="0"/>
            <w:vAlign w:val="center"/>
          </w:tcPr>
          <w:p w14:paraId="24E78423">
            <w:pPr>
              <w:spacing w:line="240" w:lineRule="exact"/>
              <w:rPr>
                <w:rFonts w:ascii="Times New Roman" w:hAnsi="Times New Roman" w:eastAsia="方正仿宋_GBK"/>
                <w:sz w:val="18"/>
                <w:szCs w:val="18"/>
              </w:rPr>
            </w:pPr>
          </w:p>
        </w:tc>
        <w:tc>
          <w:tcPr>
            <w:tcW w:w="1388" w:type="dxa"/>
            <w:noWrap w:val="0"/>
            <w:vAlign w:val="center"/>
          </w:tcPr>
          <w:p w14:paraId="72171AF4">
            <w:pPr>
              <w:spacing w:line="240" w:lineRule="exact"/>
              <w:rPr>
                <w:rFonts w:ascii="Times New Roman" w:hAnsi="Times New Roman" w:eastAsia="方正仿宋_GBK"/>
                <w:sz w:val="18"/>
                <w:szCs w:val="18"/>
              </w:rPr>
            </w:pPr>
            <w:r>
              <w:rPr>
                <w:rFonts w:ascii="Times New Roman" w:hAnsi="Times New Roman" w:eastAsia="方正仿宋_GBK"/>
                <w:sz w:val="18"/>
                <w:szCs w:val="18"/>
              </w:rPr>
              <w:t>玉树州曲麻莱县购置乡寄宿学校食堂设备项目</w:t>
            </w:r>
          </w:p>
        </w:tc>
        <w:tc>
          <w:tcPr>
            <w:tcW w:w="6520" w:type="dxa"/>
            <w:noWrap w:val="0"/>
            <w:vAlign w:val="center"/>
          </w:tcPr>
          <w:p w14:paraId="51CDABBA">
            <w:pPr>
              <w:spacing w:line="240" w:lineRule="exact"/>
              <w:ind w:firstLine="360" w:firstLineChars="200"/>
              <w:rPr>
                <w:rFonts w:ascii="Times New Roman" w:hAnsi="Times New Roman" w:eastAsia="方正仿宋_GBK"/>
                <w:sz w:val="18"/>
                <w:szCs w:val="18"/>
              </w:rPr>
            </w:pPr>
            <w:r>
              <w:rPr>
                <w:rFonts w:hint="eastAsia" w:ascii="Times New Roman" w:hAnsi="Times New Roman" w:eastAsia="方正仿宋_GBK"/>
                <w:sz w:val="18"/>
                <w:szCs w:val="18"/>
              </w:rPr>
              <w:t>购置</w:t>
            </w:r>
            <w:r>
              <w:rPr>
                <w:rFonts w:ascii="Times New Roman" w:hAnsi="Times New Roman" w:eastAsia="方正仿宋_GBK"/>
                <w:sz w:val="18"/>
                <w:szCs w:val="18"/>
              </w:rPr>
              <w:t>小型洗碗机：3万元</w:t>
            </w:r>
            <w:r>
              <w:rPr>
                <w:rFonts w:hint="eastAsia" w:ascii="Times New Roman" w:hAnsi="Times New Roman" w:eastAsia="方正仿宋_GBK"/>
                <w:sz w:val="18"/>
                <w:szCs w:val="18"/>
              </w:rPr>
              <w:t>，</w:t>
            </w:r>
            <w:r>
              <w:rPr>
                <w:rFonts w:ascii="Times New Roman" w:hAnsi="Times New Roman" w:eastAsia="方正仿宋_GBK"/>
                <w:sz w:val="18"/>
                <w:szCs w:val="18"/>
              </w:rPr>
              <w:t>洗菜机：1.2万元</w:t>
            </w:r>
            <w:r>
              <w:rPr>
                <w:rFonts w:hint="eastAsia" w:ascii="Times New Roman" w:hAnsi="Times New Roman" w:eastAsia="方正仿宋_GBK"/>
                <w:sz w:val="18"/>
                <w:szCs w:val="18"/>
              </w:rPr>
              <w:t>，</w:t>
            </w:r>
            <w:r>
              <w:rPr>
                <w:rFonts w:ascii="Times New Roman" w:hAnsi="Times New Roman" w:eastAsia="方正仿宋_GBK"/>
                <w:sz w:val="18"/>
                <w:szCs w:val="18"/>
              </w:rPr>
              <w:t>蒸饭机：2.4万元</w:t>
            </w:r>
            <w:r>
              <w:rPr>
                <w:rFonts w:hint="eastAsia" w:ascii="Times New Roman" w:hAnsi="Times New Roman" w:eastAsia="方正仿宋_GBK"/>
                <w:sz w:val="18"/>
                <w:szCs w:val="18"/>
              </w:rPr>
              <w:t>，</w:t>
            </w:r>
            <w:r>
              <w:rPr>
                <w:rFonts w:ascii="Times New Roman" w:hAnsi="Times New Roman" w:eastAsia="方正仿宋_GBK"/>
                <w:sz w:val="18"/>
                <w:szCs w:val="18"/>
              </w:rPr>
              <w:t>刀具组合消毒柜：2.4万元</w:t>
            </w:r>
            <w:r>
              <w:rPr>
                <w:rFonts w:hint="eastAsia" w:ascii="Times New Roman" w:hAnsi="Times New Roman" w:eastAsia="方正仿宋_GBK"/>
                <w:sz w:val="18"/>
                <w:szCs w:val="18"/>
              </w:rPr>
              <w:t>，</w:t>
            </w:r>
            <w:r>
              <w:rPr>
                <w:rFonts w:ascii="Times New Roman" w:hAnsi="Times New Roman" w:eastAsia="方正仿宋_GBK"/>
                <w:sz w:val="18"/>
                <w:szCs w:val="18"/>
              </w:rPr>
              <w:t>切菜机：1.6万元。</w:t>
            </w:r>
          </w:p>
        </w:tc>
        <w:tc>
          <w:tcPr>
            <w:tcW w:w="567" w:type="dxa"/>
            <w:noWrap w:val="0"/>
            <w:vAlign w:val="center"/>
          </w:tcPr>
          <w:p w14:paraId="2AEDB34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3ED72CA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10.6</w:t>
            </w:r>
          </w:p>
        </w:tc>
        <w:tc>
          <w:tcPr>
            <w:tcW w:w="1134" w:type="dxa"/>
            <w:noWrap w:val="0"/>
            <w:vAlign w:val="center"/>
          </w:tcPr>
          <w:p w14:paraId="145E6CFE">
            <w:pPr>
              <w:spacing w:line="240" w:lineRule="exact"/>
              <w:rPr>
                <w:rFonts w:ascii="Times New Roman" w:hAnsi="Times New Roman" w:eastAsia="方正仿宋_GBK"/>
                <w:sz w:val="18"/>
                <w:szCs w:val="18"/>
              </w:rPr>
            </w:pPr>
            <w:r>
              <w:rPr>
                <w:rFonts w:ascii="Times New Roman" w:hAnsi="Times New Roman" w:eastAsia="方正仿宋_GBK"/>
                <w:sz w:val="18"/>
                <w:szCs w:val="18"/>
              </w:rPr>
              <w:t>叶格乡中心寄宿制学校</w:t>
            </w:r>
          </w:p>
        </w:tc>
        <w:tc>
          <w:tcPr>
            <w:tcW w:w="1231" w:type="dxa"/>
            <w:noWrap w:val="0"/>
            <w:vAlign w:val="center"/>
          </w:tcPr>
          <w:p w14:paraId="6E60822D">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761AA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27" w:hRule="exact"/>
          <w:jc w:val="center"/>
        </w:trPr>
        <w:tc>
          <w:tcPr>
            <w:tcW w:w="465" w:type="dxa"/>
            <w:noWrap w:val="0"/>
            <w:vAlign w:val="center"/>
          </w:tcPr>
          <w:p w14:paraId="52EE53A2">
            <w:pPr>
              <w:widowControl/>
              <w:jc w:val="center"/>
              <w:rPr>
                <w:rFonts w:ascii="Times New Roman" w:hAnsi="Times New Roman"/>
                <w:color w:val="000000"/>
                <w:kern w:val="0"/>
                <w:sz w:val="18"/>
                <w:szCs w:val="18"/>
              </w:rPr>
            </w:pPr>
            <w:r>
              <w:rPr>
                <w:rFonts w:ascii="Times New Roman" w:hAnsi="Times New Roman"/>
                <w:color w:val="000000"/>
                <w:sz w:val="18"/>
                <w:szCs w:val="18"/>
              </w:rPr>
              <w:t>44</w:t>
            </w:r>
          </w:p>
        </w:tc>
        <w:tc>
          <w:tcPr>
            <w:tcW w:w="658" w:type="dxa"/>
            <w:vMerge w:val="restart"/>
            <w:noWrap w:val="0"/>
            <w:vAlign w:val="center"/>
          </w:tcPr>
          <w:p w14:paraId="42152DA9">
            <w:pPr>
              <w:widowControl/>
              <w:spacing w:line="240" w:lineRule="exact"/>
              <w:jc w:val="center"/>
              <w:rPr>
                <w:rFonts w:ascii="Times New Roman" w:hAnsi="Times New Roman" w:eastAsia="方正仿宋_GBK"/>
                <w:kern w:val="0"/>
                <w:sz w:val="18"/>
                <w:szCs w:val="18"/>
              </w:rPr>
            </w:pPr>
            <w:r>
              <w:rPr>
                <w:rFonts w:ascii="Times New Roman" w:hAnsi="Times New Roman" w:eastAsia="方正仿宋_GBK"/>
                <w:sz w:val="18"/>
                <w:szCs w:val="18"/>
              </w:rPr>
              <w:t>陕西省</w:t>
            </w:r>
          </w:p>
        </w:tc>
        <w:tc>
          <w:tcPr>
            <w:tcW w:w="1388" w:type="dxa"/>
            <w:noWrap w:val="0"/>
            <w:vAlign w:val="center"/>
          </w:tcPr>
          <w:p w14:paraId="6A4E096C">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汉中市城固县爱心助学</w:t>
            </w:r>
          </w:p>
        </w:tc>
        <w:tc>
          <w:tcPr>
            <w:tcW w:w="6520" w:type="dxa"/>
            <w:noWrap w:val="0"/>
            <w:vAlign w:val="center"/>
          </w:tcPr>
          <w:p w14:paraId="759C46E0">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通过“学生申请→学生户籍所在地镇（街道）核实推荐→民政局审核”，对县域内的家庭困难（重点考虑符合以下条件的学生：</w:t>
            </w:r>
            <w:r>
              <w:rPr>
                <w:rFonts w:hint="eastAsia" w:ascii="宋体" w:hAnsi="宋体" w:cs="宋体"/>
                <w:sz w:val="18"/>
                <w:szCs w:val="18"/>
              </w:rPr>
              <w:t>①</w:t>
            </w:r>
            <w:r>
              <w:rPr>
                <w:rFonts w:ascii="Times New Roman" w:hAnsi="Times New Roman" w:eastAsia="方正仿宋_GBK"/>
                <w:sz w:val="18"/>
                <w:szCs w:val="18"/>
              </w:rPr>
              <w:t>孤儿；</w:t>
            </w:r>
            <w:r>
              <w:rPr>
                <w:rFonts w:hint="eastAsia" w:ascii="宋体" w:hAnsi="宋体" w:cs="宋体"/>
                <w:sz w:val="18"/>
                <w:szCs w:val="18"/>
              </w:rPr>
              <w:t>②</w:t>
            </w:r>
            <w:r>
              <w:rPr>
                <w:rFonts w:ascii="Times New Roman" w:hAnsi="Times New Roman" w:eastAsia="方正仿宋_GBK"/>
                <w:sz w:val="18"/>
                <w:szCs w:val="18"/>
              </w:rPr>
              <w:t>享受低保家庭；</w:t>
            </w:r>
            <w:r>
              <w:rPr>
                <w:rFonts w:hint="eastAsia" w:ascii="宋体" w:hAnsi="宋体" w:cs="宋体"/>
                <w:sz w:val="18"/>
                <w:szCs w:val="18"/>
              </w:rPr>
              <w:t>③</w:t>
            </w:r>
            <w:r>
              <w:rPr>
                <w:rFonts w:ascii="Times New Roman" w:hAnsi="Times New Roman" w:eastAsia="方正仿宋_GBK"/>
                <w:sz w:val="18"/>
                <w:szCs w:val="18"/>
              </w:rPr>
              <w:t>长期患重大疾病、家庭遭遇自然灾害损失巨大）且品学兼优的高一新生发放资助金2000元/人/年。项目期间，不定期了解学生状况等，广泛动员社会力量</w:t>
            </w:r>
            <w:r>
              <w:rPr>
                <w:rFonts w:hint="eastAsia" w:ascii="Times New Roman" w:hAnsi="Times New Roman" w:eastAsia="方正仿宋_GBK"/>
                <w:sz w:val="18"/>
                <w:szCs w:val="18"/>
              </w:rPr>
              <w:t>持续</w:t>
            </w:r>
            <w:r>
              <w:rPr>
                <w:rFonts w:ascii="Times New Roman" w:hAnsi="Times New Roman" w:eastAsia="方正仿宋_GBK"/>
                <w:sz w:val="18"/>
                <w:szCs w:val="18"/>
              </w:rPr>
              <w:t>参与。</w:t>
            </w:r>
          </w:p>
        </w:tc>
        <w:tc>
          <w:tcPr>
            <w:tcW w:w="567" w:type="dxa"/>
            <w:noWrap w:val="0"/>
            <w:vAlign w:val="center"/>
          </w:tcPr>
          <w:p w14:paraId="7FD02A5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36</w:t>
            </w:r>
          </w:p>
        </w:tc>
        <w:tc>
          <w:tcPr>
            <w:tcW w:w="709" w:type="dxa"/>
            <w:noWrap w:val="0"/>
            <w:vAlign w:val="center"/>
          </w:tcPr>
          <w:p w14:paraId="1E30AA5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1134" w:type="dxa"/>
            <w:noWrap w:val="0"/>
            <w:vAlign w:val="center"/>
          </w:tcPr>
          <w:p w14:paraId="3F65BA4E">
            <w:pPr>
              <w:spacing w:line="240" w:lineRule="exact"/>
              <w:rPr>
                <w:rFonts w:ascii="Times New Roman" w:hAnsi="Times New Roman" w:eastAsia="方正仿宋_GBK"/>
                <w:sz w:val="18"/>
                <w:szCs w:val="18"/>
              </w:rPr>
            </w:pPr>
            <w:r>
              <w:rPr>
                <w:rFonts w:ascii="Times New Roman" w:hAnsi="Times New Roman" w:eastAsia="方正仿宋_GBK"/>
                <w:sz w:val="18"/>
                <w:szCs w:val="18"/>
              </w:rPr>
              <w:t>城固县民政局</w:t>
            </w:r>
          </w:p>
        </w:tc>
        <w:tc>
          <w:tcPr>
            <w:tcW w:w="1231" w:type="dxa"/>
            <w:noWrap w:val="0"/>
            <w:vAlign w:val="center"/>
          </w:tcPr>
          <w:p w14:paraId="1FAD4F65">
            <w:pPr>
              <w:spacing w:line="24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63AF5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75" w:hRule="exact"/>
          <w:jc w:val="center"/>
        </w:trPr>
        <w:tc>
          <w:tcPr>
            <w:tcW w:w="465" w:type="dxa"/>
            <w:noWrap w:val="0"/>
            <w:vAlign w:val="center"/>
          </w:tcPr>
          <w:p w14:paraId="46584355">
            <w:pPr>
              <w:jc w:val="center"/>
              <w:rPr>
                <w:rFonts w:ascii="Times New Roman" w:hAnsi="Times New Roman"/>
                <w:color w:val="000000"/>
                <w:sz w:val="18"/>
                <w:szCs w:val="18"/>
              </w:rPr>
            </w:pPr>
            <w:r>
              <w:rPr>
                <w:rFonts w:ascii="Times New Roman" w:hAnsi="Times New Roman"/>
                <w:color w:val="000000"/>
                <w:sz w:val="18"/>
                <w:szCs w:val="18"/>
              </w:rPr>
              <w:t>45</w:t>
            </w:r>
          </w:p>
        </w:tc>
        <w:tc>
          <w:tcPr>
            <w:tcW w:w="658" w:type="dxa"/>
            <w:vMerge w:val="continue"/>
            <w:noWrap w:val="0"/>
            <w:vAlign w:val="center"/>
          </w:tcPr>
          <w:p w14:paraId="10A94213">
            <w:pPr>
              <w:spacing w:line="240" w:lineRule="exact"/>
              <w:jc w:val="center"/>
              <w:rPr>
                <w:rFonts w:ascii="Times New Roman" w:hAnsi="Times New Roman" w:eastAsia="方正仿宋_GBK"/>
                <w:sz w:val="18"/>
                <w:szCs w:val="18"/>
              </w:rPr>
            </w:pPr>
          </w:p>
        </w:tc>
        <w:tc>
          <w:tcPr>
            <w:tcW w:w="1388" w:type="dxa"/>
            <w:noWrap w:val="0"/>
            <w:vAlign w:val="center"/>
          </w:tcPr>
          <w:p w14:paraId="7E977CEC">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汉中市洋县“社工伴童行携手护未来”困境儿童关爱项目</w:t>
            </w:r>
          </w:p>
        </w:tc>
        <w:tc>
          <w:tcPr>
            <w:tcW w:w="6520" w:type="dxa"/>
            <w:noWrap w:val="0"/>
            <w:vAlign w:val="center"/>
          </w:tcPr>
          <w:p w14:paraId="55377E2A">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通过专业社工利用专业社会工作方法，为县内孤儿、事实无人抚养儿童、流动儿童提供社工服务。计划10名特殊困境儿童提供个案辅导、为40名困境儿童开展小组活动，为30名困境儿童开展夏令营活动，为100名困境儿童捐赠“逐梦大礼包”。充分落实对孤儿、事实无人抚养儿童的关爱，推动困境儿童关爱服务向专业化、精准化、品牌化转变。</w:t>
            </w:r>
          </w:p>
        </w:tc>
        <w:tc>
          <w:tcPr>
            <w:tcW w:w="567" w:type="dxa"/>
            <w:noWrap w:val="0"/>
            <w:vAlign w:val="center"/>
          </w:tcPr>
          <w:p w14:paraId="1618750F">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709" w:type="dxa"/>
            <w:noWrap w:val="0"/>
            <w:vAlign w:val="center"/>
          </w:tcPr>
          <w:p w14:paraId="53372322">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14</w:t>
            </w:r>
          </w:p>
        </w:tc>
        <w:tc>
          <w:tcPr>
            <w:tcW w:w="1134" w:type="dxa"/>
            <w:noWrap w:val="0"/>
            <w:vAlign w:val="center"/>
          </w:tcPr>
          <w:p w14:paraId="2B07540C">
            <w:pPr>
              <w:spacing w:line="240" w:lineRule="exact"/>
              <w:rPr>
                <w:rFonts w:ascii="Times New Roman" w:hAnsi="Times New Roman" w:eastAsia="方正仿宋_GBK"/>
                <w:sz w:val="18"/>
                <w:szCs w:val="18"/>
              </w:rPr>
            </w:pPr>
            <w:r>
              <w:rPr>
                <w:rFonts w:ascii="Times New Roman" w:hAnsi="Times New Roman" w:eastAsia="方正仿宋_GBK"/>
                <w:sz w:val="18"/>
                <w:szCs w:val="18"/>
              </w:rPr>
              <w:t>洋县壹心益社会工作者协会</w:t>
            </w:r>
          </w:p>
        </w:tc>
        <w:tc>
          <w:tcPr>
            <w:tcW w:w="1231" w:type="dxa"/>
            <w:noWrap w:val="0"/>
            <w:vAlign w:val="center"/>
          </w:tcPr>
          <w:p w14:paraId="01D7E490">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9E5E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1" w:hRule="exact"/>
          <w:jc w:val="center"/>
        </w:trPr>
        <w:tc>
          <w:tcPr>
            <w:tcW w:w="465" w:type="dxa"/>
            <w:noWrap w:val="0"/>
            <w:vAlign w:val="center"/>
          </w:tcPr>
          <w:p w14:paraId="2769EB85">
            <w:pPr>
              <w:jc w:val="center"/>
              <w:rPr>
                <w:rFonts w:ascii="Times New Roman" w:hAnsi="Times New Roman"/>
                <w:color w:val="000000"/>
                <w:sz w:val="18"/>
                <w:szCs w:val="18"/>
              </w:rPr>
            </w:pPr>
            <w:r>
              <w:rPr>
                <w:rFonts w:ascii="Times New Roman" w:hAnsi="Times New Roman"/>
                <w:color w:val="000000"/>
                <w:sz w:val="18"/>
                <w:szCs w:val="18"/>
              </w:rPr>
              <w:t>46</w:t>
            </w:r>
          </w:p>
        </w:tc>
        <w:tc>
          <w:tcPr>
            <w:tcW w:w="658" w:type="dxa"/>
            <w:vMerge w:val="continue"/>
            <w:noWrap w:val="0"/>
            <w:vAlign w:val="center"/>
          </w:tcPr>
          <w:p w14:paraId="4927BBD3">
            <w:pPr>
              <w:spacing w:line="240" w:lineRule="exact"/>
              <w:jc w:val="center"/>
              <w:rPr>
                <w:rFonts w:ascii="Times New Roman" w:hAnsi="Times New Roman" w:eastAsia="方正仿宋_GBK"/>
                <w:sz w:val="18"/>
                <w:szCs w:val="18"/>
              </w:rPr>
            </w:pPr>
          </w:p>
        </w:tc>
        <w:tc>
          <w:tcPr>
            <w:tcW w:w="1388" w:type="dxa"/>
            <w:noWrap w:val="0"/>
            <w:vAlign w:val="center"/>
          </w:tcPr>
          <w:p w14:paraId="6F9C7DAB">
            <w:pPr>
              <w:spacing w:line="240" w:lineRule="exact"/>
              <w:ind w:left="90" w:hanging="90" w:hangingChars="50"/>
              <w:rPr>
                <w:rFonts w:ascii="Times New Roman" w:hAnsi="Times New Roman" w:eastAsia="方正仿宋_GBK"/>
                <w:sz w:val="18"/>
                <w:szCs w:val="18"/>
              </w:rPr>
            </w:pPr>
            <w:r>
              <w:rPr>
                <w:rFonts w:ascii="Times New Roman" w:hAnsi="Times New Roman" w:eastAsia="方正仿宋_GBK"/>
                <w:sz w:val="18"/>
                <w:szCs w:val="18"/>
              </w:rPr>
              <w:t>汉中市勉县“童心童声”秦巴山区儿童成长计划</w:t>
            </w:r>
          </w:p>
        </w:tc>
        <w:tc>
          <w:tcPr>
            <w:tcW w:w="6520" w:type="dxa"/>
            <w:noWrap w:val="0"/>
            <w:vAlign w:val="center"/>
          </w:tcPr>
          <w:p w14:paraId="25A4C850">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本项目在寒暑假期间为100名留守儿童开展成长志愿服务，包括：心理辅导、课业辅导、真情陪伴、书法、美术、舞蹈、茶艺、非遗等兴趣课。活动旨在：1.矫正偏差越轨行为，照料生活困难儿童，提供心理辅导咨询。2.对少年儿童进行兴趣、生活方式辅导、开发艺术潜能、认知、语言表达、社会交往和社会适应能力。</w:t>
            </w:r>
          </w:p>
        </w:tc>
        <w:tc>
          <w:tcPr>
            <w:tcW w:w="567" w:type="dxa"/>
            <w:noWrap w:val="0"/>
            <w:vAlign w:val="center"/>
          </w:tcPr>
          <w:p w14:paraId="216E38A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0E9882E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3CDCFBE1">
            <w:pPr>
              <w:spacing w:line="240" w:lineRule="exact"/>
              <w:rPr>
                <w:rFonts w:ascii="Times New Roman" w:hAnsi="Times New Roman" w:eastAsia="方正仿宋_GBK"/>
                <w:sz w:val="18"/>
                <w:szCs w:val="18"/>
              </w:rPr>
            </w:pPr>
            <w:r>
              <w:rPr>
                <w:rFonts w:ascii="Times New Roman" w:hAnsi="Times New Roman" w:eastAsia="方正仿宋_GBK"/>
                <w:sz w:val="18"/>
                <w:szCs w:val="18"/>
              </w:rPr>
              <w:t>勉县汉水人家公益志愿者协会</w:t>
            </w:r>
          </w:p>
        </w:tc>
        <w:tc>
          <w:tcPr>
            <w:tcW w:w="1231" w:type="dxa"/>
            <w:noWrap w:val="0"/>
            <w:vAlign w:val="center"/>
          </w:tcPr>
          <w:p w14:paraId="0B04465D">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096E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01" w:hRule="exact"/>
          <w:jc w:val="center"/>
        </w:trPr>
        <w:tc>
          <w:tcPr>
            <w:tcW w:w="465" w:type="dxa"/>
            <w:noWrap w:val="0"/>
            <w:vAlign w:val="center"/>
          </w:tcPr>
          <w:p w14:paraId="64FDAF6C">
            <w:pPr>
              <w:jc w:val="center"/>
              <w:rPr>
                <w:rFonts w:ascii="Times New Roman" w:hAnsi="Times New Roman"/>
                <w:color w:val="000000"/>
                <w:sz w:val="18"/>
                <w:szCs w:val="18"/>
              </w:rPr>
            </w:pPr>
            <w:r>
              <w:rPr>
                <w:rFonts w:ascii="Times New Roman" w:hAnsi="Times New Roman"/>
                <w:color w:val="000000"/>
                <w:sz w:val="18"/>
                <w:szCs w:val="18"/>
              </w:rPr>
              <w:t>47</w:t>
            </w:r>
          </w:p>
        </w:tc>
        <w:tc>
          <w:tcPr>
            <w:tcW w:w="658" w:type="dxa"/>
            <w:vMerge w:val="continue"/>
            <w:noWrap w:val="0"/>
            <w:vAlign w:val="center"/>
          </w:tcPr>
          <w:p w14:paraId="1B92E78C">
            <w:pPr>
              <w:spacing w:line="240" w:lineRule="exact"/>
              <w:jc w:val="center"/>
              <w:rPr>
                <w:rFonts w:ascii="Times New Roman" w:hAnsi="Times New Roman" w:eastAsia="方正仿宋_GBK"/>
                <w:sz w:val="18"/>
                <w:szCs w:val="18"/>
              </w:rPr>
            </w:pPr>
          </w:p>
        </w:tc>
        <w:tc>
          <w:tcPr>
            <w:tcW w:w="1388" w:type="dxa"/>
            <w:noWrap w:val="0"/>
            <w:vAlign w:val="center"/>
          </w:tcPr>
          <w:p w14:paraId="2CEB407E">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汉中市西乡县一般性精神障碍者康复训练和心理疏导</w:t>
            </w:r>
          </w:p>
        </w:tc>
        <w:tc>
          <w:tcPr>
            <w:tcW w:w="6520" w:type="dxa"/>
            <w:noWrap w:val="0"/>
            <w:vAlign w:val="center"/>
          </w:tcPr>
          <w:p w14:paraId="22F85874">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我县现有精神障碍患者2783人，其中现居家2173人。依托白龙塘镇龙王沟村精神障碍康复社区中心，组织社会力量对辖区内100名一般性精神障碍患者进行家庭入户走访。通过个案辅导等多种形式为精神障碍者和家属提供心理援助服务，给予患者家属心理支持，缓解家庭关系，助力更多精神康复者健康成长，促进家庭和谐，提高幸福感。</w:t>
            </w:r>
          </w:p>
        </w:tc>
        <w:tc>
          <w:tcPr>
            <w:tcW w:w="567" w:type="dxa"/>
            <w:noWrap w:val="0"/>
            <w:vAlign w:val="center"/>
          </w:tcPr>
          <w:p w14:paraId="73B25857">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77EB166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40</w:t>
            </w:r>
          </w:p>
        </w:tc>
        <w:tc>
          <w:tcPr>
            <w:tcW w:w="1134" w:type="dxa"/>
            <w:noWrap w:val="0"/>
            <w:vAlign w:val="center"/>
          </w:tcPr>
          <w:p w14:paraId="3E198B3B">
            <w:pPr>
              <w:spacing w:line="240" w:lineRule="exact"/>
              <w:rPr>
                <w:rFonts w:ascii="Times New Roman" w:hAnsi="Times New Roman" w:eastAsia="方正仿宋_GBK"/>
                <w:sz w:val="18"/>
                <w:szCs w:val="18"/>
              </w:rPr>
            </w:pPr>
            <w:r>
              <w:rPr>
                <w:rFonts w:ascii="Times New Roman" w:hAnsi="Times New Roman" w:eastAsia="方正仿宋_GBK"/>
                <w:sz w:val="18"/>
                <w:szCs w:val="18"/>
              </w:rPr>
              <w:t>西乡县民政局</w:t>
            </w:r>
          </w:p>
        </w:tc>
        <w:tc>
          <w:tcPr>
            <w:tcW w:w="1231" w:type="dxa"/>
            <w:noWrap w:val="0"/>
            <w:vAlign w:val="center"/>
          </w:tcPr>
          <w:p w14:paraId="49310567">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90CB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5" w:hRule="exact"/>
          <w:jc w:val="center"/>
        </w:trPr>
        <w:tc>
          <w:tcPr>
            <w:tcW w:w="465" w:type="dxa"/>
            <w:noWrap w:val="0"/>
            <w:vAlign w:val="center"/>
          </w:tcPr>
          <w:p w14:paraId="648569BA">
            <w:pPr>
              <w:jc w:val="center"/>
              <w:rPr>
                <w:rFonts w:ascii="Times New Roman" w:hAnsi="Times New Roman"/>
                <w:color w:val="000000"/>
                <w:sz w:val="18"/>
                <w:szCs w:val="18"/>
              </w:rPr>
            </w:pPr>
            <w:r>
              <w:rPr>
                <w:rFonts w:ascii="Times New Roman" w:hAnsi="Times New Roman"/>
                <w:color w:val="000000"/>
                <w:sz w:val="18"/>
                <w:szCs w:val="18"/>
              </w:rPr>
              <w:t>48</w:t>
            </w:r>
          </w:p>
        </w:tc>
        <w:tc>
          <w:tcPr>
            <w:tcW w:w="658" w:type="dxa"/>
            <w:vMerge w:val="restart"/>
            <w:noWrap w:val="0"/>
            <w:vAlign w:val="center"/>
          </w:tcPr>
          <w:p w14:paraId="29FF349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陕西省</w:t>
            </w:r>
          </w:p>
        </w:tc>
        <w:tc>
          <w:tcPr>
            <w:tcW w:w="1388" w:type="dxa"/>
            <w:noWrap w:val="0"/>
            <w:vAlign w:val="center"/>
          </w:tcPr>
          <w:p w14:paraId="37ACABCD">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汉中市镇巴县特殊群体关爱服务项目</w:t>
            </w:r>
          </w:p>
        </w:tc>
        <w:tc>
          <w:tcPr>
            <w:tcW w:w="6520" w:type="dxa"/>
            <w:noWrap w:val="0"/>
            <w:vAlign w:val="center"/>
          </w:tcPr>
          <w:p w14:paraId="6522D9DB">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开展扶老、助残、救孤、济困公益项目（100人7万元）；困难大学生帮扶项目（30人6万元）。</w:t>
            </w:r>
          </w:p>
        </w:tc>
        <w:tc>
          <w:tcPr>
            <w:tcW w:w="567" w:type="dxa"/>
            <w:noWrap w:val="0"/>
            <w:vAlign w:val="center"/>
          </w:tcPr>
          <w:p w14:paraId="45685A1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14F9F199">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13</w:t>
            </w:r>
          </w:p>
        </w:tc>
        <w:tc>
          <w:tcPr>
            <w:tcW w:w="1134" w:type="dxa"/>
            <w:noWrap w:val="0"/>
            <w:vAlign w:val="center"/>
          </w:tcPr>
          <w:p w14:paraId="52723F5F">
            <w:pPr>
              <w:spacing w:line="240" w:lineRule="exact"/>
              <w:rPr>
                <w:rFonts w:ascii="Times New Roman" w:hAnsi="Times New Roman" w:eastAsia="方正仿宋_GBK"/>
                <w:sz w:val="18"/>
                <w:szCs w:val="18"/>
              </w:rPr>
            </w:pPr>
            <w:r>
              <w:rPr>
                <w:rFonts w:ascii="Times New Roman" w:hAnsi="Times New Roman" w:eastAsia="方正仿宋_GBK"/>
                <w:sz w:val="18"/>
                <w:szCs w:val="18"/>
              </w:rPr>
              <w:t>镇巴县慈善协会</w:t>
            </w:r>
          </w:p>
        </w:tc>
        <w:tc>
          <w:tcPr>
            <w:tcW w:w="1231" w:type="dxa"/>
            <w:noWrap w:val="0"/>
            <w:vAlign w:val="center"/>
          </w:tcPr>
          <w:p w14:paraId="2A1C0BFC">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2B84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7" w:hRule="exact"/>
          <w:jc w:val="center"/>
        </w:trPr>
        <w:tc>
          <w:tcPr>
            <w:tcW w:w="465" w:type="dxa"/>
            <w:noWrap w:val="0"/>
            <w:vAlign w:val="center"/>
          </w:tcPr>
          <w:p w14:paraId="19F170F9">
            <w:pPr>
              <w:jc w:val="center"/>
              <w:rPr>
                <w:rFonts w:ascii="Times New Roman" w:hAnsi="Times New Roman"/>
                <w:color w:val="000000"/>
                <w:sz w:val="18"/>
                <w:szCs w:val="18"/>
              </w:rPr>
            </w:pPr>
            <w:r>
              <w:rPr>
                <w:rFonts w:ascii="Times New Roman" w:hAnsi="Times New Roman"/>
                <w:color w:val="000000"/>
                <w:sz w:val="18"/>
                <w:szCs w:val="18"/>
              </w:rPr>
              <w:t>49</w:t>
            </w:r>
          </w:p>
        </w:tc>
        <w:tc>
          <w:tcPr>
            <w:tcW w:w="658" w:type="dxa"/>
            <w:vMerge w:val="continue"/>
            <w:noWrap w:val="0"/>
            <w:vAlign w:val="center"/>
          </w:tcPr>
          <w:p w14:paraId="72A41FA7">
            <w:pPr>
              <w:spacing w:line="240" w:lineRule="exact"/>
              <w:jc w:val="center"/>
              <w:rPr>
                <w:rFonts w:ascii="Times New Roman" w:hAnsi="Times New Roman" w:eastAsia="方正仿宋_GBK"/>
                <w:sz w:val="18"/>
                <w:szCs w:val="18"/>
              </w:rPr>
            </w:pPr>
          </w:p>
        </w:tc>
        <w:tc>
          <w:tcPr>
            <w:tcW w:w="1388" w:type="dxa"/>
            <w:noWrap w:val="0"/>
            <w:vAlign w:val="center"/>
          </w:tcPr>
          <w:p w14:paraId="47022A3D">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汉中市留坝县大学生救助</w:t>
            </w:r>
          </w:p>
        </w:tc>
        <w:tc>
          <w:tcPr>
            <w:tcW w:w="6520" w:type="dxa"/>
            <w:noWrap w:val="0"/>
            <w:vAlign w:val="center"/>
          </w:tcPr>
          <w:p w14:paraId="612B4DEB">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全县家庭困难大学新生入学救助</w:t>
            </w:r>
            <w:r>
              <w:rPr>
                <w:rFonts w:hint="eastAsia" w:ascii="Times New Roman" w:hAnsi="Times New Roman" w:eastAsia="方正仿宋_GBK"/>
                <w:sz w:val="18"/>
                <w:szCs w:val="18"/>
              </w:rPr>
              <w:t>。</w:t>
            </w:r>
          </w:p>
        </w:tc>
        <w:tc>
          <w:tcPr>
            <w:tcW w:w="567" w:type="dxa"/>
            <w:noWrap w:val="0"/>
            <w:vAlign w:val="center"/>
          </w:tcPr>
          <w:p w14:paraId="7B0CD3C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4</w:t>
            </w:r>
          </w:p>
        </w:tc>
        <w:tc>
          <w:tcPr>
            <w:tcW w:w="709" w:type="dxa"/>
            <w:noWrap w:val="0"/>
            <w:vAlign w:val="center"/>
          </w:tcPr>
          <w:p w14:paraId="07A77D2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087C261F">
            <w:pPr>
              <w:spacing w:line="240" w:lineRule="exact"/>
              <w:rPr>
                <w:rFonts w:ascii="Times New Roman" w:hAnsi="Times New Roman" w:eastAsia="方正仿宋_GBK"/>
                <w:sz w:val="18"/>
                <w:szCs w:val="18"/>
              </w:rPr>
            </w:pPr>
            <w:r>
              <w:rPr>
                <w:rFonts w:ascii="Times New Roman" w:hAnsi="Times New Roman" w:eastAsia="方正仿宋_GBK"/>
                <w:sz w:val="18"/>
                <w:szCs w:val="18"/>
              </w:rPr>
              <w:t>留坝县慈善协会</w:t>
            </w:r>
          </w:p>
        </w:tc>
        <w:tc>
          <w:tcPr>
            <w:tcW w:w="1231" w:type="dxa"/>
            <w:noWrap w:val="0"/>
            <w:vAlign w:val="center"/>
          </w:tcPr>
          <w:p w14:paraId="3DEB9E0E">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6FCA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17" w:hRule="exact"/>
          <w:jc w:val="center"/>
        </w:trPr>
        <w:tc>
          <w:tcPr>
            <w:tcW w:w="465" w:type="dxa"/>
            <w:noWrap w:val="0"/>
            <w:vAlign w:val="center"/>
          </w:tcPr>
          <w:p w14:paraId="02ECCA6D">
            <w:pPr>
              <w:jc w:val="center"/>
              <w:rPr>
                <w:rFonts w:ascii="Times New Roman" w:hAnsi="Times New Roman"/>
                <w:color w:val="000000"/>
                <w:sz w:val="18"/>
                <w:szCs w:val="18"/>
              </w:rPr>
            </w:pPr>
            <w:r>
              <w:rPr>
                <w:rFonts w:ascii="Times New Roman" w:hAnsi="Times New Roman"/>
                <w:color w:val="000000"/>
                <w:sz w:val="18"/>
                <w:szCs w:val="18"/>
              </w:rPr>
              <w:t>50</w:t>
            </w:r>
          </w:p>
        </w:tc>
        <w:tc>
          <w:tcPr>
            <w:tcW w:w="658" w:type="dxa"/>
            <w:vMerge w:val="continue"/>
            <w:noWrap w:val="0"/>
            <w:vAlign w:val="center"/>
          </w:tcPr>
          <w:p w14:paraId="33E6F592">
            <w:pPr>
              <w:spacing w:line="240" w:lineRule="exact"/>
              <w:jc w:val="center"/>
              <w:rPr>
                <w:rFonts w:ascii="Times New Roman" w:hAnsi="Times New Roman" w:eastAsia="方正仿宋_GBK"/>
                <w:sz w:val="18"/>
                <w:szCs w:val="18"/>
              </w:rPr>
            </w:pPr>
          </w:p>
        </w:tc>
        <w:tc>
          <w:tcPr>
            <w:tcW w:w="1388" w:type="dxa"/>
            <w:noWrap w:val="0"/>
            <w:vAlign w:val="center"/>
          </w:tcPr>
          <w:p w14:paraId="1CC3835B">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汉中市佛坪县关爱留守、困难儿童</w:t>
            </w:r>
          </w:p>
        </w:tc>
        <w:tc>
          <w:tcPr>
            <w:tcW w:w="6520" w:type="dxa"/>
            <w:noWrap w:val="0"/>
            <w:vAlign w:val="center"/>
          </w:tcPr>
          <w:p w14:paraId="382C97C9">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聚焦留守困难儿童，为其捐赠书包、文具等学习用品或实现“小小心愿”，改善生活学习条件；组织志愿者开展陪伴活动与孩子共读绘本、画画、趣味游戏，让孩子们感受温暖、健康快乐成长。</w:t>
            </w:r>
          </w:p>
        </w:tc>
        <w:tc>
          <w:tcPr>
            <w:tcW w:w="567" w:type="dxa"/>
            <w:noWrap w:val="0"/>
            <w:vAlign w:val="center"/>
          </w:tcPr>
          <w:p w14:paraId="6FA6624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41827B9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1134" w:type="dxa"/>
            <w:noWrap w:val="0"/>
            <w:vAlign w:val="center"/>
          </w:tcPr>
          <w:p w14:paraId="0CCFEBAD">
            <w:pPr>
              <w:spacing w:line="240" w:lineRule="exact"/>
              <w:rPr>
                <w:rFonts w:ascii="Times New Roman" w:hAnsi="Times New Roman" w:eastAsia="方正仿宋_GBK"/>
                <w:sz w:val="18"/>
                <w:szCs w:val="18"/>
              </w:rPr>
            </w:pPr>
            <w:r>
              <w:rPr>
                <w:rFonts w:ascii="Times New Roman" w:hAnsi="Times New Roman" w:eastAsia="方正仿宋_GBK"/>
                <w:sz w:val="18"/>
                <w:szCs w:val="18"/>
              </w:rPr>
              <w:t>佛坪县慈善协会</w:t>
            </w:r>
          </w:p>
        </w:tc>
        <w:tc>
          <w:tcPr>
            <w:tcW w:w="1231" w:type="dxa"/>
            <w:noWrap w:val="0"/>
            <w:vAlign w:val="center"/>
          </w:tcPr>
          <w:p w14:paraId="2AA437D6">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4056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78" w:hRule="exact"/>
          <w:jc w:val="center"/>
        </w:trPr>
        <w:tc>
          <w:tcPr>
            <w:tcW w:w="465" w:type="dxa"/>
            <w:noWrap w:val="0"/>
            <w:vAlign w:val="center"/>
          </w:tcPr>
          <w:p w14:paraId="6BB48625">
            <w:pPr>
              <w:jc w:val="center"/>
              <w:rPr>
                <w:rFonts w:ascii="Times New Roman" w:hAnsi="Times New Roman"/>
                <w:color w:val="000000"/>
                <w:sz w:val="18"/>
                <w:szCs w:val="18"/>
              </w:rPr>
            </w:pPr>
            <w:r>
              <w:rPr>
                <w:rFonts w:ascii="Times New Roman" w:hAnsi="Times New Roman"/>
                <w:color w:val="000000"/>
                <w:sz w:val="18"/>
                <w:szCs w:val="18"/>
              </w:rPr>
              <w:t>51</w:t>
            </w:r>
          </w:p>
        </w:tc>
        <w:tc>
          <w:tcPr>
            <w:tcW w:w="658" w:type="dxa"/>
            <w:vMerge w:val="continue"/>
            <w:noWrap w:val="0"/>
            <w:vAlign w:val="center"/>
          </w:tcPr>
          <w:p w14:paraId="2A891335">
            <w:pPr>
              <w:spacing w:line="240" w:lineRule="exact"/>
              <w:jc w:val="center"/>
              <w:rPr>
                <w:rFonts w:ascii="Times New Roman" w:hAnsi="Times New Roman" w:eastAsia="方正仿宋_GBK"/>
                <w:sz w:val="18"/>
                <w:szCs w:val="18"/>
              </w:rPr>
            </w:pPr>
          </w:p>
        </w:tc>
        <w:tc>
          <w:tcPr>
            <w:tcW w:w="1388" w:type="dxa"/>
            <w:noWrap w:val="0"/>
            <w:vAlign w:val="center"/>
          </w:tcPr>
          <w:p w14:paraId="66AD3208">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汉中市南郑区黄官镇九年制学校花蕾护航行动</w:t>
            </w:r>
          </w:p>
        </w:tc>
        <w:tc>
          <w:tcPr>
            <w:tcW w:w="6520" w:type="dxa"/>
            <w:noWrap w:val="0"/>
            <w:vAlign w:val="center"/>
          </w:tcPr>
          <w:p w14:paraId="3AE2AFCB">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南郑区黄官镇九年制学校有150余名留守女生，计划开展6次主题课，教授生理期常识、卫生健康知识、青春期心理教育等，为她们提供全面的科普教育，帮助他们养成良好的卫生习惯，预防疾病，学会识别和防范潜在危险。预计开展3次主题活动，以游戏互动、成长助力、心灵疏导等形式，为她们提供温馨的陪伴</w:t>
            </w:r>
            <w:r>
              <w:rPr>
                <w:rFonts w:hint="eastAsia" w:ascii="Times New Roman" w:hAnsi="Times New Roman" w:eastAsia="方正仿宋_GBK"/>
                <w:sz w:val="18"/>
                <w:szCs w:val="18"/>
              </w:rPr>
              <w:t>，</w:t>
            </w:r>
            <w:r>
              <w:rPr>
                <w:rFonts w:ascii="Times New Roman" w:hAnsi="Times New Roman" w:eastAsia="方正仿宋_GBK"/>
                <w:sz w:val="18"/>
                <w:szCs w:val="18"/>
              </w:rPr>
              <w:t>从而帮助他们正确应对青春期的心理波动，享有一个健康快乐的青春期。</w:t>
            </w:r>
          </w:p>
        </w:tc>
        <w:tc>
          <w:tcPr>
            <w:tcW w:w="567" w:type="dxa"/>
            <w:noWrap w:val="0"/>
            <w:vAlign w:val="center"/>
          </w:tcPr>
          <w:p w14:paraId="1064CE2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37555A1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1134" w:type="dxa"/>
            <w:noWrap w:val="0"/>
            <w:vAlign w:val="center"/>
          </w:tcPr>
          <w:p w14:paraId="3C78B7ED">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汉中市社会组织服务中心</w:t>
            </w:r>
          </w:p>
        </w:tc>
        <w:tc>
          <w:tcPr>
            <w:tcW w:w="1231" w:type="dxa"/>
            <w:noWrap w:val="0"/>
            <w:vAlign w:val="center"/>
          </w:tcPr>
          <w:p w14:paraId="40AFDBC8">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4233F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4" w:hRule="exact"/>
          <w:jc w:val="center"/>
        </w:trPr>
        <w:tc>
          <w:tcPr>
            <w:tcW w:w="465" w:type="dxa"/>
            <w:noWrap w:val="0"/>
            <w:vAlign w:val="center"/>
          </w:tcPr>
          <w:p w14:paraId="70FFE553">
            <w:pPr>
              <w:jc w:val="center"/>
              <w:rPr>
                <w:rFonts w:ascii="Times New Roman" w:hAnsi="Times New Roman"/>
                <w:color w:val="000000"/>
                <w:sz w:val="18"/>
                <w:szCs w:val="18"/>
              </w:rPr>
            </w:pPr>
            <w:r>
              <w:rPr>
                <w:rFonts w:ascii="Times New Roman" w:hAnsi="Times New Roman"/>
                <w:color w:val="000000"/>
                <w:sz w:val="18"/>
                <w:szCs w:val="18"/>
              </w:rPr>
              <w:t>52</w:t>
            </w:r>
          </w:p>
        </w:tc>
        <w:tc>
          <w:tcPr>
            <w:tcW w:w="658" w:type="dxa"/>
            <w:vMerge w:val="continue"/>
            <w:noWrap w:val="0"/>
            <w:vAlign w:val="center"/>
          </w:tcPr>
          <w:p w14:paraId="1F2B0D9B">
            <w:pPr>
              <w:spacing w:line="240" w:lineRule="exact"/>
              <w:jc w:val="center"/>
              <w:rPr>
                <w:rFonts w:ascii="Times New Roman" w:hAnsi="Times New Roman" w:eastAsia="方正仿宋_GBK"/>
                <w:sz w:val="18"/>
                <w:szCs w:val="18"/>
              </w:rPr>
            </w:pPr>
          </w:p>
        </w:tc>
        <w:tc>
          <w:tcPr>
            <w:tcW w:w="1388" w:type="dxa"/>
            <w:noWrap w:val="0"/>
            <w:vAlign w:val="center"/>
          </w:tcPr>
          <w:p w14:paraId="6C7DE669">
            <w:pPr>
              <w:spacing w:line="240" w:lineRule="exact"/>
              <w:rPr>
                <w:rFonts w:ascii="Times New Roman" w:hAnsi="Times New Roman" w:eastAsia="方正仿宋_GBK"/>
                <w:sz w:val="18"/>
                <w:szCs w:val="18"/>
              </w:rPr>
            </w:pPr>
            <w:r>
              <w:rPr>
                <w:rFonts w:ascii="Times New Roman" w:hAnsi="Times New Roman" w:eastAsia="方正仿宋_GBK"/>
                <w:sz w:val="18"/>
                <w:szCs w:val="18"/>
              </w:rPr>
              <w:t>“益童守护”——安康市汉滨区农村留守儿童心理健康社会工作服务项目</w:t>
            </w:r>
          </w:p>
        </w:tc>
        <w:tc>
          <w:tcPr>
            <w:tcW w:w="6520" w:type="dxa"/>
            <w:noWrap w:val="0"/>
            <w:vAlign w:val="center"/>
          </w:tcPr>
          <w:p w14:paraId="2736FCD6">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项目聚焦困境儿童、有辍学风险和心理危机的儿童帮扶，通过助学金发放、微心愿支持，进行心理和厌学问题个案（含一对一辅导和心理信箱）+团辅的专项辅导、补充性素质教育讲座进课堂（生涯规划、安全教育、兴趣教育等）和社会实践（参观高校、职业体验、夏令营等活动）以及学生老师心理健康能力培训和家长学校沟通等内容开展服务。预计达到效果：改善儿童们心理健康问题、厌学情绪、建立良好的学习目标和人生目标，掌握如何保护自己的能力，培养学校老师们掌握心理辅导能力、家长掌握家庭教育技巧，形成儿童们积极健康成长的友好环境，让困境儿童们积极快乐的成长。</w:t>
            </w:r>
            <w:bookmarkStart w:id="0" w:name="_GoBack"/>
            <w:bookmarkEnd w:id="0"/>
          </w:p>
        </w:tc>
        <w:tc>
          <w:tcPr>
            <w:tcW w:w="567" w:type="dxa"/>
            <w:noWrap w:val="0"/>
            <w:vAlign w:val="center"/>
          </w:tcPr>
          <w:p w14:paraId="6570EE0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5692D47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51C40A7D">
            <w:pPr>
              <w:spacing w:line="240" w:lineRule="exact"/>
              <w:rPr>
                <w:rFonts w:ascii="Times New Roman" w:hAnsi="Times New Roman" w:eastAsia="方正仿宋_GBK"/>
                <w:sz w:val="18"/>
                <w:szCs w:val="18"/>
              </w:rPr>
            </w:pPr>
            <w:r>
              <w:rPr>
                <w:rFonts w:ascii="Times New Roman" w:hAnsi="Times New Roman" w:eastAsia="方正仿宋_GBK"/>
                <w:sz w:val="18"/>
                <w:szCs w:val="18"/>
              </w:rPr>
              <w:t>汉滨区浩睿社会组织服务中心</w:t>
            </w:r>
          </w:p>
        </w:tc>
        <w:tc>
          <w:tcPr>
            <w:tcW w:w="1231" w:type="dxa"/>
            <w:noWrap w:val="0"/>
            <w:vAlign w:val="center"/>
          </w:tcPr>
          <w:p w14:paraId="2FCD7C70">
            <w:pPr>
              <w:spacing w:line="240" w:lineRule="exact"/>
              <w:rPr>
                <w:rFonts w:ascii="Times New Roman" w:hAnsi="Times New Roman" w:eastAsia="方正仿宋_GBK"/>
                <w:sz w:val="18"/>
                <w:szCs w:val="18"/>
              </w:rPr>
            </w:pPr>
            <w:r>
              <w:rPr>
                <w:rFonts w:ascii="Times New Roman" w:hAnsi="Times New Roman" w:eastAsia="方正仿宋_GBK"/>
                <w:sz w:val="18"/>
                <w:szCs w:val="18"/>
              </w:rPr>
              <w:t>一般普通税务发票、捐赠发票</w:t>
            </w:r>
          </w:p>
        </w:tc>
      </w:tr>
      <w:tr w14:paraId="4FF03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8" w:hRule="exact"/>
          <w:jc w:val="center"/>
        </w:trPr>
        <w:tc>
          <w:tcPr>
            <w:tcW w:w="465" w:type="dxa"/>
            <w:noWrap w:val="0"/>
            <w:vAlign w:val="center"/>
          </w:tcPr>
          <w:p w14:paraId="0068A541">
            <w:pPr>
              <w:jc w:val="center"/>
              <w:rPr>
                <w:rFonts w:ascii="Times New Roman" w:hAnsi="Times New Roman"/>
                <w:color w:val="000000"/>
                <w:sz w:val="18"/>
                <w:szCs w:val="18"/>
              </w:rPr>
            </w:pPr>
            <w:r>
              <w:rPr>
                <w:rFonts w:ascii="Times New Roman" w:hAnsi="Times New Roman"/>
                <w:color w:val="000000"/>
                <w:sz w:val="18"/>
                <w:szCs w:val="18"/>
              </w:rPr>
              <w:t>53</w:t>
            </w:r>
          </w:p>
        </w:tc>
        <w:tc>
          <w:tcPr>
            <w:tcW w:w="658" w:type="dxa"/>
            <w:vMerge w:val="continue"/>
            <w:noWrap w:val="0"/>
            <w:vAlign w:val="center"/>
          </w:tcPr>
          <w:p w14:paraId="6EBA4B92">
            <w:pPr>
              <w:spacing w:line="240" w:lineRule="exact"/>
              <w:jc w:val="center"/>
              <w:rPr>
                <w:rFonts w:ascii="Times New Roman" w:hAnsi="Times New Roman" w:eastAsia="方正仿宋_GBK"/>
                <w:sz w:val="18"/>
                <w:szCs w:val="18"/>
              </w:rPr>
            </w:pPr>
          </w:p>
        </w:tc>
        <w:tc>
          <w:tcPr>
            <w:tcW w:w="1388" w:type="dxa"/>
            <w:noWrap w:val="0"/>
            <w:vAlign w:val="center"/>
          </w:tcPr>
          <w:p w14:paraId="21B0370B">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安康市汉滨区特殊儿童康复托养项目</w:t>
            </w:r>
          </w:p>
        </w:tc>
        <w:tc>
          <w:tcPr>
            <w:tcW w:w="6520" w:type="dxa"/>
            <w:noWrap w:val="0"/>
            <w:vAlign w:val="center"/>
          </w:tcPr>
          <w:p w14:paraId="67BE7C68">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对集中托养的特殊儿童活动场地、生活设施（卧室，餐厅，卫生间等）进行无障碍装修和改造；招聘康复治疗师、特殊教育老师等专业人员，对特殊儿童进行训练；购买专业康复设备、运动器材、言语治疗设备，设置康教课程，对托养的不同类型的特殊儿童提供个性化康复服务，提高他们的认识、社交和生活自理能力。预期效果：特殊儿童得到全面照护；家庭压力得到缓解；社会认知度提高；行业发展得到推动</w:t>
            </w:r>
            <w:r>
              <w:rPr>
                <w:rFonts w:hint="eastAsia" w:ascii="Times New Roman" w:hAnsi="Times New Roman" w:eastAsia="方正仿宋_GBK"/>
                <w:sz w:val="18"/>
                <w:szCs w:val="18"/>
              </w:rPr>
              <w:t>。</w:t>
            </w:r>
          </w:p>
        </w:tc>
        <w:tc>
          <w:tcPr>
            <w:tcW w:w="567" w:type="dxa"/>
            <w:noWrap w:val="0"/>
            <w:vAlign w:val="center"/>
          </w:tcPr>
          <w:p w14:paraId="3BAF050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24</w:t>
            </w:r>
          </w:p>
        </w:tc>
        <w:tc>
          <w:tcPr>
            <w:tcW w:w="709" w:type="dxa"/>
            <w:noWrap w:val="0"/>
            <w:vAlign w:val="center"/>
          </w:tcPr>
          <w:p w14:paraId="7A1FBB9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25</w:t>
            </w:r>
          </w:p>
        </w:tc>
        <w:tc>
          <w:tcPr>
            <w:tcW w:w="1134" w:type="dxa"/>
            <w:noWrap w:val="0"/>
            <w:vAlign w:val="center"/>
          </w:tcPr>
          <w:p w14:paraId="0912EA5D">
            <w:pPr>
              <w:spacing w:line="240" w:lineRule="exact"/>
              <w:rPr>
                <w:rFonts w:ascii="Times New Roman" w:hAnsi="Times New Roman" w:eastAsia="方正仿宋_GBK"/>
                <w:sz w:val="18"/>
                <w:szCs w:val="18"/>
              </w:rPr>
            </w:pPr>
            <w:r>
              <w:rPr>
                <w:rFonts w:ascii="Times New Roman" w:hAnsi="Times New Roman" w:eastAsia="方正仿宋_GBK"/>
                <w:sz w:val="18"/>
                <w:szCs w:val="18"/>
              </w:rPr>
              <w:t>安康慈幼康复托养服务中心</w:t>
            </w:r>
          </w:p>
        </w:tc>
        <w:tc>
          <w:tcPr>
            <w:tcW w:w="1231" w:type="dxa"/>
            <w:noWrap w:val="0"/>
            <w:vAlign w:val="center"/>
          </w:tcPr>
          <w:p w14:paraId="218208B4">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95B6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18" w:hRule="exact"/>
          <w:jc w:val="center"/>
        </w:trPr>
        <w:tc>
          <w:tcPr>
            <w:tcW w:w="465" w:type="dxa"/>
            <w:noWrap w:val="0"/>
            <w:vAlign w:val="center"/>
          </w:tcPr>
          <w:p w14:paraId="4EECE9A5">
            <w:pPr>
              <w:jc w:val="center"/>
              <w:rPr>
                <w:rFonts w:ascii="Times New Roman" w:hAnsi="Times New Roman"/>
                <w:color w:val="000000"/>
                <w:sz w:val="18"/>
                <w:szCs w:val="18"/>
              </w:rPr>
            </w:pPr>
            <w:r>
              <w:rPr>
                <w:rFonts w:ascii="Times New Roman" w:hAnsi="Times New Roman"/>
                <w:color w:val="000000"/>
                <w:sz w:val="18"/>
                <w:szCs w:val="18"/>
              </w:rPr>
              <w:t>54</w:t>
            </w:r>
          </w:p>
        </w:tc>
        <w:tc>
          <w:tcPr>
            <w:tcW w:w="658" w:type="dxa"/>
            <w:vMerge w:val="restart"/>
            <w:noWrap w:val="0"/>
            <w:vAlign w:val="center"/>
          </w:tcPr>
          <w:p w14:paraId="7A77228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陕西省</w:t>
            </w:r>
          </w:p>
        </w:tc>
        <w:tc>
          <w:tcPr>
            <w:tcW w:w="1388" w:type="dxa"/>
            <w:noWrap w:val="0"/>
            <w:vAlign w:val="center"/>
          </w:tcPr>
          <w:p w14:paraId="4AF4A26C">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安康市紫阳县“幸福时光·助老餐”项目</w:t>
            </w:r>
          </w:p>
        </w:tc>
        <w:tc>
          <w:tcPr>
            <w:tcW w:w="6520" w:type="dxa"/>
            <w:noWrap w:val="0"/>
            <w:vAlign w:val="center"/>
          </w:tcPr>
          <w:p w14:paraId="2ACC0A90">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通过“个人出一点、企业让一点、政府补一点、集体添一点、社会捐一点”模式，紫阳县颐和康养服务中心开展养老助餐项目，为城区内60岁以上老年人设立固定就餐点，提供优惠套餐，“一荤二素一主食”12元以内的经济餐。针对辖区行动不便的老人，由志愿者或专业配送团队提供送餐服务。</w:t>
            </w:r>
          </w:p>
        </w:tc>
        <w:tc>
          <w:tcPr>
            <w:tcW w:w="567" w:type="dxa"/>
            <w:noWrap w:val="0"/>
            <w:vAlign w:val="center"/>
          </w:tcPr>
          <w:p w14:paraId="5B00EE7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7FD18B59">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7AA56BB3">
            <w:pPr>
              <w:spacing w:line="240" w:lineRule="exact"/>
              <w:rPr>
                <w:rFonts w:ascii="Times New Roman" w:hAnsi="Times New Roman" w:eastAsia="方正仿宋_GBK"/>
                <w:sz w:val="18"/>
                <w:szCs w:val="18"/>
              </w:rPr>
            </w:pPr>
            <w:r>
              <w:rPr>
                <w:rFonts w:ascii="Times New Roman" w:hAnsi="Times New Roman" w:eastAsia="方正仿宋_GBK"/>
                <w:sz w:val="18"/>
                <w:szCs w:val="18"/>
              </w:rPr>
              <w:t>紫阳县颐和康养服务中心</w:t>
            </w:r>
          </w:p>
        </w:tc>
        <w:tc>
          <w:tcPr>
            <w:tcW w:w="1231" w:type="dxa"/>
            <w:noWrap w:val="0"/>
            <w:vAlign w:val="center"/>
          </w:tcPr>
          <w:p w14:paraId="3662C887">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56BE7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3" w:hRule="exact"/>
          <w:jc w:val="center"/>
        </w:trPr>
        <w:tc>
          <w:tcPr>
            <w:tcW w:w="465" w:type="dxa"/>
            <w:noWrap w:val="0"/>
            <w:vAlign w:val="center"/>
          </w:tcPr>
          <w:p w14:paraId="398B12B1">
            <w:pPr>
              <w:jc w:val="center"/>
              <w:rPr>
                <w:rFonts w:ascii="Times New Roman" w:hAnsi="Times New Roman"/>
                <w:color w:val="000000"/>
                <w:sz w:val="18"/>
                <w:szCs w:val="18"/>
              </w:rPr>
            </w:pPr>
            <w:r>
              <w:rPr>
                <w:rFonts w:ascii="Times New Roman" w:hAnsi="Times New Roman"/>
                <w:color w:val="000000"/>
                <w:sz w:val="18"/>
                <w:szCs w:val="18"/>
              </w:rPr>
              <w:t>55</w:t>
            </w:r>
          </w:p>
        </w:tc>
        <w:tc>
          <w:tcPr>
            <w:tcW w:w="658" w:type="dxa"/>
            <w:vMerge w:val="continue"/>
            <w:noWrap w:val="0"/>
            <w:vAlign w:val="center"/>
          </w:tcPr>
          <w:p w14:paraId="7B1F9FE1">
            <w:pPr>
              <w:spacing w:line="240" w:lineRule="exact"/>
              <w:jc w:val="center"/>
              <w:rPr>
                <w:rFonts w:ascii="Times New Roman" w:hAnsi="Times New Roman" w:eastAsia="方正仿宋_GBK"/>
                <w:sz w:val="18"/>
                <w:szCs w:val="18"/>
              </w:rPr>
            </w:pPr>
          </w:p>
        </w:tc>
        <w:tc>
          <w:tcPr>
            <w:tcW w:w="1388" w:type="dxa"/>
            <w:noWrap w:val="0"/>
            <w:vAlign w:val="center"/>
          </w:tcPr>
          <w:p w14:paraId="17A423AF">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安康市紫阳县“逐光未来与爱童行”关爱未成年人服务项目</w:t>
            </w:r>
          </w:p>
        </w:tc>
        <w:tc>
          <w:tcPr>
            <w:tcW w:w="6520" w:type="dxa"/>
            <w:noWrap w:val="0"/>
            <w:vAlign w:val="center"/>
          </w:tcPr>
          <w:p w14:paraId="54146AA7">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为响应社会对孤儿、事实无人抚养儿童和以及特殊困难儿童等脆弱群体的关注，提升他们的生活质量，促进其健康成长，紫阳县茉莉爱心公益联合会将通过活动阵地物资建设、物质援助、心理辅导与情感支持、志愿陪伴、教育支持、设立助学金、文化娱乐活动等形式多样的帮扶活动，增进特殊未成年人与社会的联系。</w:t>
            </w:r>
          </w:p>
        </w:tc>
        <w:tc>
          <w:tcPr>
            <w:tcW w:w="567" w:type="dxa"/>
            <w:noWrap w:val="0"/>
            <w:vAlign w:val="center"/>
          </w:tcPr>
          <w:p w14:paraId="2C4A91D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3963CFC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6E821416">
            <w:pPr>
              <w:spacing w:line="240" w:lineRule="exact"/>
              <w:rPr>
                <w:rFonts w:ascii="Times New Roman" w:hAnsi="Times New Roman" w:eastAsia="方正仿宋_GBK"/>
                <w:sz w:val="18"/>
                <w:szCs w:val="18"/>
              </w:rPr>
            </w:pPr>
            <w:r>
              <w:rPr>
                <w:rFonts w:ascii="Times New Roman" w:hAnsi="Times New Roman" w:eastAsia="方正仿宋_GBK"/>
                <w:sz w:val="18"/>
                <w:szCs w:val="18"/>
              </w:rPr>
              <w:t>紫阳县茉莉爱心公益联合会</w:t>
            </w:r>
          </w:p>
        </w:tc>
        <w:tc>
          <w:tcPr>
            <w:tcW w:w="1231" w:type="dxa"/>
            <w:noWrap w:val="0"/>
            <w:vAlign w:val="center"/>
          </w:tcPr>
          <w:p w14:paraId="32546364">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D55C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0" w:hRule="exact"/>
          <w:jc w:val="center"/>
        </w:trPr>
        <w:tc>
          <w:tcPr>
            <w:tcW w:w="465" w:type="dxa"/>
            <w:noWrap w:val="0"/>
            <w:vAlign w:val="center"/>
          </w:tcPr>
          <w:p w14:paraId="1CB52D17">
            <w:pPr>
              <w:jc w:val="center"/>
              <w:rPr>
                <w:rFonts w:ascii="Times New Roman" w:hAnsi="Times New Roman"/>
                <w:color w:val="000000"/>
                <w:sz w:val="18"/>
                <w:szCs w:val="18"/>
              </w:rPr>
            </w:pPr>
            <w:r>
              <w:rPr>
                <w:rFonts w:ascii="Times New Roman" w:hAnsi="Times New Roman"/>
                <w:color w:val="000000"/>
                <w:sz w:val="18"/>
                <w:szCs w:val="18"/>
              </w:rPr>
              <w:t>56</w:t>
            </w:r>
          </w:p>
        </w:tc>
        <w:tc>
          <w:tcPr>
            <w:tcW w:w="658" w:type="dxa"/>
            <w:vMerge w:val="continue"/>
            <w:noWrap w:val="0"/>
            <w:vAlign w:val="center"/>
          </w:tcPr>
          <w:p w14:paraId="4CB46F01">
            <w:pPr>
              <w:spacing w:line="240" w:lineRule="exact"/>
              <w:jc w:val="center"/>
              <w:rPr>
                <w:rFonts w:ascii="Times New Roman" w:hAnsi="Times New Roman" w:eastAsia="方正仿宋_GBK"/>
                <w:sz w:val="18"/>
                <w:szCs w:val="18"/>
              </w:rPr>
            </w:pPr>
          </w:p>
        </w:tc>
        <w:tc>
          <w:tcPr>
            <w:tcW w:w="1388" w:type="dxa"/>
            <w:noWrap w:val="0"/>
            <w:vAlign w:val="center"/>
          </w:tcPr>
          <w:p w14:paraId="28AD6C8C">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安康市岚皋县困境儿童助学助“心”关爱项目</w:t>
            </w:r>
          </w:p>
        </w:tc>
        <w:tc>
          <w:tcPr>
            <w:tcW w:w="6520" w:type="dxa"/>
            <w:noWrap w:val="0"/>
            <w:vAlign w:val="center"/>
          </w:tcPr>
          <w:p w14:paraId="38A7B9AB">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主要对岚皋县境内120名孤残、单亲、困境和留守儿童通过采取助学金、物资及教育讲座（传统文化进校园、心灵疏导讲座、家庭教育讲座）等形式就行帮扶关爱，计划每名困境儿童发放助学金1000元，每户困境儿童家庭发放慰问物资300元，开展教育讲座6场次，在减轻其家庭经济负担的同时，也给予他们心理辅导和心灵关怀，让山区困境孩子体会到来自社会各界对他们的关爱与温暖，养成感恩父母、感恩他人、感恩社会的优良品格。</w:t>
            </w:r>
          </w:p>
        </w:tc>
        <w:tc>
          <w:tcPr>
            <w:tcW w:w="567" w:type="dxa"/>
            <w:noWrap w:val="0"/>
            <w:vAlign w:val="center"/>
          </w:tcPr>
          <w:p w14:paraId="26CC83A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6C91997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19.8</w:t>
            </w:r>
          </w:p>
        </w:tc>
        <w:tc>
          <w:tcPr>
            <w:tcW w:w="1134" w:type="dxa"/>
            <w:noWrap w:val="0"/>
            <w:vAlign w:val="center"/>
          </w:tcPr>
          <w:p w14:paraId="4B61743B">
            <w:pPr>
              <w:spacing w:line="240" w:lineRule="exact"/>
              <w:rPr>
                <w:rFonts w:ascii="Times New Roman" w:hAnsi="Times New Roman" w:eastAsia="方正仿宋_GBK"/>
                <w:sz w:val="18"/>
                <w:szCs w:val="18"/>
              </w:rPr>
            </w:pPr>
            <w:r>
              <w:rPr>
                <w:rFonts w:ascii="Times New Roman" w:hAnsi="Times New Roman" w:eastAsia="方正仿宋_GBK"/>
                <w:sz w:val="18"/>
                <w:szCs w:val="18"/>
              </w:rPr>
              <w:t>岚皋县援少会</w:t>
            </w:r>
          </w:p>
        </w:tc>
        <w:tc>
          <w:tcPr>
            <w:tcW w:w="1231" w:type="dxa"/>
            <w:noWrap w:val="0"/>
            <w:vAlign w:val="center"/>
          </w:tcPr>
          <w:p w14:paraId="2713006B">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A3E9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5" w:hRule="exact"/>
          <w:jc w:val="center"/>
        </w:trPr>
        <w:tc>
          <w:tcPr>
            <w:tcW w:w="465" w:type="dxa"/>
            <w:noWrap w:val="0"/>
            <w:vAlign w:val="center"/>
          </w:tcPr>
          <w:p w14:paraId="6FE675C8">
            <w:pPr>
              <w:jc w:val="center"/>
              <w:rPr>
                <w:rFonts w:ascii="Times New Roman" w:hAnsi="Times New Roman"/>
                <w:color w:val="000000"/>
                <w:sz w:val="18"/>
                <w:szCs w:val="18"/>
              </w:rPr>
            </w:pPr>
            <w:r>
              <w:rPr>
                <w:rFonts w:ascii="Times New Roman" w:hAnsi="Times New Roman"/>
                <w:color w:val="000000"/>
                <w:sz w:val="18"/>
                <w:szCs w:val="18"/>
              </w:rPr>
              <w:t>57</w:t>
            </w:r>
          </w:p>
        </w:tc>
        <w:tc>
          <w:tcPr>
            <w:tcW w:w="658" w:type="dxa"/>
            <w:vMerge w:val="continue"/>
            <w:noWrap w:val="0"/>
            <w:vAlign w:val="center"/>
          </w:tcPr>
          <w:p w14:paraId="22F97320">
            <w:pPr>
              <w:spacing w:line="240" w:lineRule="exact"/>
              <w:jc w:val="center"/>
              <w:rPr>
                <w:rFonts w:ascii="Times New Roman" w:hAnsi="Times New Roman" w:eastAsia="方正仿宋_GBK"/>
                <w:sz w:val="18"/>
                <w:szCs w:val="18"/>
              </w:rPr>
            </w:pPr>
          </w:p>
        </w:tc>
        <w:tc>
          <w:tcPr>
            <w:tcW w:w="1388" w:type="dxa"/>
            <w:noWrap w:val="0"/>
            <w:vAlign w:val="center"/>
          </w:tcPr>
          <w:p w14:paraId="7BD57C85">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安康市白河县“童行未来关爱行动”项目</w:t>
            </w:r>
          </w:p>
        </w:tc>
        <w:tc>
          <w:tcPr>
            <w:tcW w:w="6520" w:type="dxa"/>
            <w:noWrap w:val="0"/>
            <w:vAlign w:val="center"/>
          </w:tcPr>
          <w:p w14:paraId="6D4CDD3C">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对县域内孤儿、事实无人抚养儿童、低保儿童等，开展心理健康疏导、家庭帮扶，提供志愿服务、走访慰问，心理慰藉、困难资助等活动，帮助其融入社会、改善生活条件等。</w:t>
            </w:r>
          </w:p>
        </w:tc>
        <w:tc>
          <w:tcPr>
            <w:tcW w:w="567" w:type="dxa"/>
            <w:noWrap w:val="0"/>
            <w:vAlign w:val="center"/>
          </w:tcPr>
          <w:p w14:paraId="5040888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52FFFCC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6AD6C4E0">
            <w:pPr>
              <w:spacing w:line="240" w:lineRule="exact"/>
              <w:rPr>
                <w:rFonts w:ascii="Times New Roman" w:hAnsi="Times New Roman" w:eastAsia="方正仿宋_GBK"/>
                <w:sz w:val="18"/>
                <w:szCs w:val="18"/>
              </w:rPr>
            </w:pPr>
            <w:r>
              <w:rPr>
                <w:rFonts w:ascii="Times New Roman" w:hAnsi="Times New Roman" w:eastAsia="方正仿宋_GBK"/>
                <w:sz w:val="18"/>
                <w:szCs w:val="18"/>
              </w:rPr>
              <w:t>白河县社会组织服务中心</w:t>
            </w:r>
          </w:p>
        </w:tc>
        <w:tc>
          <w:tcPr>
            <w:tcW w:w="1231" w:type="dxa"/>
            <w:noWrap w:val="0"/>
            <w:vAlign w:val="center"/>
          </w:tcPr>
          <w:p w14:paraId="36DF490C">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2121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4" w:hRule="exact"/>
          <w:jc w:val="center"/>
        </w:trPr>
        <w:tc>
          <w:tcPr>
            <w:tcW w:w="465" w:type="dxa"/>
            <w:noWrap w:val="0"/>
            <w:vAlign w:val="center"/>
          </w:tcPr>
          <w:p w14:paraId="5F3CBB57">
            <w:pPr>
              <w:jc w:val="center"/>
              <w:rPr>
                <w:rFonts w:ascii="Times New Roman" w:hAnsi="Times New Roman"/>
                <w:color w:val="000000"/>
                <w:sz w:val="18"/>
                <w:szCs w:val="18"/>
              </w:rPr>
            </w:pPr>
            <w:r>
              <w:rPr>
                <w:rFonts w:ascii="Times New Roman" w:hAnsi="Times New Roman"/>
                <w:color w:val="000000"/>
                <w:sz w:val="18"/>
                <w:szCs w:val="18"/>
              </w:rPr>
              <w:t>58</w:t>
            </w:r>
          </w:p>
        </w:tc>
        <w:tc>
          <w:tcPr>
            <w:tcW w:w="658" w:type="dxa"/>
            <w:vMerge w:val="continue"/>
            <w:noWrap w:val="0"/>
            <w:vAlign w:val="center"/>
          </w:tcPr>
          <w:p w14:paraId="6505E1D7">
            <w:pPr>
              <w:spacing w:line="240" w:lineRule="exact"/>
              <w:jc w:val="center"/>
              <w:rPr>
                <w:rFonts w:ascii="Times New Roman" w:hAnsi="Times New Roman" w:eastAsia="方正仿宋_GBK"/>
                <w:sz w:val="18"/>
                <w:szCs w:val="18"/>
              </w:rPr>
            </w:pPr>
          </w:p>
        </w:tc>
        <w:tc>
          <w:tcPr>
            <w:tcW w:w="1388" w:type="dxa"/>
            <w:noWrap w:val="0"/>
            <w:vAlign w:val="center"/>
          </w:tcPr>
          <w:p w14:paraId="07951602">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安康市白河县“筑梦助学”项目</w:t>
            </w:r>
          </w:p>
        </w:tc>
        <w:tc>
          <w:tcPr>
            <w:tcW w:w="6520" w:type="dxa"/>
            <w:noWrap w:val="0"/>
            <w:vAlign w:val="center"/>
          </w:tcPr>
          <w:p w14:paraId="59FA4D13">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资助困境学生</w:t>
            </w:r>
            <w:r>
              <w:rPr>
                <w:rFonts w:hint="eastAsia" w:ascii="Times New Roman" w:hAnsi="Times New Roman" w:eastAsia="方正仿宋_GBK"/>
                <w:sz w:val="18"/>
                <w:szCs w:val="18"/>
              </w:rPr>
              <w:t>（</w:t>
            </w:r>
            <w:r>
              <w:rPr>
                <w:rFonts w:ascii="Times New Roman" w:hAnsi="Times New Roman" w:eastAsia="方正仿宋_GBK"/>
                <w:sz w:val="18"/>
                <w:szCs w:val="18"/>
              </w:rPr>
              <w:t>初中、高中、应届大学生</w:t>
            </w:r>
            <w:r>
              <w:rPr>
                <w:rFonts w:hint="eastAsia" w:ascii="Times New Roman" w:hAnsi="Times New Roman" w:eastAsia="方正仿宋_GBK"/>
                <w:sz w:val="18"/>
                <w:szCs w:val="18"/>
              </w:rPr>
              <w:t>）</w:t>
            </w:r>
            <w:r>
              <w:rPr>
                <w:rFonts w:ascii="Times New Roman" w:hAnsi="Times New Roman" w:eastAsia="方正仿宋_GBK"/>
                <w:sz w:val="18"/>
                <w:szCs w:val="18"/>
              </w:rPr>
              <w:t>继续求学，开展困难家庭资助、游学等活动，促进学业提升、兴趣培养，助力学子完成学业。</w:t>
            </w:r>
          </w:p>
        </w:tc>
        <w:tc>
          <w:tcPr>
            <w:tcW w:w="567" w:type="dxa"/>
            <w:noWrap w:val="0"/>
            <w:vAlign w:val="center"/>
          </w:tcPr>
          <w:p w14:paraId="13A85532">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5A5E5457">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92160F8">
            <w:pPr>
              <w:spacing w:line="240" w:lineRule="exact"/>
              <w:rPr>
                <w:rFonts w:ascii="Times New Roman" w:hAnsi="Times New Roman" w:eastAsia="方正仿宋_GBK"/>
                <w:sz w:val="18"/>
                <w:szCs w:val="18"/>
              </w:rPr>
            </w:pPr>
            <w:r>
              <w:rPr>
                <w:rFonts w:ascii="Times New Roman" w:hAnsi="Times New Roman" w:eastAsia="方正仿宋_GBK"/>
                <w:sz w:val="18"/>
                <w:szCs w:val="18"/>
              </w:rPr>
              <w:t>白河县慈善协会</w:t>
            </w:r>
          </w:p>
        </w:tc>
        <w:tc>
          <w:tcPr>
            <w:tcW w:w="1231" w:type="dxa"/>
            <w:noWrap w:val="0"/>
            <w:vAlign w:val="center"/>
          </w:tcPr>
          <w:p w14:paraId="00A1CA4D">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A2DA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9" w:hRule="exact"/>
          <w:jc w:val="center"/>
        </w:trPr>
        <w:tc>
          <w:tcPr>
            <w:tcW w:w="465" w:type="dxa"/>
            <w:noWrap w:val="0"/>
            <w:vAlign w:val="center"/>
          </w:tcPr>
          <w:p w14:paraId="2D5E53BA">
            <w:pPr>
              <w:jc w:val="center"/>
              <w:rPr>
                <w:rFonts w:ascii="Times New Roman" w:hAnsi="Times New Roman"/>
                <w:color w:val="000000"/>
                <w:sz w:val="18"/>
                <w:szCs w:val="18"/>
              </w:rPr>
            </w:pPr>
            <w:r>
              <w:rPr>
                <w:rFonts w:ascii="Times New Roman" w:hAnsi="Times New Roman"/>
                <w:color w:val="000000"/>
                <w:sz w:val="18"/>
                <w:szCs w:val="18"/>
              </w:rPr>
              <w:t>59</w:t>
            </w:r>
          </w:p>
        </w:tc>
        <w:tc>
          <w:tcPr>
            <w:tcW w:w="658" w:type="dxa"/>
            <w:vMerge w:val="continue"/>
            <w:noWrap w:val="0"/>
            <w:vAlign w:val="center"/>
          </w:tcPr>
          <w:p w14:paraId="0235CAE8">
            <w:pPr>
              <w:spacing w:line="240" w:lineRule="exact"/>
              <w:jc w:val="center"/>
              <w:rPr>
                <w:rFonts w:ascii="Times New Roman" w:hAnsi="Times New Roman" w:eastAsia="方正仿宋_GBK"/>
                <w:sz w:val="18"/>
                <w:szCs w:val="18"/>
              </w:rPr>
            </w:pPr>
          </w:p>
        </w:tc>
        <w:tc>
          <w:tcPr>
            <w:tcW w:w="1388" w:type="dxa"/>
            <w:noWrap w:val="0"/>
            <w:vAlign w:val="center"/>
          </w:tcPr>
          <w:p w14:paraId="48363B5A">
            <w:pPr>
              <w:spacing w:line="240" w:lineRule="exact"/>
              <w:rPr>
                <w:rFonts w:ascii="Times New Roman" w:hAnsi="Times New Roman" w:eastAsia="方正仿宋_GBK"/>
                <w:sz w:val="18"/>
                <w:szCs w:val="18"/>
              </w:rPr>
            </w:pPr>
            <w:r>
              <w:rPr>
                <w:rFonts w:hint="eastAsia" w:ascii="Times New Roman" w:hAnsi="Times New Roman" w:eastAsia="方正仿宋_GBK"/>
                <w:sz w:val="18"/>
                <w:szCs w:val="18"/>
              </w:rPr>
              <w:t>洛南县社会组织孵化基地建设项目</w:t>
            </w:r>
          </w:p>
        </w:tc>
        <w:tc>
          <w:tcPr>
            <w:tcW w:w="6520" w:type="dxa"/>
            <w:noWrap w:val="0"/>
            <w:vAlign w:val="center"/>
          </w:tcPr>
          <w:p w14:paraId="0C885441">
            <w:pPr>
              <w:spacing w:line="240" w:lineRule="exact"/>
              <w:ind w:firstLine="360" w:firstLineChars="200"/>
              <w:jc w:val="left"/>
              <w:rPr>
                <w:rFonts w:hint="eastAsia" w:ascii="Times New Roman" w:hAnsi="Times New Roman" w:eastAsia="方正仿宋_GBK"/>
                <w:sz w:val="18"/>
                <w:szCs w:val="18"/>
              </w:rPr>
            </w:pPr>
            <w:r>
              <w:rPr>
                <w:rFonts w:hint="eastAsia" w:ascii="Times New Roman" w:hAnsi="Times New Roman" w:eastAsia="方正仿宋_GBK"/>
                <w:sz w:val="18"/>
                <w:szCs w:val="18"/>
              </w:rPr>
              <w:t>洛南县社会组织服务平台有空白短板，拟建成一所集各项功能齐全的社会组织孵化基地，整合社会组织发展的各种资源，实现资源共享，强化社会组织之间交流合作，形成“资源整合、功能互补、专业规范、协同联动”的社会</w:t>
            </w:r>
            <w:r>
              <w:rPr>
                <w:rFonts w:ascii="Times New Roman" w:hAnsi="Times New Roman" w:eastAsia="方正仿宋_GBK"/>
                <w:sz w:val="18"/>
                <w:szCs w:val="18"/>
              </w:rPr>
              <w:t>组织</w:t>
            </w:r>
            <w:r>
              <w:rPr>
                <w:rFonts w:hint="eastAsia" w:ascii="Times New Roman" w:hAnsi="Times New Roman" w:eastAsia="方正仿宋_GBK"/>
                <w:sz w:val="18"/>
                <w:szCs w:val="18"/>
              </w:rPr>
              <w:t>培育孵化工作体系。</w:t>
            </w:r>
          </w:p>
        </w:tc>
        <w:tc>
          <w:tcPr>
            <w:tcW w:w="567" w:type="dxa"/>
            <w:noWrap w:val="0"/>
            <w:vAlign w:val="center"/>
          </w:tcPr>
          <w:p w14:paraId="0CB53212">
            <w:pPr>
              <w:spacing w:line="240" w:lineRule="exact"/>
              <w:jc w:val="center"/>
              <w:rPr>
                <w:rFonts w:hint="eastAsia" w:ascii="Times New Roman" w:hAnsi="Times New Roman" w:eastAsia="方正仿宋_GBK"/>
                <w:sz w:val="18"/>
                <w:szCs w:val="18"/>
              </w:rPr>
            </w:pPr>
            <w:r>
              <w:rPr>
                <w:rFonts w:hint="eastAsia" w:ascii="Times New Roman" w:hAnsi="Times New Roman" w:eastAsia="方正仿宋_GBK"/>
                <w:sz w:val="18"/>
                <w:szCs w:val="18"/>
              </w:rPr>
              <w:t>12</w:t>
            </w:r>
          </w:p>
        </w:tc>
        <w:tc>
          <w:tcPr>
            <w:tcW w:w="709" w:type="dxa"/>
            <w:noWrap w:val="0"/>
            <w:vAlign w:val="center"/>
          </w:tcPr>
          <w:p w14:paraId="7068BCB7">
            <w:pPr>
              <w:spacing w:line="240" w:lineRule="exact"/>
              <w:jc w:val="center"/>
              <w:rPr>
                <w:rFonts w:hint="eastAsia" w:ascii="Times New Roman" w:hAnsi="Times New Roman" w:eastAsia="方正仿宋_GBK"/>
                <w:sz w:val="18"/>
                <w:szCs w:val="18"/>
              </w:rPr>
            </w:pPr>
            <w:r>
              <w:rPr>
                <w:rFonts w:hint="eastAsia" w:ascii="Times New Roman" w:hAnsi="Times New Roman" w:eastAsia="方正仿宋_GBK"/>
                <w:sz w:val="18"/>
                <w:szCs w:val="18"/>
              </w:rPr>
              <w:t>20</w:t>
            </w:r>
          </w:p>
        </w:tc>
        <w:tc>
          <w:tcPr>
            <w:tcW w:w="1134" w:type="dxa"/>
            <w:noWrap w:val="0"/>
            <w:vAlign w:val="center"/>
          </w:tcPr>
          <w:p w14:paraId="21D48C50">
            <w:pPr>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洛南县义工联合会</w:t>
            </w:r>
          </w:p>
        </w:tc>
        <w:tc>
          <w:tcPr>
            <w:tcW w:w="1231" w:type="dxa"/>
            <w:noWrap w:val="0"/>
            <w:vAlign w:val="center"/>
          </w:tcPr>
          <w:p w14:paraId="02D3C40E">
            <w:pPr>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公益事业捐赠统一票据</w:t>
            </w:r>
          </w:p>
        </w:tc>
      </w:tr>
      <w:tr w14:paraId="70E98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exact"/>
          <w:jc w:val="center"/>
        </w:trPr>
        <w:tc>
          <w:tcPr>
            <w:tcW w:w="465" w:type="dxa"/>
            <w:noWrap w:val="0"/>
            <w:vAlign w:val="center"/>
          </w:tcPr>
          <w:p w14:paraId="4DA0D3B0">
            <w:pPr>
              <w:jc w:val="center"/>
              <w:rPr>
                <w:rFonts w:ascii="Times New Roman" w:hAnsi="Times New Roman"/>
                <w:color w:val="000000"/>
                <w:sz w:val="18"/>
                <w:szCs w:val="18"/>
              </w:rPr>
            </w:pPr>
            <w:r>
              <w:rPr>
                <w:rFonts w:ascii="Times New Roman" w:hAnsi="Times New Roman"/>
                <w:color w:val="000000"/>
                <w:sz w:val="18"/>
                <w:szCs w:val="18"/>
              </w:rPr>
              <w:t>60</w:t>
            </w:r>
          </w:p>
        </w:tc>
        <w:tc>
          <w:tcPr>
            <w:tcW w:w="658" w:type="dxa"/>
            <w:vMerge w:val="continue"/>
            <w:noWrap w:val="0"/>
            <w:vAlign w:val="center"/>
          </w:tcPr>
          <w:p w14:paraId="590DFAFE">
            <w:pPr>
              <w:spacing w:line="240" w:lineRule="exact"/>
              <w:jc w:val="center"/>
              <w:rPr>
                <w:rFonts w:ascii="Times New Roman" w:hAnsi="Times New Roman" w:eastAsia="方正仿宋_GBK"/>
                <w:sz w:val="18"/>
                <w:szCs w:val="18"/>
              </w:rPr>
            </w:pPr>
          </w:p>
        </w:tc>
        <w:tc>
          <w:tcPr>
            <w:tcW w:w="1388" w:type="dxa"/>
            <w:noWrap w:val="0"/>
            <w:vAlign w:val="center"/>
          </w:tcPr>
          <w:p w14:paraId="75278FD5">
            <w:pPr>
              <w:spacing w:line="240" w:lineRule="exact"/>
              <w:rPr>
                <w:rFonts w:ascii="Times New Roman" w:hAnsi="Times New Roman" w:eastAsia="方正仿宋_GBK"/>
                <w:sz w:val="18"/>
                <w:szCs w:val="18"/>
              </w:rPr>
            </w:pPr>
            <w:r>
              <w:rPr>
                <w:rFonts w:ascii="Times New Roman" w:hAnsi="Times New Roman" w:eastAsia="方正仿宋_GBK"/>
                <w:sz w:val="18"/>
                <w:szCs w:val="18"/>
              </w:rPr>
              <w:t>温暖洛南与爱同行关爱孤寡空巢老人志愿服务</w:t>
            </w:r>
          </w:p>
        </w:tc>
        <w:tc>
          <w:tcPr>
            <w:tcW w:w="6520" w:type="dxa"/>
            <w:noWrap w:val="0"/>
            <w:vAlign w:val="center"/>
          </w:tcPr>
          <w:p w14:paraId="119143E5">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覆盖商洛市洛南县境内247个村。1.为老人免费体检，送医送药；2.帮老人整理内务，打扫卫生；3.与老人聊天，疏导心理，为老人过生日，慰问演出；4.给老人送去所需生活用品；5.给老人理发，剪指甲。</w:t>
            </w:r>
          </w:p>
        </w:tc>
        <w:tc>
          <w:tcPr>
            <w:tcW w:w="567" w:type="dxa"/>
            <w:noWrap w:val="0"/>
            <w:vAlign w:val="center"/>
          </w:tcPr>
          <w:p w14:paraId="1B7AF0F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36</w:t>
            </w:r>
          </w:p>
        </w:tc>
        <w:tc>
          <w:tcPr>
            <w:tcW w:w="709" w:type="dxa"/>
            <w:noWrap w:val="0"/>
            <w:vAlign w:val="center"/>
          </w:tcPr>
          <w:p w14:paraId="51E6CA47">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30</w:t>
            </w:r>
          </w:p>
        </w:tc>
        <w:tc>
          <w:tcPr>
            <w:tcW w:w="1134" w:type="dxa"/>
            <w:noWrap w:val="0"/>
            <w:vAlign w:val="center"/>
          </w:tcPr>
          <w:p w14:paraId="4E1024EE">
            <w:pPr>
              <w:spacing w:line="240" w:lineRule="exact"/>
              <w:rPr>
                <w:rFonts w:ascii="Times New Roman" w:hAnsi="Times New Roman" w:eastAsia="方正仿宋_GBK"/>
                <w:sz w:val="18"/>
                <w:szCs w:val="18"/>
              </w:rPr>
            </w:pPr>
            <w:r>
              <w:rPr>
                <w:rFonts w:ascii="Times New Roman" w:hAnsi="Times New Roman" w:eastAsia="方正仿宋_GBK"/>
                <w:sz w:val="18"/>
                <w:szCs w:val="18"/>
              </w:rPr>
              <w:t>洛南县志愿服务联合会</w:t>
            </w:r>
          </w:p>
        </w:tc>
        <w:tc>
          <w:tcPr>
            <w:tcW w:w="1231" w:type="dxa"/>
            <w:noWrap w:val="0"/>
            <w:vAlign w:val="center"/>
          </w:tcPr>
          <w:p w14:paraId="39BB9E9B">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55263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60" w:hRule="exact"/>
          <w:jc w:val="center"/>
        </w:trPr>
        <w:tc>
          <w:tcPr>
            <w:tcW w:w="465" w:type="dxa"/>
            <w:noWrap w:val="0"/>
            <w:vAlign w:val="center"/>
          </w:tcPr>
          <w:p w14:paraId="55867E84">
            <w:pPr>
              <w:jc w:val="center"/>
              <w:rPr>
                <w:rFonts w:ascii="Times New Roman" w:hAnsi="Times New Roman"/>
                <w:color w:val="000000"/>
                <w:sz w:val="18"/>
                <w:szCs w:val="18"/>
              </w:rPr>
            </w:pPr>
            <w:r>
              <w:rPr>
                <w:rFonts w:ascii="Times New Roman" w:hAnsi="Times New Roman"/>
                <w:color w:val="000000"/>
                <w:sz w:val="18"/>
                <w:szCs w:val="18"/>
              </w:rPr>
              <w:t>61</w:t>
            </w:r>
          </w:p>
        </w:tc>
        <w:tc>
          <w:tcPr>
            <w:tcW w:w="658" w:type="dxa"/>
            <w:vMerge w:val="restart"/>
            <w:noWrap w:val="0"/>
            <w:vAlign w:val="center"/>
          </w:tcPr>
          <w:p w14:paraId="7B37B537">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陕西省</w:t>
            </w:r>
          </w:p>
        </w:tc>
        <w:tc>
          <w:tcPr>
            <w:tcW w:w="1388" w:type="dxa"/>
            <w:noWrap w:val="0"/>
            <w:vAlign w:val="center"/>
          </w:tcPr>
          <w:p w14:paraId="3FE4758B">
            <w:pPr>
              <w:spacing w:line="240" w:lineRule="exact"/>
              <w:rPr>
                <w:rFonts w:ascii="Times New Roman" w:hAnsi="Times New Roman" w:eastAsia="方正仿宋_GBK"/>
                <w:sz w:val="18"/>
                <w:szCs w:val="18"/>
              </w:rPr>
            </w:pPr>
            <w:r>
              <w:rPr>
                <w:rFonts w:ascii="Times New Roman" w:hAnsi="Times New Roman" w:eastAsia="方正仿宋_GBK"/>
                <w:sz w:val="18"/>
                <w:szCs w:val="18"/>
              </w:rPr>
              <w:t>商洛市镇安县特殊困难老年人适老化改造项目</w:t>
            </w:r>
          </w:p>
        </w:tc>
        <w:tc>
          <w:tcPr>
            <w:tcW w:w="6520" w:type="dxa"/>
            <w:noWrap w:val="0"/>
            <w:vAlign w:val="center"/>
          </w:tcPr>
          <w:p w14:paraId="20619039">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针对镇安县内的高龄、失能、残疾、留守、空巢等200户特殊困难老年人，聚焦老年人安全、健康等功能性需求，选择适配性产品，包括地面、墙体、居室、厨房、卫生间等施工改造，通过以“室内行走便利、如厕洗澡安全、厨房操作方便、居家环境改善、智能安全监护、辅助器具适配”的方式，改善老年人居家生活环境，保障老人居住安全。</w:t>
            </w:r>
          </w:p>
        </w:tc>
        <w:tc>
          <w:tcPr>
            <w:tcW w:w="567" w:type="dxa"/>
            <w:noWrap w:val="0"/>
            <w:vAlign w:val="center"/>
          </w:tcPr>
          <w:p w14:paraId="7D843E73">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72188D1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40</w:t>
            </w:r>
          </w:p>
        </w:tc>
        <w:tc>
          <w:tcPr>
            <w:tcW w:w="1134" w:type="dxa"/>
            <w:noWrap w:val="0"/>
            <w:vAlign w:val="center"/>
          </w:tcPr>
          <w:p w14:paraId="2658264F">
            <w:pPr>
              <w:spacing w:line="240" w:lineRule="exact"/>
              <w:rPr>
                <w:rFonts w:ascii="Times New Roman" w:hAnsi="Times New Roman" w:eastAsia="方正仿宋_GBK"/>
                <w:sz w:val="18"/>
                <w:szCs w:val="18"/>
              </w:rPr>
            </w:pPr>
            <w:r>
              <w:rPr>
                <w:rFonts w:ascii="Times New Roman" w:hAnsi="Times New Roman" w:eastAsia="方正仿宋_GBK"/>
                <w:sz w:val="18"/>
                <w:szCs w:val="18"/>
              </w:rPr>
              <w:t>镇安县老年人能力评估中心</w:t>
            </w:r>
          </w:p>
        </w:tc>
        <w:tc>
          <w:tcPr>
            <w:tcW w:w="1231" w:type="dxa"/>
            <w:noWrap w:val="0"/>
            <w:vAlign w:val="center"/>
          </w:tcPr>
          <w:p w14:paraId="29D6109A">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5BAF2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2" w:hRule="exact"/>
          <w:jc w:val="center"/>
        </w:trPr>
        <w:tc>
          <w:tcPr>
            <w:tcW w:w="465" w:type="dxa"/>
            <w:noWrap w:val="0"/>
            <w:vAlign w:val="center"/>
          </w:tcPr>
          <w:p w14:paraId="7D0B974C">
            <w:pPr>
              <w:jc w:val="center"/>
              <w:rPr>
                <w:rFonts w:ascii="Times New Roman" w:hAnsi="Times New Roman"/>
                <w:color w:val="000000"/>
                <w:sz w:val="18"/>
                <w:szCs w:val="18"/>
              </w:rPr>
            </w:pPr>
            <w:r>
              <w:rPr>
                <w:rFonts w:ascii="Times New Roman" w:hAnsi="Times New Roman"/>
                <w:color w:val="000000"/>
                <w:sz w:val="18"/>
                <w:szCs w:val="18"/>
              </w:rPr>
              <w:t>62</w:t>
            </w:r>
          </w:p>
        </w:tc>
        <w:tc>
          <w:tcPr>
            <w:tcW w:w="658" w:type="dxa"/>
            <w:vMerge w:val="continue"/>
            <w:noWrap w:val="0"/>
            <w:vAlign w:val="center"/>
          </w:tcPr>
          <w:p w14:paraId="3195319B">
            <w:pPr>
              <w:spacing w:line="240" w:lineRule="exact"/>
              <w:jc w:val="center"/>
              <w:rPr>
                <w:rFonts w:ascii="Times New Roman" w:hAnsi="Times New Roman" w:eastAsia="方正仿宋_GBK"/>
                <w:sz w:val="18"/>
                <w:szCs w:val="18"/>
              </w:rPr>
            </w:pPr>
          </w:p>
        </w:tc>
        <w:tc>
          <w:tcPr>
            <w:tcW w:w="1388" w:type="dxa"/>
            <w:noWrap w:val="0"/>
            <w:vAlign w:val="center"/>
          </w:tcPr>
          <w:p w14:paraId="68068E46">
            <w:pPr>
              <w:spacing w:line="240" w:lineRule="exact"/>
              <w:rPr>
                <w:rFonts w:ascii="Times New Roman" w:hAnsi="Times New Roman" w:eastAsia="方正仿宋_GBK"/>
                <w:sz w:val="18"/>
                <w:szCs w:val="18"/>
              </w:rPr>
            </w:pPr>
            <w:r>
              <w:rPr>
                <w:rFonts w:ascii="Times New Roman" w:hAnsi="Times New Roman" w:eastAsia="方正仿宋_GBK"/>
                <w:sz w:val="18"/>
                <w:szCs w:val="18"/>
              </w:rPr>
              <w:t>商洛市镇安县特殊人群关爱服务项目</w:t>
            </w:r>
          </w:p>
        </w:tc>
        <w:tc>
          <w:tcPr>
            <w:tcW w:w="6520" w:type="dxa"/>
            <w:noWrap w:val="0"/>
            <w:vAlign w:val="center"/>
          </w:tcPr>
          <w:p w14:paraId="521FE053">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通过为残障人士、孤寡老人、留守、困境儿童等特殊人群提供生活帮扶、心理与情感关怀、社会融入等系列活动。预期目标：为200名特殊人群提供基础生活帮扶与心理关怀服务。建立特殊人群社区支持网络，形成可持续帮扶机制</w:t>
            </w:r>
            <w:r>
              <w:rPr>
                <w:rFonts w:hint="eastAsia" w:ascii="Times New Roman" w:hAnsi="Times New Roman" w:eastAsia="方正仿宋_GBK"/>
                <w:sz w:val="18"/>
                <w:szCs w:val="18"/>
              </w:rPr>
              <w:t>。</w:t>
            </w:r>
          </w:p>
        </w:tc>
        <w:tc>
          <w:tcPr>
            <w:tcW w:w="567" w:type="dxa"/>
            <w:noWrap w:val="0"/>
            <w:vAlign w:val="center"/>
          </w:tcPr>
          <w:p w14:paraId="0013C2D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1ABC828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16</w:t>
            </w:r>
          </w:p>
        </w:tc>
        <w:tc>
          <w:tcPr>
            <w:tcW w:w="1134" w:type="dxa"/>
            <w:noWrap w:val="0"/>
            <w:vAlign w:val="center"/>
          </w:tcPr>
          <w:p w14:paraId="3EF8B5FA">
            <w:pPr>
              <w:spacing w:line="240" w:lineRule="exact"/>
              <w:rPr>
                <w:rFonts w:ascii="Times New Roman" w:hAnsi="Times New Roman" w:eastAsia="方正仿宋_GBK"/>
                <w:sz w:val="18"/>
                <w:szCs w:val="18"/>
              </w:rPr>
            </w:pPr>
            <w:r>
              <w:rPr>
                <w:rFonts w:ascii="Times New Roman" w:hAnsi="Times New Roman" w:eastAsia="方正仿宋_GBK"/>
                <w:sz w:val="18"/>
                <w:szCs w:val="18"/>
              </w:rPr>
              <w:t>镇安阳光家庭服务中心</w:t>
            </w:r>
          </w:p>
        </w:tc>
        <w:tc>
          <w:tcPr>
            <w:tcW w:w="1231" w:type="dxa"/>
            <w:noWrap w:val="0"/>
            <w:vAlign w:val="center"/>
          </w:tcPr>
          <w:p w14:paraId="442658EA">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A6F1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2" w:hRule="exact"/>
          <w:jc w:val="center"/>
        </w:trPr>
        <w:tc>
          <w:tcPr>
            <w:tcW w:w="465" w:type="dxa"/>
            <w:noWrap w:val="0"/>
            <w:vAlign w:val="center"/>
          </w:tcPr>
          <w:p w14:paraId="76D51B9C">
            <w:pPr>
              <w:jc w:val="center"/>
              <w:rPr>
                <w:rFonts w:ascii="Times New Roman" w:hAnsi="Times New Roman"/>
                <w:color w:val="000000"/>
                <w:sz w:val="18"/>
                <w:szCs w:val="18"/>
              </w:rPr>
            </w:pPr>
            <w:r>
              <w:rPr>
                <w:rFonts w:ascii="Times New Roman" w:hAnsi="Times New Roman"/>
                <w:color w:val="000000"/>
                <w:sz w:val="18"/>
                <w:szCs w:val="18"/>
              </w:rPr>
              <w:t>63</w:t>
            </w:r>
          </w:p>
        </w:tc>
        <w:tc>
          <w:tcPr>
            <w:tcW w:w="658" w:type="dxa"/>
            <w:vMerge w:val="continue"/>
            <w:noWrap w:val="0"/>
            <w:vAlign w:val="center"/>
          </w:tcPr>
          <w:p w14:paraId="0F35C2B6">
            <w:pPr>
              <w:spacing w:line="240" w:lineRule="exact"/>
              <w:jc w:val="center"/>
              <w:rPr>
                <w:rFonts w:ascii="Times New Roman" w:hAnsi="Times New Roman" w:eastAsia="方正仿宋_GBK"/>
                <w:sz w:val="18"/>
                <w:szCs w:val="18"/>
              </w:rPr>
            </w:pPr>
          </w:p>
        </w:tc>
        <w:tc>
          <w:tcPr>
            <w:tcW w:w="1388" w:type="dxa"/>
            <w:noWrap w:val="0"/>
            <w:vAlign w:val="center"/>
          </w:tcPr>
          <w:p w14:paraId="6F81702A">
            <w:pPr>
              <w:spacing w:line="240" w:lineRule="exact"/>
              <w:rPr>
                <w:rFonts w:ascii="Times New Roman" w:hAnsi="Times New Roman" w:eastAsia="方正仿宋_GBK"/>
                <w:sz w:val="18"/>
                <w:szCs w:val="18"/>
              </w:rPr>
            </w:pPr>
            <w:r>
              <w:rPr>
                <w:rFonts w:ascii="Times New Roman" w:hAnsi="Times New Roman" w:eastAsia="方正仿宋_GBK"/>
                <w:sz w:val="18"/>
                <w:szCs w:val="18"/>
              </w:rPr>
              <w:t>商洛市柞水县曹坪镇东沟村活动广场建设项目</w:t>
            </w:r>
          </w:p>
        </w:tc>
        <w:tc>
          <w:tcPr>
            <w:tcW w:w="6520" w:type="dxa"/>
            <w:noWrap w:val="0"/>
            <w:vAlign w:val="center"/>
          </w:tcPr>
          <w:p w14:paraId="582C0384">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主要建设内容为广场硬化600㎡，修建设施用房50㎡，修建文化墙60㎡、活动舞台20㎡，广场美化绿化和文化器材配套设施等。</w:t>
            </w:r>
          </w:p>
        </w:tc>
        <w:tc>
          <w:tcPr>
            <w:tcW w:w="567" w:type="dxa"/>
            <w:noWrap w:val="0"/>
            <w:vAlign w:val="center"/>
          </w:tcPr>
          <w:p w14:paraId="4D50E86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6A2BB68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00926B42">
            <w:pPr>
              <w:spacing w:line="240" w:lineRule="exact"/>
              <w:rPr>
                <w:rFonts w:ascii="Times New Roman" w:hAnsi="Times New Roman" w:eastAsia="方正仿宋_GBK"/>
                <w:sz w:val="18"/>
                <w:szCs w:val="18"/>
              </w:rPr>
            </w:pPr>
            <w:r>
              <w:rPr>
                <w:rFonts w:ascii="Times New Roman" w:hAnsi="Times New Roman" w:eastAsia="方正仿宋_GBK"/>
                <w:sz w:val="18"/>
                <w:szCs w:val="18"/>
              </w:rPr>
              <w:t>曹坪镇东沟村村民委员会</w:t>
            </w:r>
          </w:p>
        </w:tc>
        <w:tc>
          <w:tcPr>
            <w:tcW w:w="1231" w:type="dxa"/>
            <w:noWrap w:val="0"/>
            <w:vAlign w:val="center"/>
          </w:tcPr>
          <w:p w14:paraId="7D8404DB">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D432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58" w:hRule="exact"/>
          <w:jc w:val="center"/>
        </w:trPr>
        <w:tc>
          <w:tcPr>
            <w:tcW w:w="465" w:type="dxa"/>
            <w:noWrap w:val="0"/>
            <w:vAlign w:val="center"/>
          </w:tcPr>
          <w:p w14:paraId="160FB524">
            <w:pPr>
              <w:jc w:val="center"/>
              <w:rPr>
                <w:rFonts w:ascii="Times New Roman" w:hAnsi="Times New Roman"/>
                <w:color w:val="000000"/>
                <w:sz w:val="18"/>
                <w:szCs w:val="18"/>
              </w:rPr>
            </w:pPr>
            <w:r>
              <w:rPr>
                <w:rFonts w:ascii="Times New Roman" w:hAnsi="Times New Roman"/>
                <w:color w:val="000000"/>
                <w:sz w:val="18"/>
                <w:szCs w:val="18"/>
              </w:rPr>
              <w:t>64</w:t>
            </w:r>
          </w:p>
        </w:tc>
        <w:tc>
          <w:tcPr>
            <w:tcW w:w="658" w:type="dxa"/>
            <w:vMerge w:val="continue"/>
            <w:noWrap w:val="0"/>
            <w:vAlign w:val="center"/>
          </w:tcPr>
          <w:p w14:paraId="079D82DA">
            <w:pPr>
              <w:spacing w:line="240" w:lineRule="exact"/>
              <w:jc w:val="center"/>
              <w:rPr>
                <w:rFonts w:ascii="Times New Roman" w:hAnsi="Times New Roman" w:eastAsia="方正仿宋_GBK"/>
                <w:sz w:val="18"/>
                <w:szCs w:val="18"/>
              </w:rPr>
            </w:pPr>
          </w:p>
        </w:tc>
        <w:tc>
          <w:tcPr>
            <w:tcW w:w="1388" w:type="dxa"/>
            <w:noWrap w:val="0"/>
            <w:vAlign w:val="center"/>
          </w:tcPr>
          <w:p w14:paraId="112E0424">
            <w:pPr>
              <w:spacing w:line="240" w:lineRule="exact"/>
              <w:rPr>
                <w:rFonts w:ascii="Times New Roman" w:hAnsi="Times New Roman" w:eastAsia="方正仿宋_GBK"/>
                <w:sz w:val="18"/>
                <w:szCs w:val="18"/>
              </w:rPr>
            </w:pPr>
            <w:r>
              <w:rPr>
                <w:rFonts w:ascii="Times New Roman" w:hAnsi="Times New Roman" w:eastAsia="方正仿宋_GBK"/>
                <w:sz w:val="18"/>
                <w:szCs w:val="18"/>
              </w:rPr>
              <w:t>商洛市柞水县社会组织能力提升项目</w:t>
            </w:r>
          </w:p>
        </w:tc>
        <w:tc>
          <w:tcPr>
            <w:tcW w:w="6520" w:type="dxa"/>
            <w:noWrap w:val="0"/>
            <w:vAlign w:val="center"/>
          </w:tcPr>
          <w:p w14:paraId="119BA308">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1.电商培训：开展电商创业、网店运营、平台规则、选品策略等电商创业核心知识培训。2.数字营销实训：开展直播技巧、短视频创作、社群运营等新媒体营销实战训练。3.电商技能培训：开展电商运营、直播带货、短视频营销等培训，提升创业竞争力。4.供应链优化：整合物流资源，建设冷链仓储，解决农产品上行“最后一公里”。5.助农直播培训：组织直播助农培训，邀请网红或培训本地“新农人”直播带货，有效拓展农产品销售渠道。通过电商赋能，带动乡村产业创新与就业增长。</w:t>
            </w:r>
          </w:p>
        </w:tc>
        <w:tc>
          <w:tcPr>
            <w:tcW w:w="567" w:type="dxa"/>
            <w:noWrap w:val="0"/>
            <w:vAlign w:val="center"/>
          </w:tcPr>
          <w:p w14:paraId="18A76BE2">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709" w:type="dxa"/>
            <w:noWrap w:val="0"/>
            <w:vAlign w:val="center"/>
          </w:tcPr>
          <w:p w14:paraId="791D84F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15.5</w:t>
            </w:r>
          </w:p>
        </w:tc>
        <w:tc>
          <w:tcPr>
            <w:tcW w:w="1134" w:type="dxa"/>
            <w:noWrap w:val="0"/>
            <w:vAlign w:val="center"/>
          </w:tcPr>
          <w:p w14:paraId="1D04B7F2">
            <w:pPr>
              <w:spacing w:line="240" w:lineRule="exact"/>
              <w:rPr>
                <w:rFonts w:ascii="Times New Roman" w:hAnsi="Times New Roman" w:eastAsia="方正仿宋_GBK"/>
                <w:sz w:val="18"/>
                <w:szCs w:val="18"/>
              </w:rPr>
            </w:pPr>
            <w:r>
              <w:rPr>
                <w:rFonts w:ascii="Times New Roman" w:hAnsi="Times New Roman" w:eastAsia="方正仿宋_GBK"/>
                <w:sz w:val="18"/>
                <w:szCs w:val="18"/>
              </w:rPr>
              <w:t>柞水县电子商务协会</w:t>
            </w:r>
          </w:p>
        </w:tc>
        <w:tc>
          <w:tcPr>
            <w:tcW w:w="1231" w:type="dxa"/>
            <w:noWrap w:val="0"/>
            <w:vAlign w:val="center"/>
          </w:tcPr>
          <w:p w14:paraId="53809927">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16A2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15" w:hRule="exact"/>
          <w:jc w:val="center"/>
        </w:trPr>
        <w:tc>
          <w:tcPr>
            <w:tcW w:w="465" w:type="dxa"/>
            <w:noWrap w:val="0"/>
            <w:vAlign w:val="center"/>
          </w:tcPr>
          <w:p w14:paraId="5FE0A5E8">
            <w:pPr>
              <w:jc w:val="center"/>
              <w:rPr>
                <w:rFonts w:ascii="Times New Roman" w:hAnsi="Times New Roman"/>
                <w:color w:val="000000"/>
                <w:sz w:val="18"/>
                <w:szCs w:val="18"/>
              </w:rPr>
            </w:pPr>
            <w:r>
              <w:rPr>
                <w:rFonts w:ascii="Times New Roman" w:hAnsi="Times New Roman"/>
                <w:color w:val="000000"/>
                <w:sz w:val="18"/>
                <w:szCs w:val="18"/>
              </w:rPr>
              <w:t>65</w:t>
            </w:r>
          </w:p>
        </w:tc>
        <w:tc>
          <w:tcPr>
            <w:tcW w:w="658" w:type="dxa"/>
            <w:noWrap w:val="0"/>
            <w:vAlign w:val="center"/>
          </w:tcPr>
          <w:p w14:paraId="022E9489">
            <w:pPr>
              <w:autoSpaceDE w:val="0"/>
              <w:autoSpaceDN w:val="0"/>
              <w:snapToGrid w:val="0"/>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江苏省淮安市淮阴区</w:t>
            </w:r>
          </w:p>
        </w:tc>
        <w:tc>
          <w:tcPr>
            <w:tcW w:w="1388" w:type="dxa"/>
            <w:noWrap w:val="0"/>
            <w:vAlign w:val="center"/>
          </w:tcPr>
          <w:p w14:paraId="2A3EB9AC">
            <w:pPr>
              <w:autoSpaceDE w:val="0"/>
              <w:autoSpaceDN w:val="0"/>
              <w:snapToGrid w:val="0"/>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淮安市蒋集九年制学校维修工程</w:t>
            </w:r>
          </w:p>
        </w:tc>
        <w:tc>
          <w:tcPr>
            <w:tcW w:w="6520" w:type="dxa"/>
            <w:noWrap w:val="0"/>
            <w:vAlign w:val="center"/>
          </w:tcPr>
          <w:p w14:paraId="1EFDBEBB">
            <w:pPr>
              <w:autoSpaceDE w:val="0"/>
              <w:autoSpaceDN w:val="0"/>
              <w:snapToGrid w:val="0"/>
              <w:spacing w:line="240" w:lineRule="exact"/>
              <w:ind w:firstLine="360" w:firstLineChars="200"/>
              <w:rPr>
                <w:rFonts w:hint="eastAsia" w:ascii="Times New Roman" w:hAnsi="Times New Roman" w:eastAsia="方正仿宋_GBK"/>
                <w:sz w:val="18"/>
                <w:szCs w:val="18"/>
              </w:rPr>
            </w:pPr>
            <w:r>
              <w:rPr>
                <w:rFonts w:hint="eastAsia" w:ascii="Times New Roman" w:hAnsi="Times New Roman" w:eastAsia="方正仿宋_GBK"/>
                <w:sz w:val="18"/>
                <w:szCs w:val="18"/>
              </w:rPr>
              <w:t>1.操场上足球场地高低不平，学生活动时易摔倒，改造面积约1800㎡，整平场地、种普通草皮等约需5.5万元；2.初中部教学楼女儿墙偏矮，学生活动时有安全隐患，需加高，约需1.5万元；3.学校大厕所建成时间较长，年久失修，需建洗手池4个、内外墙面粉刷、吊顶维修等，约需3万元；4.初中部及小学部楼外墙立面损坏较严重，需要进行楼体外立面油漆粉刷。具体：初中部楼外立面总面积约为1000㎡，小学部楼外立面总面积为1100㎡，合计需油漆粉刷2100㎡，约需14元/㎡，总计约需3万元；5.女生宿舍楼前水泥地面高低不平，雨天积水严重，急需改造约500㎡，约需费用2.5万元；6.食堂东侧水池需要改造，约需1万元。7.食堂开水房无法满足学生冬天使用热水需要，新增热水管道、水龙头及下水水池，约需0.5万元；8.男生宿舍楼内部线路老化，存在安全隐患，急需改造，约需5万元。</w:t>
            </w:r>
          </w:p>
        </w:tc>
        <w:tc>
          <w:tcPr>
            <w:tcW w:w="567" w:type="dxa"/>
            <w:noWrap w:val="0"/>
            <w:vAlign w:val="center"/>
          </w:tcPr>
          <w:p w14:paraId="7220CBDA">
            <w:pPr>
              <w:autoSpaceDE w:val="0"/>
              <w:autoSpaceDN w:val="0"/>
              <w:snapToGrid w:val="0"/>
              <w:spacing w:line="240" w:lineRule="exact"/>
              <w:jc w:val="center"/>
              <w:rPr>
                <w:rFonts w:hint="eastAsia" w:ascii="Times New Roman" w:hAnsi="Times New Roman" w:eastAsia="方正仿宋_GBK"/>
                <w:sz w:val="18"/>
                <w:szCs w:val="18"/>
              </w:rPr>
            </w:pPr>
            <w:r>
              <w:rPr>
                <w:rFonts w:hint="eastAsia" w:ascii="Times New Roman" w:hAnsi="Times New Roman" w:eastAsia="方正仿宋_GBK"/>
                <w:sz w:val="18"/>
                <w:szCs w:val="18"/>
              </w:rPr>
              <w:t>3</w:t>
            </w:r>
          </w:p>
        </w:tc>
        <w:tc>
          <w:tcPr>
            <w:tcW w:w="709" w:type="dxa"/>
            <w:noWrap w:val="0"/>
            <w:vAlign w:val="center"/>
          </w:tcPr>
          <w:p w14:paraId="572378DC">
            <w:pPr>
              <w:autoSpaceDE w:val="0"/>
              <w:autoSpaceDN w:val="0"/>
              <w:snapToGrid w:val="0"/>
              <w:spacing w:line="240" w:lineRule="exact"/>
              <w:jc w:val="center"/>
              <w:rPr>
                <w:rFonts w:hint="eastAsia" w:ascii="Times New Roman" w:hAnsi="Times New Roman" w:eastAsia="方正仿宋_GBK"/>
                <w:sz w:val="18"/>
                <w:szCs w:val="18"/>
              </w:rPr>
            </w:pPr>
            <w:r>
              <w:rPr>
                <w:rFonts w:ascii="Times New Roman" w:hAnsi="Times New Roman" w:eastAsia="方正仿宋_GBK"/>
                <w:sz w:val="18"/>
                <w:szCs w:val="18"/>
              </w:rPr>
              <w:t>22</w:t>
            </w:r>
          </w:p>
        </w:tc>
        <w:tc>
          <w:tcPr>
            <w:tcW w:w="1134" w:type="dxa"/>
            <w:noWrap w:val="0"/>
            <w:vAlign w:val="center"/>
          </w:tcPr>
          <w:p w14:paraId="10C596C5">
            <w:pPr>
              <w:autoSpaceDE w:val="0"/>
              <w:autoSpaceDN w:val="0"/>
              <w:snapToGrid w:val="0"/>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中共江苏省委驻淮阴区乡村振兴工作队</w:t>
            </w:r>
          </w:p>
        </w:tc>
        <w:tc>
          <w:tcPr>
            <w:tcW w:w="1231" w:type="dxa"/>
            <w:noWrap w:val="0"/>
            <w:vAlign w:val="center"/>
          </w:tcPr>
          <w:p w14:paraId="3D74207D">
            <w:pPr>
              <w:autoSpaceDE w:val="0"/>
              <w:autoSpaceDN w:val="0"/>
              <w:snapToGrid w:val="0"/>
              <w:spacing w:line="180" w:lineRule="exact"/>
              <w:rPr>
                <w:rFonts w:hint="eastAsia" w:ascii="Times New Roman" w:hAnsi="Times New Roman" w:eastAsia="方正仿宋_GBK"/>
                <w:sz w:val="18"/>
                <w:szCs w:val="18"/>
              </w:rPr>
            </w:pPr>
            <w:r>
              <w:rPr>
                <w:rFonts w:hint="eastAsia" w:ascii="Times New Roman" w:hAnsi="Times New Roman" w:eastAsia="方正仿宋_GBK"/>
                <w:sz w:val="18"/>
                <w:szCs w:val="18"/>
              </w:rPr>
              <w:t>公益事业捐赠统一票据</w:t>
            </w:r>
          </w:p>
        </w:tc>
      </w:tr>
      <w:tr w14:paraId="13BAF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6" w:hRule="exact"/>
          <w:jc w:val="center"/>
        </w:trPr>
        <w:tc>
          <w:tcPr>
            <w:tcW w:w="465" w:type="dxa"/>
            <w:noWrap w:val="0"/>
            <w:vAlign w:val="center"/>
          </w:tcPr>
          <w:p w14:paraId="78947DC4">
            <w:pPr>
              <w:autoSpaceDE w:val="0"/>
              <w:autoSpaceDN w:val="0"/>
              <w:snapToGrid w:val="0"/>
              <w:spacing w:line="240" w:lineRule="exact"/>
              <w:jc w:val="center"/>
              <w:rPr>
                <w:rFonts w:hint="eastAsia" w:ascii="方正黑体_GBK" w:hAnsi="Times New Roman" w:eastAsia="方正黑体_GBK"/>
                <w:color w:val="000000"/>
                <w:sz w:val="18"/>
                <w:szCs w:val="18"/>
              </w:rPr>
            </w:pPr>
            <w:r>
              <w:rPr>
                <w:rFonts w:hint="eastAsia" w:ascii="方正黑体_GBK" w:hAnsi="Times New Roman" w:eastAsia="方正黑体_GBK"/>
                <w:color w:val="000000"/>
                <w:sz w:val="18"/>
                <w:szCs w:val="18"/>
              </w:rPr>
              <w:t>说明</w:t>
            </w:r>
          </w:p>
        </w:tc>
        <w:tc>
          <w:tcPr>
            <w:tcW w:w="12207" w:type="dxa"/>
            <w:gridSpan w:val="7"/>
            <w:noWrap w:val="0"/>
            <w:vAlign w:val="center"/>
          </w:tcPr>
          <w:p w14:paraId="40B89E13">
            <w:pPr>
              <w:autoSpaceDE w:val="0"/>
              <w:autoSpaceDN w:val="0"/>
              <w:snapToGrid w:val="0"/>
              <w:spacing w:line="240" w:lineRule="exact"/>
              <w:ind w:firstLine="270" w:firstLineChars="150"/>
              <w:jc w:val="left"/>
              <w:rPr>
                <w:rFonts w:ascii="Times New Roman" w:hAnsi="Times New Roman" w:eastAsia="方正仿宋_GBK"/>
                <w:color w:val="000000"/>
                <w:sz w:val="18"/>
                <w:szCs w:val="18"/>
              </w:rPr>
            </w:pPr>
            <w:r>
              <w:rPr>
                <w:rFonts w:ascii="Times New Roman" w:hAnsi="Times New Roman" w:eastAsia="方正仿宋_GBK"/>
                <w:sz w:val="18"/>
                <w:szCs w:val="18"/>
              </w:rPr>
              <w:t>共65个</w:t>
            </w:r>
            <w:r>
              <w:rPr>
                <w:rFonts w:hint="eastAsia" w:ascii="Times New Roman" w:hAnsi="Times New Roman" w:eastAsia="方正仿宋_GBK"/>
                <w:sz w:val="18"/>
                <w:szCs w:val="18"/>
              </w:rPr>
              <w:t>帮扶</w:t>
            </w:r>
            <w:r>
              <w:rPr>
                <w:rFonts w:ascii="Times New Roman" w:hAnsi="Times New Roman" w:eastAsia="方正仿宋_GBK"/>
                <w:sz w:val="18"/>
                <w:szCs w:val="18"/>
              </w:rPr>
              <w:t>项目，</w:t>
            </w:r>
            <w:r>
              <w:rPr>
                <w:rFonts w:hint="eastAsia" w:ascii="Times New Roman" w:hAnsi="Times New Roman" w:eastAsia="方正仿宋_GBK"/>
                <w:sz w:val="18"/>
                <w:szCs w:val="18"/>
              </w:rPr>
              <w:t>需求</w:t>
            </w:r>
            <w:r>
              <w:rPr>
                <w:rFonts w:ascii="Times New Roman" w:hAnsi="Times New Roman" w:eastAsia="方正仿宋_GBK"/>
                <w:sz w:val="18"/>
                <w:szCs w:val="18"/>
              </w:rPr>
              <w:t>资金1187万元。其中：新疆伊犁州项目6个，</w:t>
            </w:r>
            <w:r>
              <w:rPr>
                <w:rFonts w:hint="eastAsia" w:ascii="Times New Roman" w:hAnsi="Times New Roman" w:eastAsia="方正仿宋_GBK"/>
                <w:sz w:val="18"/>
                <w:szCs w:val="18"/>
              </w:rPr>
              <w:t>需求</w:t>
            </w:r>
            <w:r>
              <w:rPr>
                <w:rFonts w:ascii="Times New Roman" w:hAnsi="Times New Roman" w:eastAsia="方正仿宋_GBK"/>
                <w:sz w:val="18"/>
                <w:szCs w:val="18"/>
              </w:rPr>
              <w:t>资金205万元；新疆克州项目12个，</w:t>
            </w:r>
            <w:r>
              <w:rPr>
                <w:rFonts w:hint="eastAsia" w:ascii="Times New Roman" w:hAnsi="Times New Roman" w:eastAsia="方正仿宋_GBK"/>
                <w:sz w:val="18"/>
                <w:szCs w:val="18"/>
              </w:rPr>
              <w:t>需求</w:t>
            </w:r>
            <w:r>
              <w:rPr>
                <w:rFonts w:ascii="Times New Roman" w:hAnsi="Times New Roman" w:eastAsia="方正仿宋_GBK"/>
                <w:sz w:val="18"/>
                <w:szCs w:val="18"/>
              </w:rPr>
              <w:t>资金219万元；青海省项目25个，</w:t>
            </w:r>
            <w:r>
              <w:rPr>
                <w:rFonts w:hint="eastAsia" w:ascii="Times New Roman" w:hAnsi="Times New Roman" w:eastAsia="方正仿宋_GBK"/>
                <w:sz w:val="18"/>
                <w:szCs w:val="18"/>
              </w:rPr>
              <w:t>需求</w:t>
            </w:r>
            <w:r>
              <w:rPr>
                <w:rFonts w:ascii="Times New Roman" w:hAnsi="Times New Roman" w:eastAsia="方正仿宋_GBK"/>
                <w:sz w:val="18"/>
                <w:szCs w:val="18"/>
              </w:rPr>
              <w:t>资金375万元；</w:t>
            </w:r>
            <w:r>
              <w:rPr>
                <w:rFonts w:hint="eastAsia" w:ascii="Times New Roman" w:hAnsi="Times New Roman" w:eastAsia="方正仿宋_GBK"/>
                <w:sz w:val="18"/>
                <w:szCs w:val="18"/>
              </w:rPr>
              <w:t>陕西省</w:t>
            </w:r>
            <w:r>
              <w:rPr>
                <w:rFonts w:ascii="Times New Roman" w:hAnsi="Times New Roman" w:eastAsia="方正仿宋_GBK"/>
                <w:sz w:val="18"/>
                <w:szCs w:val="18"/>
              </w:rPr>
              <w:t>项目</w:t>
            </w:r>
            <w:r>
              <w:rPr>
                <w:rFonts w:hint="eastAsia" w:ascii="Times New Roman" w:hAnsi="Times New Roman" w:eastAsia="方正仿宋_GBK"/>
                <w:sz w:val="18"/>
                <w:szCs w:val="18"/>
              </w:rPr>
              <w:t>21个</w:t>
            </w:r>
            <w:r>
              <w:rPr>
                <w:rFonts w:ascii="Times New Roman" w:hAnsi="Times New Roman" w:eastAsia="方正仿宋_GBK"/>
                <w:sz w:val="18"/>
                <w:szCs w:val="18"/>
              </w:rPr>
              <w:t>，</w:t>
            </w:r>
            <w:r>
              <w:rPr>
                <w:rFonts w:hint="eastAsia" w:ascii="Times New Roman" w:hAnsi="Times New Roman" w:eastAsia="方正仿宋_GBK"/>
                <w:sz w:val="18"/>
                <w:szCs w:val="18"/>
              </w:rPr>
              <w:t>需求</w:t>
            </w:r>
            <w:r>
              <w:rPr>
                <w:rFonts w:ascii="Times New Roman" w:hAnsi="Times New Roman" w:eastAsia="方正仿宋_GBK"/>
                <w:sz w:val="18"/>
                <w:szCs w:val="18"/>
              </w:rPr>
              <w:t>资金</w:t>
            </w:r>
            <w:r>
              <w:rPr>
                <w:rFonts w:hint="eastAsia" w:ascii="Times New Roman" w:hAnsi="Times New Roman" w:eastAsia="方正仿宋_GBK"/>
                <w:sz w:val="18"/>
                <w:szCs w:val="18"/>
              </w:rPr>
              <w:t>366万元；</w:t>
            </w:r>
            <w:r>
              <w:rPr>
                <w:rFonts w:ascii="Times New Roman" w:hAnsi="Times New Roman" w:eastAsia="方正仿宋_GBK"/>
                <w:sz w:val="18"/>
                <w:szCs w:val="18"/>
              </w:rPr>
              <w:t>省内项目1个，</w:t>
            </w:r>
            <w:r>
              <w:rPr>
                <w:rFonts w:hint="eastAsia" w:ascii="Times New Roman" w:hAnsi="Times New Roman" w:eastAsia="方正仿宋_GBK"/>
                <w:sz w:val="18"/>
                <w:szCs w:val="18"/>
              </w:rPr>
              <w:t>需求</w:t>
            </w:r>
            <w:r>
              <w:rPr>
                <w:rFonts w:ascii="Times New Roman" w:hAnsi="Times New Roman" w:eastAsia="方正仿宋_GBK"/>
                <w:sz w:val="18"/>
                <w:szCs w:val="18"/>
              </w:rPr>
              <w:t>资金22万元。</w:t>
            </w:r>
          </w:p>
        </w:tc>
      </w:tr>
    </w:tbl>
    <w:p w14:paraId="56C164FE">
      <w:pPr>
        <w:widowControl/>
        <w:spacing w:line="240" w:lineRule="exact"/>
        <w:jc w:val="center"/>
        <w:rPr>
          <w:rFonts w:hint="eastAsia" w:ascii="方正黑体_GBK" w:hAnsi="等线" w:eastAsia="方正黑体_GBK"/>
          <w:szCs w:val="21"/>
        </w:rPr>
      </w:pPr>
    </w:p>
    <w:p w14:paraId="3EE25585">
      <w:r>
        <w:rPr>
          <w:rFonts w:ascii="Times New Roman" w:hAnsi="Times New Roman" w:eastAsia="方正仿宋_GBK"/>
          <w:kern w:val="0"/>
          <w:szCs w:val="21"/>
          <w:lang w:bidi="ar"/>
        </w:rPr>
        <w:br w:type="page"/>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FDD66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2025-06-13T06:37:18Z</dcterms:created>
  <dc:creator>张小迎</dc:creator>
  <cp:lastModifiedBy>晓晓</cp:lastModifiedBy>
  <dcterms:modified xsi:type="dcterms:W3CDTF">2025-06-13T06:39:50Z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eyJoZGlkIjoiNDI1NGQ4MDY4NjMxYWVlMzc3ODM2NDE0MmU1ODUxYzYiLCJ1c2VySWQiOiIyNTc1MzkyNDEifQ==</vt:lpwstr>
  </property>
  <property fmtid="{D5CDD505-2E9C-101B-9397-08002B2CF9AE}" pid="4" name="ICV">
    <vt:lpwstr>5D0D2EC53D9140E4A61C762ACC71BDEB_12</vt:lpwstr>
  </property>
</Properties>
</file>