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header+xml" PartName="/word/header1.xml"/>
  <Override ContentType="application/vnd.openxmlformats-officedocument.wordprocessingml.header+xml" PartName="/word/header2.xml"/>
  <Default ContentType="image/png" Extension="png"/>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40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54" w:hRule="atLeast"/>
        </w:trPr>
        <w:tc>
          <w:tcPr>
            <w:tcW w:w="10402" w:type="dxa"/>
            <w:tcBorders>
              <w:top w:val="nil"/>
              <w:left w:val="nil"/>
              <w:bottom w:val="nil"/>
              <w:right w:val="nil"/>
            </w:tcBorders>
            <w:vAlign w:val="top"/>
          </w:tcPr>
          <w:p>
            <w:pPr>
              <w:pStyle w:val="8"/>
              <w:spacing w:line="550" w:lineRule="exact"/>
              <w:rPr>
                <w:rFonts w:hint="eastAsia" w:ascii="仿宋" w:hAnsi="仿宋" w:eastAsia="仿宋" w:cs="仿宋"/>
                <w:b/>
                <w:bCs/>
                <w:color w:val="FF0000"/>
                <w:sz w:val="22"/>
                <w:szCs w:val="22"/>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rPr>
            </w:pPr>
            <w:r>
              <w:rPr>
                <w:rFonts w:ascii="宋体" w:hAnsi="宋体" w:eastAsia="宋体" w:cs="宋体"/>
                <w:b/>
                <w:sz w:val="52"/>
              </w:rPr>
              <w:t>2022年度</w:t>
            </w:r>
            <w:r>
              <w:rPr>
                <w:rFonts w:ascii="宋体" w:hAnsi="宋体" w:eastAsia="宋体" w:cs="宋体"/>
                <w:b/>
                <w:sz w:val="52"/>
              </w:rPr>
              <w:cr/>
            </w:r>
            <w:r>
              <w:rPr>
                <w:rFonts w:ascii="宋体" w:hAnsi="宋体" w:eastAsia="宋体" w:cs="宋体"/>
                <w:b/>
                <w:sz w:val="52"/>
              </w:rPr>
              <w:br/>
            </w:r>
            <w:r>
              <w:rPr>
                <w:rFonts w:ascii="宋体" w:hAnsi="宋体" w:eastAsia="宋体" w:cs="宋体"/>
                <w:b/>
                <w:sz w:val="52"/>
              </w:rPr>
              <w:t>江苏省民政信息中心</w:t>
            </w:r>
            <w:r>
              <w:rPr>
                <w:rFonts w:ascii="宋体" w:hAnsi="宋体" w:eastAsia="宋体" w:cs="宋体"/>
                <w:b/>
                <w:sz w:val="52"/>
              </w:rPr>
              <w:cr/>
            </w:r>
            <w:r>
              <w:rPr>
                <w:rFonts w:ascii="宋体" w:hAnsi="宋体" w:eastAsia="宋体" w:cs="宋体"/>
                <w:b/>
                <w:sz w:val="52"/>
              </w:rPr>
              <w:br/>
            </w:r>
            <w:r>
              <w:rPr>
                <w:rFonts w:ascii="宋体" w:hAnsi="宋体" w:eastAsia="宋体" w:cs="宋体"/>
                <w:b/>
                <w:sz w:val="52"/>
              </w:rPr>
              <w:t>单位预算公开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widowControl w:val="0"/>
        <w:tabs>
          <w:tab w:val="left" w:pos="880"/>
        </w:tabs>
        <w:wordWrap/>
        <w:adjustRightInd/>
        <w:snapToGrid w:val="0"/>
        <w:spacing w:after="0" w:line="240" w:lineRule="auto"/>
        <w:ind w:right="313" w:firstLine="0"/>
        <w:textAlignment w:val="auto"/>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widowControl w:val="0"/>
        <w:wordWrap/>
        <w:adjustRightInd/>
        <w:snapToGrid w:val="0"/>
        <w:spacing w:before="7" w:after="0" w:line="240" w:lineRule="auto"/>
        <w:textAlignment w:val="auto"/>
        <w:rPr>
          <w:rFonts w:hint="eastAsia" w:ascii="仿宋" w:hAnsi="仿宋" w:eastAsia="仿宋" w:cs="仿宋"/>
          <w:sz w:val="27"/>
        </w:rPr>
      </w:pP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widowControl w:val="0"/>
        <w:tabs>
          <w:tab w:val="left" w:pos="2249"/>
        </w:tabs>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widowControl w:val="0"/>
        <w:tabs>
          <w:tab w:val="left" w:pos="2249"/>
        </w:tabs>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机构设置及预算单位构成情况</w:t>
      </w:r>
    </w:p>
    <w:p>
      <w:pPr>
        <w:pStyle w:val="8"/>
        <w:widowControl w:val="0"/>
        <w:tabs>
          <w:tab w:val="left" w:pos="2249"/>
        </w:tabs>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2022</w:t>
      </w:r>
      <w:r>
        <w:rPr>
          <w:rFonts w:hint="eastAsia" w:ascii="仿宋" w:hAnsi="仿宋" w:eastAsia="仿宋" w:cs="仿宋"/>
        </w:rPr>
        <w:t>年度</w:t>
      </w:r>
      <w:r>
        <w:rPr>
          <w:rFonts w:hint="eastAsia" w:ascii="仿宋" w:hAnsi="仿宋" w:eastAsia="仿宋" w:cs="仿宋"/>
          <w:lang w:val="en-US" w:eastAsia="zh-CN"/>
        </w:rPr>
        <w:t>单位</w:t>
      </w:r>
      <w:r>
        <w:rPr>
          <w:rFonts w:hint="eastAsia" w:ascii="仿宋" w:hAnsi="仿宋" w:eastAsia="仿宋" w:cs="仿宋"/>
        </w:rPr>
        <w:t>主要工作任务及目标</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rPr>
        <w:t>2022</w:t>
      </w:r>
      <w:r>
        <w:rPr>
          <w:rFonts w:hint="eastAsia" w:ascii="仿宋" w:hAnsi="仿宋" w:eastAsia="仿宋" w:cs="仿宋"/>
          <w:b/>
          <w:bCs/>
          <w:lang w:val="en-US" w:eastAsia="zh-CN"/>
        </w:rPr>
        <w:t>年度</w:t>
      </w:r>
      <w:r>
        <w:rPr>
          <w:rFonts w:ascii="仿宋" w:hAnsi="仿宋" w:eastAsia="仿宋" w:cs="仿宋"/>
          <w:b/>
        </w:rPr>
        <w:t>单位预算表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一、收支总表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二、收入总表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三、支出总表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四、财政拨款收支总表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五、财政拨款支出表（功能科目）</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六、财政拨款基本支出表（经济科目）</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七、一般公共预算支出表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一</w:t>
      </w:r>
      <w:r>
        <w:rPr>
          <w:rFonts w:hint="eastAsia" w:ascii="仿宋" w:hAnsi="仿宋" w:eastAsia="仿宋" w:cs="仿宋"/>
        </w:rPr>
        <w:t>、国有资本经营预算支出预算表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w:t>
      </w:r>
      <w:r>
        <w:rPr>
          <w:rFonts w:hint="eastAsia" w:ascii="仿宋" w:hAnsi="仿宋" w:eastAsia="仿宋" w:cs="仿宋"/>
          <w:lang w:val="en-US" w:eastAsia="zh-CN"/>
        </w:rPr>
        <w:t>预算</w:t>
      </w:r>
      <w:r>
        <w:rPr>
          <w:rFonts w:hint="eastAsia" w:ascii="仿宋" w:hAnsi="仿宋" w:eastAsia="仿宋" w:cs="仿宋"/>
        </w:rPr>
        <w:t>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、政府采购支出表</w:t>
      </w:r>
    </w:p>
    <w:p>
      <w:pPr>
        <w:pStyle w:val="8"/>
        <w:widowControl w:val="0"/>
        <w:wordWrap/>
        <w:adjustRightInd/>
        <w:snapToGrid w:val="0"/>
        <w:spacing w:after="0" w:line="312" w:lineRule="auto"/>
        <w:ind w:left="671" w:leftChars="300" w:right="506" w:hanging="11" w:firstLineChars="0"/>
        <w:jc w:val="both"/>
        <w:textAlignment w:val="auto"/>
        <w:rPr>
          <w:rFonts w:hint="eastAsia" w:ascii="仿宋" w:hAnsi="仿宋" w:eastAsia="仿宋" w:cs="仿宋"/>
          <w:b/>
          <w:bCs/>
          <w:color w:val="000000"/>
          <w:sz w:val="30"/>
          <w:szCs w:val="30"/>
          <w:lang w:val="en-US"/>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eastAsia="zh-CN"/>
        </w:rPr>
        <w:t>2022</w:t>
      </w:r>
      <w:r>
        <w:rPr>
          <w:rFonts w:hint="eastAsia" w:ascii="仿宋" w:hAnsi="仿宋" w:eastAsia="仿宋" w:cs="仿宋"/>
          <w:b/>
          <w:bCs/>
          <w:color w:val="000000"/>
          <w:sz w:val="30"/>
          <w:szCs w:val="30"/>
          <w:lang w:val="en-US"/>
        </w:rPr>
        <w:t>年度</w:t>
      </w:r>
      <w:r>
        <w:rPr>
          <w:rFonts w:ascii="仿宋" w:hAnsi="仿宋" w:eastAsia="仿宋" w:cs="仿宋"/>
          <w:b/>
          <w:color w:val="000000"/>
          <w:sz w:val="30"/>
        </w:rPr>
        <w:t>单位</w:t>
      </w:r>
      <w:r>
        <w:rPr>
          <w:rFonts w:hint="eastAsia" w:ascii="仿宋" w:hAnsi="仿宋" w:eastAsia="仿宋" w:cs="仿宋"/>
          <w:b/>
          <w:bCs/>
          <w:color w:val="000000"/>
          <w:sz w:val="30"/>
          <w:szCs w:val="30"/>
          <w:lang w:val="en-US" w:eastAsia="zh-CN"/>
        </w:rPr>
        <w:t>预算</w:t>
      </w:r>
      <w:r>
        <w:rPr>
          <w:rFonts w:hint="eastAsia" w:ascii="仿宋" w:hAnsi="仿宋" w:eastAsia="仿宋" w:cs="仿宋"/>
          <w:b/>
          <w:bCs/>
          <w:color w:val="000000"/>
          <w:sz w:val="30"/>
          <w:szCs w:val="30"/>
          <w:lang w:val="en-US"/>
        </w:rPr>
        <w:t>情况说明</w:t>
      </w:r>
    </w:p>
    <w:p>
      <w:pPr>
        <w:pStyle w:val="8"/>
        <w:widowControl w:val="0"/>
        <w:wordWrap/>
        <w:adjustRightInd/>
        <w:snapToGrid w:val="0"/>
        <w:spacing w:after="0" w:line="312" w:lineRule="auto"/>
        <w:ind w:left="671" w:leftChars="300" w:right="2575" w:hanging="11" w:firstLineChars="0"/>
        <w:jc w:val="both"/>
        <w:textAlignment w:val="auto"/>
        <w:rPr>
          <w:rFonts w:hint="default" w:ascii="仿宋" w:hAnsi="仿宋" w:eastAsia="仿宋" w:cs="仿宋"/>
          <w:b/>
          <w:bCs/>
          <w:color w:val="000000"/>
          <w:sz w:val="30"/>
          <w:szCs w:val="30"/>
          <w:lang w:val="en-US" w:eastAsia="zh-CN"/>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widowControl w:val="0"/>
        <w:wordWrap/>
        <w:adjustRightInd/>
        <w:snapToGrid w:val="0"/>
        <w:spacing w:after="0" w:line="312" w:lineRule="auto"/>
        <w:ind w:left="669" w:leftChars="300" w:right="2414" w:hanging="9" w:firstLineChars="0"/>
        <w:jc w:val="both"/>
        <w:textAlignment w:val="auto"/>
        <w:rPr>
          <w:rFonts w:hint="eastAsia" w:ascii="仿宋" w:hAnsi="仿宋" w:eastAsia="仿宋" w:cs="仿宋"/>
        </w:rPr>
        <w:sectPr>
          <w:footerReference r:id="rId6"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江苏省民政信息中心是江苏省民政厅直属差额拨款、公益一类事业单位，主要业务范围为民政事业发展提供信息服务。民政系统信息网络管理和技术服务 民政系统专用计算机软件研发和推广 相关业务培训。</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机构设置及预算单位构成情况</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eastAsia="zh-CN"/>
        </w:rPr>
        <w:t>1.</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本单位无内设机构。本单位无下属单位。</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w:t>
      </w:r>
      <w:r>
        <w:rPr>
          <w:rFonts w:hint="eastAsia" w:ascii="仿宋" w:hAnsi="仿宋" w:eastAsia="仿宋" w:cs="仿宋"/>
          <w:b/>
          <w:bCs/>
          <w:lang w:eastAsia="zh-CN"/>
        </w:rPr>
        <w:t>2022</w:t>
      </w:r>
      <w:r>
        <w:rPr>
          <w:rFonts w:hint="eastAsia" w:ascii="仿宋" w:hAnsi="仿宋" w:eastAsia="仿宋" w:cs="仿宋"/>
          <w:b/>
          <w:bCs/>
        </w:rPr>
        <w:t>年度</w:t>
      </w:r>
      <w:r>
        <w:rPr>
          <w:rFonts w:ascii="仿宋" w:hAnsi="仿宋" w:eastAsia="仿宋" w:cs="仿宋"/>
          <w:b/>
        </w:rPr>
        <w:t>单位主要工作任务及目标</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1、实施“智慧民政”三年行动计划，深化“金民工程”社会救助、养老服务、志愿服务以及省级居民家庭经济状况核对平台等系统应用，推动殡葬管理、残疾人两项补贴、未成年人保护等信息化项目建设。</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2. 全面改造升级省民政一体化综合业务平台技术架构，推进落地我省使用的部建“金民工程”系统和各地自建业务系统向省级平台整合，实现统一基础支撑，形成全省“智慧民政”统一门户。</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3. 强化数据应用，开展省级民政数据中台建设，完善民政政务信息资源目录，按照全量、准确、实时的要求采集归集数据，深化数据共享交换和开放应用，提升民政业务数据质量，精准掌握服务对象和资源细分情况，为决策提供支撑。</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4. 深化“互联网+民政服务”，丰富民政便民服务应用场景，拓展线上办事深度，实现更多民政业务跨区域通办、一件事联办。完善与省政务服务平台身份认证、电子证照、电子印章、物流快递等信息库对接。</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5. 加强新技术应用，落实区块链应用推广行动计划，指导相关地区开展“区块链+民政”创新应用试点、国家智能社会治理实验基地建设。</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6. 完善民政信用监管服务平台建设，优化民政信用数据归集报送，促进跨部门跨层级信用信息协同联动应用，进一步强化对民政业务事前、事中、事后全流程信用监管。</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7. 做好我厅安可工程竣工验收工作，会同厅办公室深化厅新版协同办公系统应用。</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8. 按照省政府关于政务公开、政府网站及政务新媒体管理要求，加强江苏民政网、“江苏民政”政务微信、微博日常运营与监管；根据最新要求，调整优化政务公开专栏，配合相关处室做好各类载体政务信息公开工作；开展江苏民政网无障碍改造。</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9. 加强与省委网信办和相关新闻媒体的联络协调，强化舆情监测，配合厅办公室做好舆情分析研判与应对处置工作。</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10. 做好省民政综合业务信息平台数据容灾备份工作，保障民政信息数据安全和计算机网络系统平稳运行。</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11. 推进网络安全工作责任制在我厅有效落实，加强管理制度规范化建设，落实网络安全防护措施，按要求做好系统安全等级保护定级、备案和测评工作，定期开展网络安全检查与风险排查，抓好隐患整改，做好重要时段网络安全保障工作。</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12. 按照相关管理规范，做好省电子政务内、外网的运维管理工作。配合省纪委等单位做好纪检监察网技术保障工作。</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13. 管理、运行和维护好省厅数据中心信息网络系统，及时修复出现的故障，保障业务工作正常开展。</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14. 做好厅机关各类会议和重大活动的技术保障工作。</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lang w:eastAsia="zh-CN"/>
        </w:rPr>
        <w:t>2022</w:t>
      </w:r>
      <w:r>
        <w:rPr>
          <w:rFonts w:hint="eastAsia" w:ascii="仿宋" w:hAnsi="仿宋" w:eastAsia="仿宋" w:cs="仿宋"/>
          <w:b/>
          <w:bCs/>
          <w:sz w:val="44"/>
          <w:szCs w:val="44"/>
        </w:rPr>
        <w:t>年度</w:t>
      </w: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江苏省民政信息中心</w:t>
      </w:r>
    </w:p>
    <w:p>
      <w:pPr>
        <w:pStyle w:val="16"/>
        <w:widowControl w:val="0"/>
        <w:tabs>
          <w:tab w:val="left" w:pos="1609"/>
        </w:tabs>
        <w:suppressAutoHyphens/>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预算表</w:t>
      </w:r>
    </w:p>
    <w:tbl>
      <w:tblPr>
        <w:tblW w:w="1133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908"/>
        <w:gridCol w:w="1869"/>
        <w:gridCol w:w="3704"/>
        <w:gridCol w:w="67"/>
        <w:gridCol w:w="1781"/>
        <w:gridCol w:w="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6" w:hRule="atLeast"/>
          <w:jc w:val="center"/>
        </w:trPr>
        <w:tc>
          <w:tcPr>
            <w:tcW w:w="11329" w:type="dxa"/>
            <w:gridSpan w:val="5"/>
            <w:vAlign w:val="center"/>
          </w:tcPr>
          <w:p>
            <w:pPr>
              <w:pageBreakBefore/>
              <w:widowControl w:val="0"/>
              <w:ind w:left="0" w:right="0" w:firstLine="0"/>
              <w:jc w:val="both"/>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公开01表</w:t>
            </w: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8" w:hRule="atLeast"/>
          <w:jc w:val="center"/>
        </w:trPr>
        <w:tc>
          <w:tcPr>
            <w:tcW w:w="11329" w:type="dxa"/>
            <w:gridSpan w:val="5"/>
            <w:vAlign w:val="top"/>
          </w:tcPr>
          <w:p>
            <w:pPr>
              <w:widowControl w:val="0"/>
              <w:ind w:left="0" w:right="0" w:firstLine="0"/>
              <w:jc w:val="center"/>
              <w:textAlignment w:val="auto"/>
              <w:rPr>
                <w:rFonts w:hint="eastAsia" w:ascii="仿宋" w:hAnsi="仿宋" w:eastAsia="仿宋" w:cs="仿宋"/>
                <w:color w:val="000000"/>
                <w:sz w:val="22"/>
              </w:rPr>
            </w:pPr>
            <w:r>
              <w:rPr>
                <w:rFonts w:hint="eastAsia" w:ascii="仿宋" w:hAnsi="仿宋" w:eastAsia="仿宋" w:cs="仿宋"/>
                <w:b/>
                <w:bCs/>
                <w:color w:val="000000"/>
                <w:sz w:val="44"/>
                <w:szCs w:val="44"/>
                <w:lang w:eastAsia="ar-SA"/>
              </w:rPr>
              <w:t>收支总表</w:t>
            </w: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color w:val="000000"/>
                <w:sz w:val="22"/>
                <w:szCs w:val="22"/>
                <w:lang w:eastAsia="ar-SA"/>
              </w:rPr>
              <w:t>江苏省民政信息中心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lang w:eastAsia="zh-CN"/>
              </w:rPr>
              <w:t>单位</w:t>
            </w:r>
            <w:r>
              <w:rPr>
                <w:rFonts w:hint="eastAsia" w:ascii="仿宋" w:hAnsi="仿宋" w:eastAsia="仿宋" w:cs="仿宋"/>
                <w:color w:val="000000"/>
                <w:sz w:val="22"/>
              </w:rPr>
              <w:t>：万元</w:t>
            </w: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4"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支出</w:t>
            </w: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9"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项目</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194.89</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四、财政专户管理资金收入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六、事业单位经营收入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170.66</w:t>
            </w: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九、其他收入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九、社会保险基金支出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十八、援助其他地区支出 </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24.23</w:t>
            </w: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二十四、预备费</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二十六、转移性支出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二十七、债务还本支出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二十八、债务付息支出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二十九、债务发行费用支出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194.89</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194.89</w:t>
            </w: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2"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上年结转结余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lang w:val="zh-CN" w:eastAsia="ar-SA"/>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年终结转结余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c>
          <w:tcPr>
            <w:tcW w:w="2" w:type="dxa"/>
            <w:vAlign w:val="top"/>
          </w:tcPr>
          <w:p>
            <w:pPr>
              <w:widowControl w:val="0"/>
              <w:jc w:val="left"/>
              <w:rPr>
                <w:rFonts w:hint="eastAsia" w:ascii="仿宋" w:hAnsi="仿宋" w:eastAsia="仿宋" w:cs="仿宋"/>
                <w:sz w:val="20"/>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收入</w:t>
            </w: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194.89</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支出</w:t>
            </w:r>
            <w:r>
              <w:rPr>
                <w:rFonts w:hint="eastAsia" w:ascii="仿宋" w:hAnsi="仿宋" w:eastAsia="仿宋" w:cs="仿宋"/>
                <w:b/>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194.89</w:t>
            </w:r>
          </w:p>
        </w:tc>
        <w:tc>
          <w:tcPr>
            <w:tcW w:w="2" w:type="dxa"/>
            <w:vAlign w:val="top"/>
          </w:tcPr>
          <w:p>
            <w:pPr>
              <w:widowControl w:val="0"/>
              <w:jc w:val="left"/>
              <w:rPr>
                <w:rFonts w:hint="eastAsia" w:ascii="仿宋" w:hAnsi="仿宋" w:eastAsia="仿宋" w:cs="仿宋"/>
                <w:sz w:val="20"/>
              </w:rPr>
            </w:pPr>
          </w:p>
        </w:tc>
      </w:tr>
    </w:tbl>
    <w:p>
      <w:pPr>
        <w:widowControl w:val="0"/>
        <w:suppressAutoHyphens/>
        <w:spacing w:before="66" w:after="0"/>
        <w:ind w:right="0"/>
        <w:jc w:val="left"/>
        <w:rPr>
          <w:rFonts w:hint="eastAsia" w:ascii="仿宋" w:hAnsi="仿宋" w:eastAsia="仿宋" w:cs="仿宋"/>
          <w:b/>
          <w:bCs/>
          <w:color w:val="000000"/>
          <w:sz w:val="22"/>
          <w:szCs w:val="22"/>
        </w:rPr>
        <w:sectPr>
          <w:footerReference r:id="rId8" w:type="default"/>
          <w:pgSz w:w="11906" w:h="16838"/>
          <w:pgMar w:top="1580" w:right="70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6675"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3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c>
          <w:tcPr>
            <w:tcW w:w="16675"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left"/>
              <w:rPr>
                <w:rFonts w:hint="eastAsia" w:ascii="仿宋" w:hAnsi="仿宋" w:eastAsia="仿宋" w:cs="仿宋"/>
                <w:lang w:val="en-US" w:eastAsia="zh-CN"/>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c>
          <w:tcPr>
            <w:tcW w:w="16675"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b/>
                <w:bCs/>
                <w:sz w:val="44"/>
                <w:szCs w:val="44"/>
              </w:rPr>
              <w:t>收入</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c>
          <w:tcPr>
            <w:tcW w:w="11988" w:type="dxa"/>
            <w:gridSpan w:val="13"/>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jc w:val="both"/>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4687" w:type="dxa"/>
            <w:gridSpan w:val="6"/>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jc w:val="right"/>
              <w:rPr>
                <w:rFonts w:hint="eastAsia" w:ascii="仿宋" w:hAnsi="仿宋" w:eastAsia="仿宋" w:cs="仿宋"/>
                <w:lang w:val="en-US" w:eastAsia="zh-CN"/>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c>
          <w:tcPr>
            <w:tcW w:w="824"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代码</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名称</w:t>
            </w:r>
          </w:p>
        </w:tc>
        <w:tc>
          <w:tcPr>
            <w:tcW w:w="9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合计</w:t>
            </w:r>
          </w:p>
        </w:tc>
        <w:tc>
          <w:tcPr>
            <w:tcW w:w="8387" w:type="dxa"/>
            <w:gridSpan w:val="10"/>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本年收入</w:t>
            </w:r>
          </w:p>
        </w:tc>
        <w:tc>
          <w:tcPr>
            <w:tcW w:w="4687" w:type="dxa"/>
            <w:gridSpan w:val="6"/>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trHeight w:val="484" w:hRule="atLeast"/>
        </w:trPr>
        <w:tc>
          <w:tcPr>
            <w:tcW w:w="824"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p>
        </w:tc>
        <w:tc>
          <w:tcPr>
            <w:tcW w:w="9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事业</w:t>
            </w:r>
          </w:p>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事业单位经营收入</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上级补助收入</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附属单位上缴收入</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其他</w:t>
            </w:r>
          </w:p>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83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单位</w:t>
            </w:r>
          </w:p>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trHeight w:val="304" w:hRule="atLeast"/>
        </w:trPr>
        <w:tc>
          <w:tcPr>
            <w:tcW w:w="2625" w:type="dxa"/>
            <w:gridSpan w:val="2"/>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center"/>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val="en-US" w:eastAsia="zh-CN"/>
              </w:rPr>
              <w:t>合计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194.89</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194.89</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194.89</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PrEx>
        <w:trPr>
          <w:trHeight w:val="327"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098011</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江苏省民政信息中心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194.89</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194.89</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194.89</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bl>
    <w:p>
      <w:pPr>
        <w:widowControl w:val="0"/>
        <w:suppressAutoHyphens/>
        <w:spacing w:before="66" w:after="0"/>
        <w:ind w:left="0" w:leftChars="0" w:right="0" w:firstLine="0" w:firstLineChars="0"/>
        <w:jc w:val="left"/>
        <w:rPr>
          <w:rFonts w:hint="eastAsia" w:ascii="仿宋" w:hAnsi="仿宋" w:eastAsia="仿宋" w:cs="仿宋"/>
          <w:b/>
          <w:bCs/>
          <w:sz w:val="22"/>
          <w:szCs w:val="22"/>
        </w:rPr>
        <w:sectPr>
          <w:footerReference r:id="rId9" w:type="default"/>
          <w:pgSz w:w="16838" w:h="11906" w:orient="landscape"/>
          <w:pgMar w:top="720" w:right="57" w:bottom="720" w:left="5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34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41" w:hRule="atLeast"/>
        </w:trPr>
        <w:tc>
          <w:tcPr>
            <w:tcW w:w="15347" w:type="dxa"/>
            <w:gridSpan w:val="8"/>
            <w:vAlign w:val="center"/>
          </w:tcPr>
          <w:p>
            <w:pPr>
              <w:pStyle w:val="5"/>
              <w:widowControl w:val="0"/>
              <w:wordWrap/>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sz w:val="22"/>
                <w:szCs w:val="22"/>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5347" w:type="dxa"/>
            <w:gridSpan w:val="8"/>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b/>
                <w:bCs/>
                <w:sz w:val="44"/>
                <w:szCs w:val="44"/>
              </w:rPr>
              <w:t>支出</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18" w:hRule="atLeast"/>
        </w:trPr>
        <w:tc>
          <w:tcPr>
            <w:tcW w:w="12030" w:type="dxa"/>
            <w:gridSpan w:val="6"/>
            <w:vAlign w:val="center"/>
          </w:tcPr>
          <w:p>
            <w:pPr>
              <w:pStyle w:val="17"/>
              <w:widowControl w:val="0"/>
              <w:wordWrap/>
              <w:adjustRightInd/>
              <w:snapToGrid/>
              <w:spacing w:after="34" w:line="34" w:lineRule="atLeast"/>
              <w:jc w:val="left"/>
              <w:textAlignment w:val="auto"/>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3317" w:type="dxa"/>
            <w:gridSpan w:val="2"/>
            <w:vAlign w:val="center"/>
          </w:tcPr>
          <w:p>
            <w:pPr>
              <w:pStyle w:val="17"/>
              <w:widowControl w:val="0"/>
              <w:wordWrap/>
              <w:adjustRightInd/>
              <w:snapToGrid/>
              <w:spacing w:before="0" w:after="34" w:line="34" w:lineRule="atLeast"/>
              <w:ind w:firstLine="0"/>
              <w:jc w:val="right"/>
              <w:textAlignment w:val="auto"/>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533" w:hRule="atLeast"/>
        </w:trPr>
        <w:tc>
          <w:tcPr>
            <w:tcW w:w="1556"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kern w:val="0"/>
                <w:sz w:val="22"/>
                <w:szCs w:val="22"/>
              </w:rPr>
            </w:pPr>
            <w:r>
              <w:rPr>
                <w:rFonts w:hint="eastAsia" w:ascii="仿宋" w:hAnsi="仿宋" w:eastAsia="仿宋" w:cs="仿宋"/>
                <w:kern w:val="0"/>
                <w:sz w:val="22"/>
                <w:szCs w:val="22"/>
              </w:rPr>
              <w:t>科目名称</w:t>
            </w:r>
          </w:p>
        </w:tc>
        <w:tc>
          <w:tcPr>
            <w:tcW w:w="1920"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合计</w:t>
            </w:r>
          </w:p>
        </w:tc>
        <w:tc>
          <w:tcPr>
            <w:tcW w:w="1714"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事业单位</w:t>
            </w:r>
          </w:p>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lang w:val="en-US" w:eastAsia="zh-CN"/>
              </w:rPr>
              <w:t>经营支出</w:t>
            </w:r>
          </w:p>
        </w:tc>
        <w:tc>
          <w:tcPr>
            <w:tcW w:w="1680"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7" w:type="dxa"/>
            <w:tcBorders>
              <w:top w:val="single" w:color="000000" w:sz="4" w:space="0"/>
              <w:left w:val="single" w:color="000000" w:sz="4" w:space="0"/>
              <w:bottom w:val="single" w:color="000000" w:sz="4" w:space="0"/>
              <w:right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75" w:hRule="exact"/>
        </w:trPr>
        <w:tc>
          <w:tcPr>
            <w:tcW w:w="4779"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194.89</w:t>
            </w:r>
          </w:p>
        </w:tc>
        <w:tc>
          <w:tcPr>
            <w:tcW w:w="1714"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88.89</w:t>
            </w:r>
          </w:p>
        </w:tc>
        <w:tc>
          <w:tcPr>
            <w:tcW w:w="1749"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c>
          <w:tcPr>
            <w:tcW w:w="1868"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170.66</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64.66</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164.51</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58.51</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2080203</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机关服务</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139.51</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58.51</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81.00</w:t>
            </w: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6.15</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6.15</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4.10</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4.10</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2.05</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2.05</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24.23</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24.23</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24.23</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24.23</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7.65</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7.65</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16.58</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16.58</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bl>
    <w:p>
      <w:pPr>
        <w:widowControl w:val="0"/>
        <w:suppressAutoHyphens/>
        <w:spacing w:before="59" w:after="0"/>
        <w:ind w:left="57" w:right="0" w:firstLine="0"/>
        <w:jc w:val="left"/>
        <w:rPr>
          <w:rFonts w:hint="eastAsia" w:ascii="仿宋" w:hAnsi="仿宋" w:eastAsia="仿宋" w:cs="仿宋"/>
          <w:b/>
          <w:bCs/>
          <w:sz w:val="22"/>
          <w:szCs w:val="22"/>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789" w:type="dxa"/>
        <w:tblInd w:w="-12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3987"/>
        <w:gridCol w:w="3960"/>
        <w:gridCol w:w="3943"/>
        <w:gridCol w:w="38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5789" w:type="dxa"/>
            <w:gridSpan w:val="4"/>
            <w:vAlign w:val="top"/>
          </w:tcPr>
          <w:p>
            <w:pPr>
              <w:pStyle w:val="17"/>
              <w:widowControl w:val="0"/>
              <w:jc w:val="left"/>
              <w:rPr>
                <w:rFonts w:hint="eastAsia" w:ascii="仿宋" w:hAnsi="仿宋" w:eastAsia="仿宋" w:cs="仿宋"/>
                <w:b/>
                <w:bCs/>
                <w:sz w:val="44"/>
                <w:szCs w:val="44"/>
              </w:rPr>
            </w:pPr>
            <w:r>
              <w:rPr>
                <w:rFonts w:hint="eastAsia" w:ascii="仿宋" w:hAnsi="仿宋" w:eastAsia="仿宋" w:cs="仿宋"/>
                <w:sz w:val="22"/>
                <w:szCs w:val="22"/>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5789" w:type="dxa"/>
            <w:gridSpan w:val="4"/>
            <w:vAlign w:val="top"/>
          </w:tcPr>
          <w:p>
            <w:pPr>
              <w:pStyle w:val="17"/>
              <w:widowControl w:val="0"/>
              <w:jc w:val="center"/>
              <w:rPr>
                <w:rFonts w:hint="eastAsia" w:ascii="仿宋" w:hAnsi="仿宋" w:eastAsia="仿宋" w:cs="仿宋"/>
                <w:sz w:val="22"/>
                <w:szCs w:val="22"/>
              </w:rPr>
            </w:pPr>
            <w:r>
              <w:rPr>
                <w:rFonts w:hint="eastAsia" w:ascii="仿宋" w:hAnsi="仿宋" w:eastAsia="仿宋" w:cs="仿宋"/>
                <w:b/>
                <w:bCs/>
                <w:sz w:val="44"/>
                <w:szCs w:val="44"/>
              </w:rPr>
              <w:t>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1890" w:type="dxa"/>
            <w:gridSpan w:val="3"/>
            <w:vAlign w:val="top"/>
          </w:tcPr>
          <w:p>
            <w:pPr>
              <w:pStyle w:val="17"/>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sz w:val="22"/>
                <w:szCs w:val="22"/>
              </w:rPr>
              <w:t>江苏省民政信息中心</w:t>
            </w:r>
          </w:p>
        </w:tc>
        <w:tc>
          <w:tcPr>
            <w:tcW w:w="3899" w:type="dxa"/>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96" w:hRule="atLeast"/>
        </w:trPr>
        <w:tc>
          <w:tcPr>
            <w:tcW w:w="7947" w:type="dxa"/>
            <w:gridSpan w:val="2"/>
            <w:tcBorders>
              <w:top w:val="single" w:color="000000" w:sz="4" w:space="0"/>
              <w:left w:val="single" w:color="000000" w:sz="4" w:space="0"/>
              <w:bottom w:val="single" w:color="000000" w:sz="4" w:space="0"/>
            </w:tcBorders>
            <w:vAlign w:val="top"/>
          </w:tcPr>
          <w:p>
            <w:pPr>
              <w:pStyle w:val="17"/>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收</w:t>
            </w:r>
            <w:r>
              <w:rPr>
                <w:rFonts w:hint="eastAsia" w:ascii="仿宋" w:hAnsi="仿宋" w:eastAsia="仿宋" w:cs="仿宋"/>
                <w:b/>
                <w:bCs/>
                <w:sz w:val="22"/>
                <w:szCs w:val="22"/>
              </w:rPr>
              <w:tab/>
            </w:r>
            <w:r>
              <w:rPr>
                <w:rFonts w:hint="eastAsia" w:ascii="仿宋" w:hAnsi="仿宋" w:eastAsia="仿宋" w:cs="仿宋"/>
                <w:b/>
                <w:bCs/>
                <w:sz w:val="22"/>
                <w:szCs w:val="22"/>
              </w:rPr>
              <w:t>入</w:t>
            </w:r>
          </w:p>
        </w:tc>
        <w:tc>
          <w:tcPr>
            <w:tcW w:w="7842" w:type="dxa"/>
            <w:gridSpan w:val="2"/>
            <w:tcBorders>
              <w:top w:val="single" w:color="000000" w:sz="4" w:space="0"/>
              <w:left w:val="single" w:color="000000" w:sz="4" w:space="0"/>
              <w:bottom w:val="single" w:color="000000" w:sz="4" w:space="0"/>
              <w:right w:val="single" w:color="000000" w:sz="4" w:space="0"/>
            </w:tcBorders>
            <w:vAlign w:val="top"/>
          </w:tcPr>
          <w:p>
            <w:pPr>
              <w:pStyle w:val="17"/>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支</w:t>
            </w:r>
            <w:r>
              <w:rPr>
                <w:rFonts w:hint="eastAsia" w:ascii="仿宋" w:hAnsi="仿宋" w:eastAsia="仿宋" w:cs="仿宋"/>
                <w:b/>
                <w:bCs/>
                <w:sz w:val="22"/>
                <w:szCs w:val="22"/>
              </w:rPr>
              <w:tab/>
            </w:r>
            <w:r>
              <w:rPr>
                <w:rFonts w:hint="eastAsia" w:ascii="仿宋" w:hAnsi="仿宋" w:eastAsia="仿宋" w:cs="仿宋"/>
                <w:b/>
                <w:bCs/>
                <w:sz w:val="22"/>
                <w:szCs w:val="22"/>
              </w:rPr>
              <w:t>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68" w:hRule="atLeast"/>
        </w:trPr>
        <w:tc>
          <w:tcPr>
            <w:tcW w:w="398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b/>
                <w:bCs/>
                <w:sz w:val="22"/>
                <w:szCs w:val="22"/>
              </w:rPr>
            </w:pPr>
            <w:r>
              <w:rPr>
                <w:rFonts w:ascii="仿宋" w:hAnsi="仿宋" w:eastAsia="仿宋" w:cs="仿宋"/>
                <w:b/>
                <w:sz w:val="22"/>
              </w:rPr>
              <w:t>项</w:t>
            </w:r>
            <w:r>
              <w:rPr>
                <w:rFonts w:hint="eastAsia" w:ascii="仿宋" w:hAnsi="仿宋" w:eastAsia="仿宋" w:cs="仿宋"/>
                <w:b/>
                <w:bCs/>
                <w:sz w:val="22"/>
                <w:szCs w:val="22"/>
              </w:rPr>
              <w:tab/>
            </w:r>
            <w:r>
              <w:rPr>
                <w:rFonts w:hint="eastAsia" w:ascii="仿宋" w:hAnsi="仿宋" w:eastAsia="仿宋" w:cs="仿宋"/>
                <w:b/>
                <w:bCs/>
                <w:sz w:val="22"/>
                <w:szCs w:val="22"/>
              </w:rPr>
              <w:t>目</w:t>
            </w:r>
          </w:p>
        </w:tc>
        <w:tc>
          <w:tcPr>
            <w:tcW w:w="396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c>
          <w:tcPr>
            <w:tcW w:w="3943" w:type="dxa"/>
            <w:tcBorders>
              <w:left w:val="single" w:color="000000" w:sz="4" w:space="0"/>
              <w:bottom w:val="single" w:color="000000" w:sz="4" w:space="0"/>
            </w:tcBorders>
            <w:vAlign w:val="center"/>
          </w:tcPr>
          <w:p>
            <w:pPr>
              <w:widowControl w:val="0"/>
              <w:jc w:val="center"/>
              <w:rPr>
                <w:rFonts w:hint="eastAsia" w:ascii="仿宋" w:hAnsi="仿宋" w:eastAsia="仿宋" w:cs="仿宋"/>
                <w:b/>
                <w:bCs/>
                <w:sz w:val="22"/>
                <w:szCs w:val="22"/>
                <w:lang w:eastAsia="zh-CN"/>
              </w:rPr>
            </w:pPr>
            <w:r>
              <w:rPr>
                <w:rFonts w:hint="eastAsia" w:ascii="仿宋" w:hAnsi="仿宋" w:eastAsia="仿宋" w:cs="仿宋"/>
                <w:b/>
                <w:bCs/>
                <w:sz w:val="22"/>
                <w:szCs w:val="22"/>
                <w:lang w:val="en-US" w:eastAsia="zh-CN"/>
              </w:rPr>
              <w:t>项目</w:t>
            </w:r>
          </w:p>
        </w:tc>
        <w:tc>
          <w:tcPr>
            <w:tcW w:w="3899" w:type="dxa"/>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一、本年收入</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194.89</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一、本年支出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194.89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194.89</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二、上年结转</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170.66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（九）社会保险基金支出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（十）卫生健康支出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（十一）节能环保支出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（十二）城乡社区支出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（十三）农林水支出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（十四）交通运输支出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（十五）资源勘探工业信息等支出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（十六）商业服务业等支出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（十七）金融支出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（十八）援助其他地区支出 </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（十九）自然资源海洋气象等支出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（二十）住房保障支出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24.23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（二十一）粮油物资储备支出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（二十二）国有资本经营预算支出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（二十三）灾害防治及应急管理支出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（二十四）预备费</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（二十五）其他支出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（二十六）转移性支出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（二十七）债务还本支出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（二十八）债务付息支出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（二十九）债务发行费用支出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二、年终结转结余</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exact"/>
        </w:trPr>
        <w:tc>
          <w:tcPr>
            <w:tcW w:w="398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收入</w:t>
            </w:r>
            <w:r>
              <w:rPr>
                <w:rFonts w:hint="eastAsia" w:ascii="仿宋" w:hAnsi="仿宋" w:eastAsia="仿宋" w:cs="仿宋"/>
                <w:b/>
                <w:bCs/>
                <w:sz w:val="22"/>
                <w:szCs w:val="22"/>
              </w:rPr>
              <w:t>总计</w:t>
            </w:r>
          </w:p>
        </w:tc>
        <w:tc>
          <w:tcPr>
            <w:tcW w:w="396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194.89</w:t>
            </w:r>
          </w:p>
        </w:tc>
        <w:tc>
          <w:tcPr>
            <w:tcW w:w="3943"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支出</w:t>
            </w:r>
            <w:r>
              <w:rPr>
                <w:rFonts w:hint="eastAsia" w:ascii="仿宋" w:hAnsi="仿宋" w:eastAsia="仿宋" w:cs="仿宋"/>
                <w:b/>
                <w:bCs/>
                <w:sz w:val="22"/>
                <w:szCs w:val="22"/>
              </w:rPr>
              <w:t>总计</w:t>
            </w:r>
          </w:p>
        </w:tc>
        <w:tc>
          <w:tcPr>
            <w:tcW w:w="3899"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194.89</w:t>
            </w:r>
          </w:p>
        </w:tc>
      </w:tr>
    </w:tbl>
    <w:p>
      <w:pPr>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216" w:type="dxa"/>
        <w:tblInd w:w="17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846"/>
        <w:gridCol w:w="4213"/>
        <w:gridCol w:w="2040"/>
        <w:gridCol w:w="1827"/>
        <w:gridCol w:w="1813"/>
        <w:gridCol w:w="1813"/>
        <w:gridCol w:w="16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5216" w:type="dxa"/>
            <w:gridSpan w:val="7"/>
            <w:vAlign w:val="center"/>
          </w:tcPr>
          <w:p>
            <w:pPr>
              <w:pStyle w:val="17"/>
              <w:widowControl w:val="0"/>
              <w:wordWrap/>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5216" w:type="dxa"/>
            <w:gridSpan w:val="7"/>
            <w:vAlign w:val="top"/>
          </w:tcPr>
          <w:p>
            <w:pPr>
              <w:pStyle w:val="17"/>
              <w:widowControl w:val="0"/>
              <w:wordWrap/>
              <w:adjustRightInd/>
              <w:snapToGrid/>
              <w:spacing w:after="34" w:line="34" w:lineRule="atLeast"/>
              <w:jc w:val="center"/>
              <w:textAlignment w:val="auto"/>
              <w:rPr>
                <w:rFonts w:hint="eastAsia" w:ascii="仿宋" w:hAnsi="仿宋" w:eastAsia="仿宋" w:cs="仿宋"/>
                <w:sz w:val="27"/>
              </w:rPr>
            </w:pPr>
            <w:r>
              <w:rPr>
                <w:rFonts w:hint="eastAsia" w:ascii="仿宋" w:hAnsi="仿宋" w:eastAsia="仿宋" w:cs="仿宋"/>
                <w:b/>
                <w:bCs/>
                <w:sz w:val="44"/>
                <w:szCs w:val="44"/>
              </w:rPr>
              <w:t>财政拨款支出表（功能科目）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09" w:hRule="atLeast"/>
        </w:trPr>
        <w:tc>
          <w:tcPr>
            <w:tcW w:w="13552" w:type="dxa"/>
            <w:gridSpan w:val="6"/>
            <w:vAlign w:val="top"/>
          </w:tcPr>
          <w:p>
            <w:pPr>
              <w:pStyle w:val="17"/>
              <w:widowControl w:val="0"/>
              <w:wordWrap/>
              <w:adjustRightInd/>
              <w:snapToGrid/>
              <w:spacing w:after="34" w:line="34" w:lineRule="atLeast"/>
              <w:jc w:val="left"/>
              <w:textAlignment w:val="auto"/>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1664" w:type="dxa"/>
            <w:vAlign w:val="center"/>
          </w:tcPr>
          <w:p>
            <w:pPr>
              <w:pStyle w:val="17"/>
              <w:widowControl w:val="0"/>
              <w:wordWrap/>
              <w:adjustRightInd/>
              <w:snapToGrid/>
              <w:spacing w:after="34" w:line="34" w:lineRule="atLeast"/>
              <w:jc w:val="right"/>
              <w:textAlignment w:val="auto"/>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846" w:type="dxa"/>
            <w:vMerge w:val="restart"/>
            <w:tcBorders>
              <w:top w:val="single" w:color="000000" w:sz="6" w:space="0"/>
              <w:lef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科目编码</w:t>
            </w:r>
          </w:p>
        </w:tc>
        <w:tc>
          <w:tcPr>
            <w:tcW w:w="4213" w:type="dxa"/>
            <w:vMerge w:val="restart"/>
            <w:tcBorders>
              <w:top w:val="single" w:color="000000" w:sz="6" w:space="0"/>
              <w:lef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科目名称</w:t>
            </w:r>
          </w:p>
        </w:tc>
        <w:tc>
          <w:tcPr>
            <w:tcW w:w="2040" w:type="dxa"/>
            <w:vMerge w:val="restart"/>
            <w:tcBorders>
              <w:top w:val="single" w:color="000000" w:sz="6" w:space="0"/>
              <w:lef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5453" w:type="dxa"/>
            <w:gridSpan w:val="3"/>
            <w:tcBorders>
              <w:top w:val="single" w:color="000000" w:sz="6" w:space="0"/>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基本支出</w:t>
            </w:r>
          </w:p>
        </w:tc>
        <w:tc>
          <w:tcPr>
            <w:tcW w:w="1664" w:type="dxa"/>
            <w:vMerge w:val="restart"/>
            <w:tcBorders>
              <w:top w:val="single" w:color="000000" w:sz="6" w:space="0"/>
              <w:left w:val="single" w:color="000000" w:sz="6" w:space="0"/>
              <w:righ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96" w:hRule="atLeast"/>
        </w:trPr>
        <w:tc>
          <w:tcPr>
            <w:tcW w:w="1846" w:type="dxa"/>
            <w:vMerge w:val="continue"/>
            <w:tcBorders>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p>
        </w:tc>
        <w:tc>
          <w:tcPr>
            <w:tcW w:w="4213" w:type="dxa"/>
            <w:vMerge w:val="continue"/>
            <w:tcBorders>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p>
        </w:tc>
        <w:tc>
          <w:tcPr>
            <w:tcW w:w="2040" w:type="dxa"/>
            <w:vMerge w:val="continue"/>
            <w:tcBorders>
              <w:left w:val="single" w:color="000000" w:sz="6" w:space="0"/>
              <w:bottom w:val="single" w:color="000000" w:sz="6" w:space="0"/>
            </w:tcBorders>
            <w:vAlign w:val="top"/>
          </w:tcPr>
          <w:p>
            <w:pPr>
              <w:widowControl w:val="0"/>
              <w:wordWrap/>
              <w:adjustRightInd/>
              <w:snapToGrid/>
              <w:spacing w:after="34" w:line="34" w:lineRule="atLeast"/>
              <w:jc w:val="left"/>
              <w:textAlignment w:val="auto"/>
              <w:rPr>
                <w:rFonts w:hint="eastAsia" w:ascii="仿宋" w:hAnsi="仿宋" w:eastAsia="仿宋" w:cs="仿宋"/>
                <w:sz w:val="22"/>
                <w:szCs w:val="22"/>
              </w:rPr>
            </w:pPr>
          </w:p>
        </w:tc>
        <w:tc>
          <w:tcPr>
            <w:tcW w:w="1827" w:type="dxa"/>
            <w:tcBorders>
              <w:left w:val="single" w:color="000000" w:sz="6" w:space="0"/>
              <w:bottom w:val="single" w:color="000000" w:sz="6" w:space="0"/>
            </w:tcBorders>
            <w:vAlign w:val="center"/>
          </w:tcPr>
          <w:p>
            <w:pPr>
              <w:widowControl/>
              <w:wordWrap/>
              <w:adjustRightInd/>
              <w:snapToGrid/>
              <w:spacing w:before="0" w:beforeAutospacing="0" w:after="34" w:afterAutospacing="0" w:line="34" w:lineRule="atLeast"/>
              <w:ind w:left="0" w:leftChars="0" w:right="0"/>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813" w:type="dxa"/>
            <w:tcBorders>
              <w:left w:val="single" w:color="000000" w:sz="6" w:space="0"/>
              <w:bottom w:val="single" w:color="000000" w:sz="6" w:space="0"/>
            </w:tcBorders>
            <w:vAlign w:val="center"/>
          </w:tcPr>
          <w:p>
            <w:pPr>
              <w:widowControl/>
              <w:wordWrap/>
              <w:adjustRightInd/>
              <w:snapToGrid/>
              <w:spacing w:before="0" w:beforeAutospacing="0" w:after="34" w:afterAutospacing="0" w:line="34" w:lineRule="atLeast"/>
              <w:ind w:left="0" w:leftChars="0" w:right="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13" w:type="dxa"/>
            <w:tcBorders>
              <w:left w:val="single" w:color="000000" w:sz="6" w:space="0"/>
              <w:bottom w:val="single" w:color="000000" w:sz="6" w:space="0"/>
            </w:tcBorders>
            <w:vAlign w:val="center"/>
          </w:tcPr>
          <w:p>
            <w:pPr>
              <w:widowControl/>
              <w:wordWrap/>
              <w:adjustRightInd/>
              <w:snapToGrid/>
              <w:spacing w:before="0" w:beforeAutospacing="0" w:after="34" w:afterAutospacing="0" w:line="34" w:lineRule="atLeast"/>
              <w:ind w:left="0" w:leftChars="0" w:right="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64" w:type="dxa"/>
            <w:vMerge w:val="continue"/>
            <w:tcBorders>
              <w:left w:val="single" w:color="000000" w:sz="6" w:space="0"/>
              <w:bottom w:val="single" w:color="000000" w:sz="6" w:space="0"/>
              <w:right w:val="single" w:color="000000" w:sz="6" w:space="0"/>
            </w:tcBorders>
            <w:vAlign w:val="top"/>
          </w:tcPr>
          <w:p>
            <w:pPr>
              <w:widowControl w:val="0"/>
              <w:wordWrap/>
              <w:adjustRightInd/>
              <w:snapToGrid/>
              <w:spacing w:after="34" w:line="34" w:lineRule="atLeast"/>
              <w:jc w:val="lef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50" w:hRule="exact"/>
        </w:trPr>
        <w:tc>
          <w:tcPr>
            <w:tcW w:w="6059" w:type="dxa"/>
            <w:gridSpan w:val="2"/>
            <w:tcBorders>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2040"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194.89</w:t>
            </w:r>
          </w:p>
        </w:tc>
        <w:tc>
          <w:tcPr>
            <w:tcW w:w="1827"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88.89</w:t>
            </w:r>
          </w:p>
        </w:tc>
        <w:tc>
          <w:tcPr>
            <w:tcW w:w="1813"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83.35</w:t>
            </w:r>
          </w:p>
        </w:tc>
        <w:tc>
          <w:tcPr>
            <w:tcW w:w="1813"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5.54</w:t>
            </w:r>
          </w:p>
        </w:tc>
        <w:tc>
          <w:tcPr>
            <w:tcW w:w="1664" w:type="dxa"/>
            <w:tcBorders>
              <w:left w:val="single" w:color="000000" w:sz="6" w:space="0"/>
              <w:bottom w:val="single" w:color="000000" w:sz="6" w:space="0"/>
              <w:right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170.66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64.66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59.12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5.54</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民政管理事务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164.51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58.51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52.97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5.54</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2080203</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机关服务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139.51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58.51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52.97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5.54</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81.00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6.15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6.15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6.15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4.10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4.10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4.10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2.05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2.05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2.05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住房保障支出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24.23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24.23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24.23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住房改革支出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24.23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24.23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24.23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住房公积金</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7.65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7.65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7.65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提租补贴</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16.58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16.58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16.58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bl>
    <w:p>
      <w:pPr>
        <w:widowControl w:val="0"/>
        <w:numPr>
          <w:numId w:val="0"/>
        </w:numPr>
        <w:tabs>
          <w:tab w:val="left" w:pos="55"/>
        </w:tabs>
        <w:suppressAutoHyphens/>
        <w:spacing w:before="0" w:after="0"/>
        <w:ind w:right="0"/>
        <w:jc w:val="both"/>
        <w:rPr>
          <w:rFonts w:hint="eastAsia" w:ascii="仿宋" w:hAnsi="仿宋" w:eastAsia="仿宋" w:cs="仿宋"/>
          <w:b/>
          <w:bCs/>
        </w:rPr>
        <w:sectPr>
          <w:footerReference r:id="rId12"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W w:w="10817" w:type="dxa"/>
        <w:tblInd w:w="-10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131"/>
        <w:gridCol w:w="3542"/>
        <w:gridCol w:w="2047"/>
        <w:gridCol w:w="2040"/>
        <w:gridCol w:w="20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0817" w:type="dxa"/>
            <w:gridSpan w:val="5"/>
            <w:vAlign w:val="center"/>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0817" w:type="dxa"/>
            <w:gridSpan w:val="5"/>
            <w:vAlign w:val="top"/>
          </w:tcPr>
          <w:p>
            <w:pPr>
              <w:pStyle w:val="17"/>
              <w:widowControl w:val="0"/>
              <w:jc w:val="center"/>
              <w:rPr>
                <w:rFonts w:hint="eastAsia" w:ascii="仿宋" w:hAnsi="仿宋" w:eastAsia="仿宋" w:cs="仿宋"/>
                <w:sz w:val="20"/>
              </w:rPr>
            </w:pPr>
            <w:r>
              <w:rPr>
                <w:rFonts w:hint="eastAsia" w:ascii="仿宋" w:hAnsi="仿宋" w:eastAsia="仿宋" w:cs="仿宋"/>
                <w:b/>
                <w:bCs/>
                <w:sz w:val="44"/>
                <w:szCs w:val="44"/>
              </w:rPr>
              <w:t>财政拨款基本支出表（经济科目）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8760" w:type="dxa"/>
            <w:gridSpan w:val="4"/>
            <w:vAlign w:val="top"/>
          </w:tcPr>
          <w:p>
            <w:pPr>
              <w:pStyle w:val="17"/>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sz w:val="22"/>
                <w:szCs w:val="22"/>
              </w:rPr>
              <w:t>江苏省民政信息中心</w:t>
            </w:r>
          </w:p>
        </w:tc>
        <w:tc>
          <w:tcPr>
            <w:tcW w:w="2057" w:type="dxa"/>
            <w:vAlign w:val="center"/>
          </w:tcPr>
          <w:p>
            <w:pPr>
              <w:pStyle w:val="17"/>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部门预算支出经济分类科目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本年财政拨款基本支出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67" w:hRule="atLeast"/>
        </w:trPr>
        <w:tc>
          <w:tcPr>
            <w:tcW w:w="1131"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科目编码</w:t>
            </w:r>
          </w:p>
        </w:tc>
        <w:tc>
          <w:tcPr>
            <w:tcW w:w="3542"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50" w:hRule="exact"/>
        </w:trPr>
        <w:tc>
          <w:tcPr>
            <w:tcW w:w="4673"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88.89</w:t>
            </w:r>
          </w:p>
        </w:tc>
        <w:tc>
          <w:tcPr>
            <w:tcW w:w="204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83.35</w:t>
            </w:r>
          </w:p>
        </w:tc>
        <w:tc>
          <w:tcPr>
            <w:tcW w:w="2057"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83.34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83.34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11.18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11.18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18.38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18.38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14.45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14.45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4.10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4.10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3.64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3.64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7.65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7.65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21.41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21.41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2.41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bl>
    <w:p>
      <w:pPr>
        <w:widowControl w:val="0"/>
        <w:numPr>
          <w:numId w:val="0"/>
        </w:numPr>
        <w:suppressAutoHyphens/>
        <w:spacing w:before="0" w:after="0" w:line="255" w:lineRule="exact"/>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216" w:type="dxa"/>
        <w:tblInd w:w="17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792"/>
        <w:gridCol w:w="4307"/>
        <w:gridCol w:w="1960"/>
        <w:gridCol w:w="1693"/>
        <w:gridCol w:w="1987"/>
        <w:gridCol w:w="1827"/>
        <w:gridCol w:w="1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5216" w:type="dxa"/>
            <w:gridSpan w:val="7"/>
            <w:vAlign w:val="center"/>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w:t>
            </w:r>
            <w:r>
              <w:rPr>
                <w:rFonts w:hint="eastAsia" w:ascii="仿宋" w:hAnsi="仿宋" w:eastAsia="仿宋" w:cs="仿宋"/>
                <w:lang w:val="en-US" w:eastAsia="zh-CN"/>
              </w:rPr>
              <w:t>7</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5216" w:type="dxa"/>
            <w:gridSpan w:val="7"/>
            <w:vAlign w:val="top"/>
          </w:tcPr>
          <w:p>
            <w:pPr>
              <w:pStyle w:val="17"/>
              <w:widowControl w:val="0"/>
              <w:jc w:val="center"/>
              <w:rPr>
                <w:rFonts w:hint="eastAsia" w:ascii="仿宋" w:hAnsi="仿宋" w:eastAsia="仿宋" w:cs="仿宋"/>
                <w:sz w:val="27"/>
              </w:rPr>
            </w:pPr>
            <w:r>
              <w:rPr>
                <w:rFonts w:hint="eastAsia" w:ascii="仿宋" w:hAnsi="仿宋" w:eastAsia="仿宋" w:cs="仿宋"/>
                <w:b/>
                <w:bCs/>
                <w:sz w:val="44"/>
                <w:szCs w:val="44"/>
              </w:rPr>
              <w:t>一般公共预算支出表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88" w:hRule="atLeast"/>
        </w:trPr>
        <w:tc>
          <w:tcPr>
            <w:tcW w:w="13566" w:type="dxa"/>
            <w:gridSpan w:val="6"/>
            <w:vAlign w:val="top"/>
          </w:tcPr>
          <w:p>
            <w:pPr>
              <w:pStyle w:val="17"/>
              <w:widowControl w:val="0"/>
              <w:jc w:val="left"/>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1650" w:type="dxa"/>
            <w:vAlign w:val="center"/>
          </w:tcPr>
          <w:p>
            <w:pPr>
              <w:pStyle w:val="17"/>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792" w:type="dxa"/>
            <w:vMerge w:val="restart"/>
            <w:tcBorders>
              <w:top w:val="single" w:color="000000" w:sz="6" w:space="0"/>
              <w:lef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307" w:type="dxa"/>
            <w:vMerge w:val="restart"/>
            <w:tcBorders>
              <w:top w:val="single" w:color="000000" w:sz="6" w:space="0"/>
              <w:lef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1960" w:type="dxa"/>
            <w:vMerge w:val="restart"/>
            <w:tcBorders>
              <w:top w:val="single" w:color="000000" w:sz="6" w:space="0"/>
              <w:lef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5507" w:type="dxa"/>
            <w:gridSpan w:val="3"/>
            <w:tcBorders>
              <w:top w:val="single" w:color="000000" w:sz="6" w:space="0"/>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1650" w:type="dxa"/>
            <w:vMerge w:val="restart"/>
            <w:tcBorders>
              <w:top w:val="single" w:color="000000" w:sz="6" w:space="0"/>
              <w:left w:val="single" w:color="000000" w:sz="6" w:space="0"/>
              <w:righ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41" w:hRule="atLeast"/>
        </w:trPr>
        <w:tc>
          <w:tcPr>
            <w:tcW w:w="1792" w:type="dxa"/>
            <w:vMerge w:val="continue"/>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p>
        </w:tc>
        <w:tc>
          <w:tcPr>
            <w:tcW w:w="4307" w:type="dxa"/>
            <w:vMerge w:val="continue"/>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p>
        </w:tc>
        <w:tc>
          <w:tcPr>
            <w:tcW w:w="1960" w:type="dxa"/>
            <w:vMerge w:val="continue"/>
            <w:tcBorders>
              <w:left w:val="single" w:color="000000" w:sz="6" w:space="0"/>
              <w:bottom w:val="single" w:color="000000" w:sz="6" w:space="0"/>
            </w:tcBorders>
            <w:vAlign w:val="top"/>
          </w:tcPr>
          <w:p>
            <w:pPr>
              <w:widowControl w:val="0"/>
              <w:jc w:val="left"/>
              <w:rPr>
                <w:rFonts w:hint="eastAsia" w:ascii="仿宋" w:hAnsi="仿宋" w:eastAsia="仿宋" w:cs="仿宋"/>
                <w:sz w:val="22"/>
                <w:szCs w:val="22"/>
              </w:rPr>
            </w:pPr>
          </w:p>
        </w:tc>
        <w:tc>
          <w:tcPr>
            <w:tcW w:w="1693" w:type="dxa"/>
            <w:tcBorders>
              <w:left w:val="single" w:color="000000" w:sz="6" w:space="0"/>
              <w:bottom w:val="single" w:color="000000" w:sz="6" w:space="0"/>
            </w:tcBorders>
            <w:vAlign w:val="center"/>
          </w:tcPr>
          <w:p>
            <w:pPr>
              <w:widowControl/>
              <w:spacing w:before="0" w:beforeAutospacing="0" w:after="0" w:afterAutospacing="0"/>
              <w:ind w:left="0" w:leftChars="0" w:right="0"/>
              <w:jc w:val="center"/>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987" w:type="dxa"/>
            <w:tcBorders>
              <w:left w:val="single" w:color="000000" w:sz="6" w:space="0"/>
              <w:bottom w:val="single" w:color="000000" w:sz="6" w:space="0"/>
            </w:tcBorders>
            <w:vAlign w:val="center"/>
          </w:tcPr>
          <w:p>
            <w:pPr>
              <w:widowControl/>
              <w:spacing w:before="0" w:beforeAutospacing="0" w:after="0" w:afterAutospacing="0"/>
              <w:ind w:left="0" w:leftChars="0" w:right="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27" w:type="dxa"/>
            <w:tcBorders>
              <w:left w:val="single" w:color="000000" w:sz="6" w:space="0"/>
              <w:bottom w:val="single" w:color="000000" w:sz="6" w:space="0"/>
            </w:tcBorders>
            <w:vAlign w:val="center"/>
          </w:tcPr>
          <w:p>
            <w:pPr>
              <w:widowControl/>
              <w:spacing w:before="0" w:beforeAutospacing="0" w:after="0" w:afterAutospacing="0"/>
              <w:ind w:left="0" w:leftChars="0" w:right="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50" w:type="dxa"/>
            <w:vMerge w:val="continue"/>
            <w:tcBorders>
              <w:left w:val="single" w:color="000000" w:sz="6" w:space="0"/>
              <w:bottom w:val="single" w:color="000000" w:sz="6" w:space="0"/>
              <w:right w:val="single" w:color="000000" w:sz="6" w:space="0"/>
            </w:tcBorders>
            <w:vAlign w:val="top"/>
          </w:tcPr>
          <w:p>
            <w:pPr>
              <w:widowControl w:val="0"/>
              <w:jc w:val="lef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78" w:hRule="exact"/>
        </w:trPr>
        <w:tc>
          <w:tcPr>
            <w:tcW w:w="6099" w:type="dxa"/>
            <w:gridSpan w:val="2"/>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1960"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194.89</w:t>
            </w:r>
          </w:p>
        </w:tc>
        <w:tc>
          <w:tcPr>
            <w:tcW w:w="1693"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88.89</w:t>
            </w:r>
          </w:p>
        </w:tc>
        <w:tc>
          <w:tcPr>
            <w:tcW w:w="1987"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83.35</w:t>
            </w:r>
          </w:p>
        </w:tc>
        <w:tc>
          <w:tcPr>
            <w:tcW w:w="1827"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5.54</w:t>
            </w:r>
          </w:p>
        </w:tc>
        <w:tc>
          <w:tcPr>
            <w:tcW w:w="1650" w:type="dxa"/>
            <w:tcBorders>
              <w:left w:val="single" w:color="000000" w:sz="6" w:space="0"/>
              <w:bottom w:val="single" w:color="000000" w:sz="6" w:space="0"/>
              <w:right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170.66</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64.66</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59.12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5.54</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164.51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58.51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52.97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5.54</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2080203</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机关服务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139.51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58.51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52.97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5.54</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81.00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6.15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6.15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6.15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4.10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4.10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4.10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2.05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24.23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24.23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24.23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24.23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24.23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24.23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7.65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7.65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7.65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16.58</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16.58</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16.58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bl>
    <w:p>
      <w:pPr>
        <w:widowControl w:val="0"/>
        <w:numPr>
          <w:numId w:val="0"/>
        </w:numPr>
        <w:suppressAutoHyphens/>
        <w:spacing w:before="25" w:after="0"/>
        <w:jc w:val="left"/>
        <w:rPr>
          <w:rFonts w:hint="eastAsia" w:ascii="仿宋" w:hAnsi="仿宋" w:eastAsia="仿宋" w:cs="仿宋"/>
          <w:b/>
          <w:bCs/>
          <w:sz w:val="22"/>
          <w:szCs w:val="22"/>
        </w:rPr>
        <w:sectPr>
          <w:footerReference r:id="rId14"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954" w:type="dxa"/>
        <w:tblInd w:w="-2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227"/>
        <w:gridCol w:w="3667"/>
        <w:gridCol w:w="2413"/>
        <w:gridCol w:w="1974"/>
        <w:gridCol w:w="16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0954" w:type="dxa"/>
            <w:gridSpan w:val="5"/>
            <w:vAlign w:val="top"/>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89" w:hRule="atLeast"/>
        </w:trPr>
        <w:tc>
          <w:tcPr>
            <w:tcW w:w="10954" w:type="dxa"/>
            <w:gridSpan w:val="5"/>
            <w:vAlign w:val="top"/>
          </w:tcPr>
          <w:p>
            <w:pPr>
              <w:pStyle w:val="17"/>
              <w:widowControl w:val="0"/>
              <w:jc w:val="center"/>
              <w:rPr>
                <w:rFonts w:hint="eastAsia" w:ascii="仿宋" w:hAnsi="仿宋" w:eastAsia="仿宋" w:cs="仿宋"/>
                <w:sz w:val="20"/>
              </w:rPr>
            </w:pPr>
            <w:r>
              <w:rPr>
                <w:rFonts w:hint="eastAsia" w:ascii="仿宋" w:hAnsi="仿宋" w:eastAsia="仿宋" w:cs="仿宋"/>
                <w:b/>
                <w:bCs/>
                <w:sz w:val="44"/>
                <w:szCs w:val="44"/>
              </w:rPr>
              <w:t>一般公共预算基本支出表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38" w:hRule="atLeast"/>
        </w:trPr>
        <w:tc>
          <w:tcPr>
            <w:tcW w:w="9281" w:type="dxa"/>
            <w:gridSpan w:val="4"/>
            <w:vAlign w:val="center"/>
          </w:tcPr>
          <w:p>
            <w:pPr>
              <w:pStyle w:val="17"/>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1673" w:type="dxa"/>
            <w:vAlign w:val="center"/>
          </w:tcPr>
          <w:p>
            <w:pPr>
              <w:pStyle w:val="17"/>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80" w:hRule="atLeast"/>
        </w:trPr>
        <w:tc>
          <w:tcPr>
            <w:tcW w:w="4894" w:type="dxa"/>
            <w:gridSpan w:val="2"/>
            <w:tcBorders>
              <w:top w:val="single" w:color="000000" w:sz="4" w:space="0"/>
              <w:left w:val="single" w:color="000000" w:sz="4" w:space="0"/>
              <w:bottom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部门预算支出经济分类科目</w:t>
            </w:r>
          </w:p>
        </w:tc>
        <w:tc>
          <w:tcPr>
            <w:tcW w:w="6060" w:type="dxa"/>
            <w:gridSpan w:val="3"/>
            <w:tcBorders>
              <w:top w:val="single" w:color="000000" w:sz="4" w:space="0"/>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90" w:hRule="atLeast"/>
        </w:trPr>
        <w:tc>
          <w:tcPr>
            <w:tcW w:w="122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科目编码</w:t>
            </w:r>
          </w:p>
        </w:tc>
        <w:tc>
          <w:tcPr>
            <w:tcW w:w="366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2413"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1974"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人员经费</w:t>
            </w:r>
          </w:p>
        </w:tc>
        <w:tc>
          <w:tcPr>
            <w:tcW w:w="1673"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82" w:hRule="exact"/>
        </w:trPr>
        <w:tc>
          <w:tcPr>
            <w:tcW w:w="4894"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2413"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88.89</w:t>
            </w:r>
          </w:p>
        </w:tc>
        <w:tc>
          <w:tcPr>
            <w:tcW w:w="1974"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83.35</w:t>
            </w:r>
          </w:p>
        </w:tc>
        <w:tc>
          <w:tcPr>
            <w:tcW w:w="1673"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83.34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83.34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基本工资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11.18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11.18</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津贴补贴</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18.38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18.38</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绩效工资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14.45</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14.45</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4.10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4.10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职业年金缴费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2.05</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2.05</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其他社会保障缴费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3.64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3.64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住房公积金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7.65</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7.65</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30114</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医疗费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0.48</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21.41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21.41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办公费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2.41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邮电费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差旅费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维修（护）费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30228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工会经费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0.60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对个人和家庭的补助</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30309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奖励金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bl>
    <w:p>
      <w:pPr>
        <w:widowControl w:val="0"/>
        <w:numPr>
          <w:numId w:val="0"/>
        </w:numPr>
        <w:suppressAutoHyphens/>
        <w:spacing w:before="25" w:after="0"/>
        <w:jc w:val="left"/>
        <w:rPr>
          <w:rFonts w:hint="eastAsia" w:ascii="仿宋" w:hAnsi="仿宋" w:eastAsia="仿宋" w:cs="仿宋"/>
          <w:b/>
          <w:bCs/>
          <w:sz w:val="22"/>
          <w:szCs w:val="22"/>
        </w:rPr>
        <w:sectPr>
          <w:footerReference r:id="rId15"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909" w:type="dxa"/>
        <w:tblInd w:w="-2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21" w:hRule="atLeast"/>
        </w:trPr>
        <w:tc>
          <w:tcPr>
            <w:tcW w:w="15909" w:type="dxa"/>
            <w:gridSpan w:val="8"/>
            <w:vAlign w:val="top"/>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07" w:hRule="atLeast"/>
        </w:trPr>
        <w:tc>
          <w:tcPr>
            <w:tcW w:w="15909" w:type="dxa"/>
            <w:gridSpan w:val="8"/>
            <w:vAlign w:val="top"/>
          </w:tcPr>
          <w:p>
            <w:pPr>
              <w:pStyle w:val="17"/>
              <w:widowControl w:val="0"/>
              <w:jc w:val="center"/>
              <w:rPr>
                <w:rFonts w:hint="eastAsia" w:ascii="仿宋" w:hAnsi="仿宋" w:eastAsia="仿宋" w:cs="仿宋"/>
                <w:sz w:val="20"/>
              </w:rPr>
            </w:pPr>
            <w:r>
              <w:rPr>
                <w:rFonts w:hint="eastAsia" w:ascii="仿宋" w:hAnsi="仿宋" w:eastAsia="仿宋" w:cs="仿宋"/>
                <w:b/>
                <w:bCs/>
                <w:sz w:val="44"/>
                <w:szCs w:val="44"/>
              </w:rPr>
              <w:t>一般公共预算“三公”经费、会议费、培训费支出表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03" w:hRule="atLeast"/>
        </w:trPr>
        <w:tc>
          <w:tcPr>
            <w:tcW w:w="12069" w:type="dxa"/>
            <w:gridSpan w:val="6"/>
            <w:tcBorders>
              <w:bottom w:val="single" w:color="auto" w:sz="4" w:space="0"/>
            </w:tcBorders>
            <w:vAlign w:val="top"/>
          </w:tcPr>
          <w:p>
            <w:pPr>
              <w:pStyle w:val="17"/>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3840" w:type="dxa"/>
            <w:gridSpan w:val="2"/>
            <w:tcBorders>
              <w:bottom w:val="single" w:color="auto" w:sz="4" w:space="0"/>
            </w:tcBorders>
            <w:vAlign w:val="center"/>
          </w:tcPr>
          <w:p>
            <w:pPr>
              <w:pStyle w:val="17"/>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97" w:hRule="atLeast"/>
        </w:trPr>
        <w:tc>
          <w:tcPr>
            <w:tcW w:w="2471"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公务用车购置及运行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会议费</w:t>
            </w:r>
          </w:p>
        </w:tc>
        <w:tc>
          <w:tcPr>
            <w:tcW w:w="1783"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培训费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728" w:hRule="exact"/>
        </w:trPr>
        <w:tc>
          <w:tcPr>
            <w:tcW w:w="2471"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2332"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2037"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ascii="仿宋" w:hAnsi="仿宋" w:eastAsia="仿宋" w:cs="仿宋"/>
              </w:rPr>
              <w:t>小计</w:t>
            </w:r>
          </w:p>
        </w:tc>
        <w:tc>
          <w:tcPr>
            <w:tcW w:w="1697"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2057"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1783"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5" w:hRule="atLeast"/>
        </w:trPr>
        <w:tc>
          <w:tcPr>
            <w:tcW w:w="2471"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2332"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2037"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1697"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1680"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1852"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2057"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6.60</w:t>
            </w:r>
          </w:p>
        </w:tc>
        <w:tc>
          <w:tcPr>
            <w:tcW w:w="1783"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r>
    </w:tbl>
    <w:p>
      <w:pPr>
        <w:widowControl w:val="0"/>
        <w:suppressAutoHyphens/>
        <w:spacing w:before="0" w:after="0"/>
        <w:ind w:left="227" w:right="0" w:firstLine="221" w:firstLineChars="100"/>
        <w:jc w:val="left"/>
        <w:rPr>
          <w:rFonts w:hint="eastAsia" w:ascii="仿宋" w:hAnsi="仿宋" w:eastAsia="仿宋" w:cs="仿宋"/>
          <w:b/>
          <w:bCs/>
          <w:sz w:val="22"/>
          <w:szCs w:val="22"/>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812" w:type="dxa"/>
        <w:tblInd w:w="-10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618"/>
        <w:gridCol w:w="2834"/>
        <w:gridCol w:w="1783"/>
        <w:gridCol w:w="2092"/>
        <w:gridCol w:w="24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13" w:hRule="atLeast"/>
        </w:trPr>
        <w:tc>
          <w:tcPr>
            <w:tcW w:w="10812" w:type="dxa"/>
            <w:gridSpan w:val="5"/>
            <w:tcBorders>
              <w:top w:val="nil"/>
              <w:left w:val="nil"/>
              <w:bottom w:val="nil"/>
              <w:right w:val="nil"/>
            </w:tcBorders>
            <w:vAlign w:val="center"/>
          </w:tcPr>
          <w:p>
            <w:pPr>
              <w:pStyle w:val="17"/>
              <w:widowControl w:val="0"/>
              <w:jc w:val="left"/>
              <w:rPr>
                <w:rFonts w:hint="eastAsia" w:ascii="仿宋" w:hAnsi="仿宋" w:eastAsia="仿宋" w:cs="仿宋"/>
              </w:rPr>
            </w:pPr>
            <w:r>
              <w:rPr>
                <w:rFonts w:hint="eastAsia" w:ascii="仿宋" w:hAnsi="仿宋" w:eastAsia="仿宋" w:cs="仿宋"/>
              </w:rPr>
              <w:t>公开</w:t>
            </w:r>
            <w:r>
              <w:rPr>
                <w:rFonts w:hint="eastAsia" w:ascii="仿宋" w:hAnsi="仿宋" w:eastAsia="仿宋" w:cs="仿宋"/>
                <w:lang w:val="en-US" w:eastAsia="zh-CN"/>
              </w:rPr>
              <w:t>10</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13" w:hRule="atLeast"/>
        </w:trPr>
        <w:tc>
          <w:tcPr>
            <w:tcW w:w="10812" w:type="dxa"/>
            <w:gridSpan w:val="5"/>
            <w:tcBorders>
              <w:top w:val="nil"/>
              <w:left w:val="nil"/>
              <w:bottom w:val="nil"/>
              <w:right w:val="nil"/>
            </w:tcBorders>
            <w:vAlign w:val="center"/>
          </w:tcPr>
          <w:p>
            <w:pPr>
              <w:pStyle w:val="17"/>
              <w:widowControl w:val="0"/>
              <w:jc w:val="center"/>
              <w:rPr>
                <w:rFonts w:hint="eastAsia" w:ascii="仿宋" w:hAnsi="仿宋" w:eastAsia="仿宋" w:cs="仿宋"/>
              </w:rPr>
            </w:pPr>
            <w:r>
              <w:rPr>
                <w:rFonts w:hint="eastAsia" w:ascii="仿宋" w:hAnsi="仿宋" w:eastAsia="仿宋" w:cs="仿宋"/>
                <w:b/>
                <w:bCs/>
                <w:sz w:val="44"/>
                <w:szCs w:val="44"/>
              </w:rPr>
              <w:t>政府性基金预算支出表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213" w:hRule="atLeast"/>
        </w:trPr>
        <w:tc>
          <w:tcPr>
            <w:tcW w:w="8327" w:type="dxa"/>
            <w:gridSpan w:val="4"/>
            <w:tcBorders>
              <w:top w:val="nil"/>
              <w:left w:val="nil"/>
              <w:bottom w:val="single" w:color="auto" w:sz="4" w:space="0"/>
              <w:right w:val="nil"/>
            </w:tcBorders>
            <w:vAlign w:val="center"/>
          </w:tcPr>
          <w:p>
            <w:pPr>
              <w:pStyle w:val="17"/>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2485" w:type="dxa"/>
            <w:tcBorders>
              <w:top w:val="nil"/>
              <w:left w:val="nil"/>
              <w:bottom w:val="single" w:color="auto" w:sz="4" w:space="0"/>
              <w:right w:val="nil"/>
            </w:tcBorders>
            <w:vAlign w:val="center"/>
          </w:tcPr>
          <w:p>
            <w:pPr>
              <w:pStyle w:val="17"/>
              <w:widowControl w:val="0"/>
              <w:jc w:val="right"/>
              <w:rPr>
                <w:rFonts w:hint="eastAsia" w:ascii="仿宋" w:hAnsi="仿宋" w:eastAsia="仿宋" w:cs="仿宋"/>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87" w:hRule="atLeast"/>
        </w:trPr>
        <w:tc>
          <w:tcPr>
            <w:tcW w:w="1618" w:type="dxa"/>
            <w:vMerge w:val="restart"/>
            <w:tcBorders>
              <w:top w:val="single" w:color="auto" w:sz="4" w:space="0"/>
              <w:left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科目编码</w:t>
            </w:r>
          </w:p>
        </w:tc>
        <w:tc>
          <w:tcPr>
            <w:tcW w:w="2834" w:type="dxa"/>
            <w:vMerge w:val="restart"/>
            <w:tcBorders>
              <w:top w:val="single" w:color="auto" w:sz="4" w:space="0"/>
              <w:left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6360" w:type="dxa"/>
            <w:gridSpan w:val="3"/>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本年政府性基金预算支出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139" w:hRule="atLeast"/>
        </w:trPr>
        <w:tc>
          <w:tcPr>
            <w:tcW w:w="1618" w:type="dxa"/>
            <w:vMerge w:val="continue"/>
            <w:tcBorders>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p>
        </w:tc>
        <w:tc>
          <w:tcPr>
            <w:tcW w:w="2834" w:type="dxa"/>
            <w:vMerge w:val="continue"/>
            <w:tcBorders>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p>
        </w:tc>
        <w:tc>
          <w:tcPr>
            <w:tcW w:w="1783"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default" w:ascii="仿宋" w:hAnsi="仿宋" w:eastAsia="仿宋" w:cs="仿宋"/>
                <w:lang w:val="en-US" w:eastAsia="zh-CN"/>
              </w:rPr>
            </w:pPr>
            <w:r>
              <w:rPr>
                <w:rFonts w:hint="eastAsia" w:ascii="仿宋" w:hAnsi="仿宋" w:eastAsia="仿宋" w:cs="仿宋"/>
                <w:lang w:val="en-US" w:eastAsia="zh-CN"/>
              </w:rPr>
              <w:t>合计</w:t>
            </w:r>
          </w:p>
        </w:tc>
        <w:tc>
          <w:tcPr>
            <w:tcW w:w="2092"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基本支出</w:t>
            </w:r>
          </w:p>
        </w:tc>
        <w:tc>
          <w:tcPr>
            <w:tcW w:w="2485"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462" w:hRule="atLeast"/>
        </w:trPr>
        <w:tc>
          <w:tcPr>
            <w:tcW w:w="1618"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p>
        </w:tc>
        <w:tc>
          <w:tcPr>
            <w:tcW w:w="2834"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lang w:val="en-US" w:eastAsia="zh-CN"/>
              </w:rPr>
              <w:t>合计</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r>
    </w:tbl>
    <w:p>
      <w:pPr>
        <w:numPr>
          <w:numId w:val="0"/>
        </w:numPr>
        <w:spacing w:before="25" w:after="0"/>
        <w:rPr>
          <w:rFonts w:hint="default" w:ascii="仿宋" w:hAnsi="仿宋" w:eastAsia="仿宋" w:cs="仿宋"/>
          <w:b/>
          <w:bCs/>
          <w:sz w:val="22"/>
          <w:szCs w:val="22"/>
          <w:lang w:val="en-US" w:eastAsia="zh-CN"/>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本</w:t>
      </w:r>
      <w:r>
        <w:rPr>
          <w:rFonts w:ascii="仿宋" w:hAnsi="仿宋" w:eastAsia="仿宋" w:cs="仿宋"/>
          <w:b/>
          <w:sz w:val="22"/>
        </w:rPr>
        <w:t>单位无政府性基金预算，也没有使用政府性基金安排的支出，故本表无数据。</w:t>
      </w:r>
    </w:p>
    <w:p>
      <w:pPr>
        <w:widowControl w:val="0"/>
        <w:numPr>
          <w:numId w:val="0"/>
        </w:numPr>
        <w:suppressAutoHyphens/>
        <w:spacing w:before="25" w:after="0"/>
        <w:jc w:val="left"/>
        <w:rPr>
          <w:rFonts w:hint="default" w:ascii="仿宋" w:hAnsi="仿宋" w:eastAsia="仿宋" w:cs="仿宋"/>
          <w:b/>
          <w:bCs/>
          <w:sz w:val="22"/>
          <w:szCs w:val="22"/>
          <w:lang w:val="en-US" w:eastAsia="zh-CN"/>
        </w:rPr>
        <w:sectPr>
          <w:footerReference r:id="rId17"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469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96"/>
        <w:gridCol w:w="3803"/>
        <w:gridCol w:w="3111"/>
        <w:gridCol w:w="3094"/>
        <w:gridCol w:w="30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7" w:hRule="atLeast"/>
          <w:jc w:val="center"/>
        </w:trPr>
        <w:tc>
          <w:tcPr>
            <w:tcW w:w="14695" w:type="dxa"/>
            <w:gridSpan w:val="5"/>
            <w:tcBorders>
              <w:top w:val="nil"/>
              <w:left w:val="nil"/>
              <w:bottom w:val="nil"/>
              <w:right w:val="nil"/>
            </w:tcBorders>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公开11表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60" w:hRule="atLeast"/>
          <w:jc w:val="center"/>
        </w:trPr>
        <w:tc>
          <w:tcPr>
            <w:tcW w:w="14695" w:type="dxa"/>
            <w:gridSpan w:val="5"/>
            <w:tcBorders>
              <w:top w:val="nil"/>
              <w:left w:val="nil"/>
              <w:bottom w:val="nil"/>
              <w:right w:val="nil"/>
            </w:tcBorders>
            <w:vAlign w:val="center"/>
          </w:tcPr>
          <w:p>
            <w:pPr>
              <w:widowControl/>
              <w:jc w:val="center"/>
              <w:rPr>
                <w:rFonts w:hint="eastAsia" w:ascii="仿宋" w:hAnsi="仿宋" w:eastAsia="仿宋" w:cs="仿宋"/>
                <w:color w:val="auto"/>
                <w:kern w:val="0"/>
                <w:sz w:val="22"/>
                <w:szCs w:val="22"/>
                <w:lang w:val="zh-CN" w:eastAsia="zh-CN" w:bidi="zh-CN"/>
              </w:rPr>
            </w:pPr>
            <w:r>
              <w:rPr>
                <w:rFonts w:hint="eastAsia" w:ascii="仿宋" w:hAnsi="仿宋" w:eastAsia="仿宋" w:cs="仿宋"/>
                <w:b/>
                <w:bCs/>
                <w:color w:val="auto"/>
                <w:kern w:val="0"/>
                <w:sz w:val="44"/>
                <w:szCs w:val="44"/>
                <w:lang w:val="zh-CN" w:eastAsia="zh-CN" w:bidi="zh-CN"/>
              </w:rPr>
              <w:t>国有资本经营预算支出预算表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9" w:hRule="atLeast"/>
          <w:jc w:val="center"/>
        </w:trPr>
        <w:tc>
          <w:tcPr>
            <w:tcW w:w="11604" w:type="dxa"/>
            <w:gridSpan w:val="4"/>
            <w:tcBorders>
              <w:top w:val="nil"/>
              <w:left w:val="nil"/>
              <w:bottom w:val="single" w:color="auto" w:sz="4" w:space="0"/>
              <w:right w:val="nil"/>
            </w:tcBorders>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3091" w:type="dxa"/>
            <w:tcBorders>
              <w:top w:val="nil"/>
              <w:left w:val="nil"/>
              <w:bottom w:val="nil"/>
              <w:right w:val="nil"/>
            </w:tcBorders>
            <w:vAlign w:val="center"/>
          </w:tcPr>
          <w:p>
            <w:pPr>
              <w:widowControl/>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43" w:hRule="atLeast"/>
          <w:jc w:val="center"/>
        </w:trPr>
        <w:tc>
          <w:tcPr>
            <w:tcW w:w="5399" w:type="dxa"/>
            <w:gridSpan w:val="2"/>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    目</w:t>
            </w:r>
          </w:p>
        </w:tc>
        <w:tc>
          <w:tcPr>
            <w:tcW w:w="3111" w:type="dxa"/>
            <w:vMerge w:val="restart"/>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本年支出合计</w:t>
            </w:r>
          </w:p>
        </w:tc>
        <w:tc>
          <w:tcPr>
            <w:tcW w:w="3094" w:type="dxa"/>
            <w:vMerge w:val="restart"/>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基本支出  </w:t>
            </w:r>
          </w:p>
        </w:tc>
        <w:tc>
          <w:tcPr>
            <w:tcW w:w="3091" w:type="dxa"/>
            <w:vMerge w:val="restart"/>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1" w:hRule="atLeast"/>
          <w:jc w:val="center"/>
        </w:trPr>
        <w:tc>
          <w:tcPr>
            <w:tcW w:w="1596" w:type="dxa"/>
            <w:tcBorders>
              <w:top w:val="nil"/>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功能分类</w:t>
            </w:r>
          </w:p>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科目编码</w:t>
            </w:r>
          </w:p>
        </w:tc>
        <w:tc>
          <w:tcPr>
            <w:tcW w:w="3803" w:type="dxa"/>
            <w:tcBorders>
              <w:top w:val="nil"/>
              <w:left w:val="nil"/>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科目名称</w:t>
            </w:r>
          </w:p>
        </w:tc>
        <w:tc>
          <w:tcPr>
            <w:tcW w:w="3111" w:type="dxa"/>
            <w:vMerge w:val="continue"/>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4" w:type="dxa"/>
            <w:vMerge w:val="continue"/>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1" w:type="dxa"/>
            <w:vMerge w:val="continue"/>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5399" w:type="dxa"/>
            <w:gridSpan w:val="2"/>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栏次</w:t>
            </w: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w:t>
            </w: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w:t>
            </w: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46" w:hRule="atLeast"/>
          <w:jc w:val="center"/>
        </w:trPr>
        <w:tc>
          <w:tcPr>
            <w:tcW w:w="5399" w:type="dxa"/>
            <w:gridSpan w:val="2"/>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合计</w:t>
            </w: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159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159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p>
        </w:tc>
      </w:tr>
    </w:tbl>
    <w:p>
      <w:pPr>
        <w:numPr>
          <w:numId w:val="0"/>
        </w:numPr>
        <w:spacing w:before="25" w:after="0"/>
        <w:ind w:firstLine="442" w:firstLineChars="200"/>
        <w:rPr>
          <w:rFonts w:hint="default" w:ascii="仿宋" w:hAnsi="仿宋" w:eastAsia="仿宋" w:cs="仿宋"/>
          <w:b/>
          <w:bCs/>
          <w:sz w:val="22"/>
          <w:szCs w:val="22"/>
          <w:lang w:val="en-US" w:eastAsia="zh-CN"/>
        </w:rPr>
      </w:pPr>
      <w:r>
        <w:rPr>
          <w:rFonts w:ascii="仿宋" w:hAnsi="仿宋" w:eastAsia="仿宋" w:cs="仿宋"/>
          <w:b/>
          <w:sz w:val="22"/>
        </w:rPr>
        <w:t>注：本单位无</w:t>
      </w:r>
      <w:r>
        <w:rPr>
          <w:rFonts w:hint="eastAsia" w:ascii="仿宋" w:hAnsi="仿宋" w:eastAsia="仿宋" w:cs="仿宋"/>
          <w:b/>
          <w:bCs/>
          <w:sz w:val="22"/>
          <w:szCs w:val="22"/>
          <w:lang w:val="zh-CN" w:eastAsia="zh-CN"/>
        </w:rPr>
        <w:t>国有资本经营预算支出</w:t>
      </w:r>
      <w:r>
        <w:rPr>
          <w:rFonts w:hint="eastAsia" w:ascii="仿宋" w:hAnsi="仿宋" w:eastAsia="仿宋" w:cs="仿宋"/>
          <w:b/>
          <w:bCs/>
          <w:sz w:val="22"/>
          <w:szCs w:val="22"/>
          <w:lang w:val="en-US" w:eastAsia="zh-CN"/>
        </w:rPr>
        <w:t>，故本表无数据。</w:t>
      </w:r>
    </w:p>
    <w:p>
      <w:pPr>
        <w:widowControl w:val="0"/>
        <w:numPr>
          <w:numId w:val="0"/>
        </w:numPr>
        <w:suppressAutoHyphens/>
        <w:spacing w:before="25" w:after="0"/>
        <w:jc w:val="left"/>
        <w:rPr>
          <w:rFonts w:hint="default" w:ascii="仿宋" w:hAnsi="仿宋" w:eastAsia="仿宋" w:cs="仿宋"/>
          <w:b/>
          <w:bCs/>
          <w:sz w:val="22"/>
          <w:szCs w:val="22"/>
          <w:lang w:val="en-US" w:eastAsia="zh-CN"/>
        </w:rPr>
        <w:sectPr>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235" w:type="dxa"/>
        <w:tblInd w:w="-40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3088"/>
        <w:gridCol w:w="2876"/>
        <w:gridCol w:w="1920"/>
        <w:gridCol w:w="23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19" w:hRule="atLeast"/>
        </w:trPr>
        <w:tc>
          <w:tcPr>
            <w:tcW w:w="10235" w:type="dxa"/>
            <w:gridSpan w:val="4"/>
            <w:vAlign w:val="top"/>
          </w:tcPr>
          <w:p>
            <w:pPr>
              <w:pStyle w:val="17"/>
              <w:widowControl w:val="0"/>
              <w:tabs>
                <w:tab w:val="left" w:pos="610"/>
              </w:tabs>
              <w:spacing w:before="28" w:after="0"/>
              <w:ind w:left="8" w:firstLine="0"/>
              <w:jc w:val="left"/>
              <w:rPr>
                <w:rFonts w:hint="eastAsia" w:ascii="仿宋" w:hAnsi="仿宋" w:eastAsia="仿宋" w:cs="仿宋"/>
                <w:b/>
                <w:bCs/>
                <w:sz w:val="44"/>
                <w:szCs w:val="44"/>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90" w:hRule="atLeast"/>
        </w:trPr>
        <w:tc>
          <w:tcPr>
            <w:tcW w:w="10235" w:type="dxa"/>
            <w:gridSpan w:val="4"/>
            <w:vAlign w:val="top"/>
          </w:tcPr>
          <w:p>
            <w:pPr>
              <w:pStyle w:val="17"/>
              <w:widowControl w:val="0"/>
              <w:jc w:val="center"/>
              <w:rPr>
                <w:rFonts w:hint="eastAsia" w:ascii="仿宋" w:hAnsi="仿宋" w:eastAsia="仿宋" w:cs="仿宋"/>
              </w:rPr>
            </w:pPr>
            <w:r>
              <w:rPr>
                <w:rFonts w:hint="eastAsia" w:ascii="仿宋" w:hAnsi="仿宋" w:eastAsia="仿宋" w:cs="仿宋"/>
                <w:b/>
                <w:bCs/>
                <w:sz w:val="44"/>
                <w:szCs w:val="44"/>
              </w:rPr>
              <w:t>一般公共预算机关运行经费支出预算表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90" w:hRule="atLeast"/>
        </w:trPr>
        <w:tc>
          <w:tcPr>
            <w:tcW w:w="7884" w:type="dxa"/>
            <w:gridSpan w:val="3"/>
            <w:tcBorders>
              <w:bottom w:val="single" w:color="auto" w:sz="4" w:space="0"/>
            </w:tcBorders>
            <w:vAlign w:val="center"/>
          </w:tcPr>
          <w:p>
            <w:pPr>
              <w:pStyle w:val="17"/>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2351" w:type="dxa"/>
            <w:tcBorders>
              <w:bottom w:val="single" w:color="auto" w:sz="4" w:space="0"/>
            </w:tcBorders>
            <w:vAlign w:val="center"/>
          </w:tcPr>
          <w:p>
            <w:pPr>
              <w:pStyle w:val="17"/>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trHeight w:val="363" w:hRule="atLeast"/>
        </w:trPr>
        <w:tc>
          <w:tcPr>
            <w:tcW w:w="3088" w:type="dxa"/>
            <w:tcBorders>
              <w:top w:val="single" w:color="auto" w:sz="4" w:space="0"/>
              <w:left w:val="single" w:color="auto" w:sz="4" w:space="0"/>
              <w:bottom w:val="single" w:color="auto"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tcBorders>
              <w:top w:val="single" w:color="auto" w:sz="4" w:space="0"/>
              <w:left w:val="single" w:color="000000" w:sz="4" w:space="0"/>
              <w:bottom w:val="single" w:color="auto" w:sz="4" w:space="0"/>
              <w:right w:val="single" w:color="auto" w:sz="4" w:space="0"/>
            </w:tcBorders>
            <w:vAlign w:val="top"/>
          </w:tcPr>
          <w:p>
            <w:pPr>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7" w:hRule="atLeast"/>
        </w:trPr>
        <w:tc>
          <w:tcPr>
            <w:tcW w:w="5964" w:type="dxa"/>
            <w:gridSpan w:val="2"/>
            <w:tcBorders>
              <w:top w:val="single" w:color="000000" w:sz="4" w:space="0"/>
              <w:left w:val="single" w:color="auto" w:sz="4" w:space="0"/>
              <w:bottom w:val="single" w:color="auto" w:sz="4" w:space="0"/>
              <w:right w:val="single" w:color="000000" w:sz="4" w:space="0"/>
            </w:tcBorders>
            <w:vAlign w:val="top"/>
          </w:tcPr>
          <w:p>
            <w:pPr>
              <w:pStyle w:val="17"/>
              <w:widowControl w:val="0"/>
              <w:jc w:val="center"/>
              <w:rPr>
                <w:rFonts w:hint="default" w:ascii="仿宋" w:hAnsi="仿宋" w:eastAsia="仿宋" w:cs="仿宋"/>
                <w:sz w:val="22"/>
                <w:szCs w:val="22"/>
                <w:lang w:val="en-US" w:eastAsia="zh-CN"/>
              </w:rPr>
            </w:pPr>
            <w:r>
              <w:rPr>
                <w:rFonts w:hint="eastAsia" w:ascii="仿宋" w:hAnsi="仿宋" w:eastAsia="仿宋" w:cs="仿宋"/>
                <w:sz w:val="22"/>
                <w:szCs w:val="22"/>
                <w:lang w:val="en-US" w:eastAsia="zh-CN"/>
              </w:rPr>
              <w:t>合计</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2876" w:type="dxa"/>
            <w:tcBorders>
              <w:top w:val="single" w:color="000000" w:sz="4" w:space="0"/>
              <w:left w:val="single" w:color="000000"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27"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2876" w:type="dxa"/>
            <w:tcBorders>
              <w:top w:val="single" w:color="000000" w:sz="4" w:space="0"/>
              <w:left w:val="single" w:color="000000"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17"/>
              <w:widowControl w:val="0"/>
              <w:jc w:val="right"/>
              <w:rPr>
                <w:rFonts w:hint="eastAsia" w:ascii="仿宋" w:hAnsi="仿宋" w:eastAsia="仿宋" w:cs="仿宋"/>
                <w:sz w:val="22"/>
                <w:szCs w:val="22"/>
              </w:rPr>
            </w:pPr>
          </w:p>
        </w:tc>
      </w:tr>
    </w:tbl>
    <w:p>
      <w:pPr>
        <w:numPr>
          <w:numId w:val="0"/>
        </w:numPr>
        <w:tabs>
          <w:tab w:val="left" w:pos="0"/>
        </w:tabs>
        <w:spacing w:before="25" w:after="0"/>
        <w:ind w:leftChars="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注：1.</w:t>
      </w:r>
      <w:r>
        <w:rPr>
          <w:rFonts w:hint="eastAsia" w:ascii="仿宋" w:hAnsi="仿宋" w:eastAsia="仿宋" w:cs="仿宋"/>
          <w:b/>
          <w:bCs/>
          <w:sz w:val="22"/>
          <w:szCs w:val="22"/>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numPr>
          <w:numId w:val="0"/>
        </w:numPr>
        <w:tabs>
          <w:tab w:val="left" w:pos="0"/>
        </w:tabs>
        <w:spacing w:before="25" w:after="0"/>
        <w:ind w:leftChars="0"/>
        <w:rPr>
          <w:rFonts w:hint="eastAsia" w:ascii="仿宋" w:hAnsi="仿宋" w:eastAsia="仿宋" w:cs="仿宋"/>
          <w:b/>
          <w:bCs/>
          <w:sz w:val="22"/>
          <w:szCs w:val="22"/>
        </w:rPr>
      </w:pPr>
      <w:r>
        <w:rPr>
          <w:rFonts w:hint="eastAsia" w:ascii="仿宋" w:hAnsi="仿宋" w:eastAsia="仿宋" w:cs="仿宋"/>
          <w:b/>
          <w:bCs/>
          <w:sz w:val="22"/>
          <w:szCs w:val="22"/>
          <w:lang w:val="en-US" w:eastAsia="zh-CN"/>
        </w:rPr>
        <w:t>2.</w:t>
      </w:r>
      <w:r>
        <w:rPr>
          <w:rFonts w:hint="eastAsia" w:ascii="仿宋" w:hAnsi="仿宋" w:eastAsia="仿宋" w:cs="仿宋"/>
          <w:b/>
          <w:bCs/>
          <w:sz w:val="22"/>
          <w:szCs w:val="22"/>
          <w:lang w:eastAsia="zh-CN"/>
        </w:rPr>
        <w:t>本</w:t>
      </w:r>
      <w:r>
        <w:rPr>
          <w:rFonts w:ascii="仿宋" w:hAnsi="仿宋" w:eastAsia="仿宋" w:cs="仿宋"/>
          <w:b/>
          <w:sz w:val="22"/>
        </w:rPr>
        <w:t>单位无一般公共预算机关运行经费支出，故本表无数据。</w:t>
      </w:r>
    </w:p>
    <w:p>
      <w:pPr>
        <w:widowControl w:val="0"/>
        <w:suppressAutoHyphens/>
        <w:spacing w:before="78" w:after="0" w:line="290" w:lineRule="auto"/>
        <w:ind w:left="227" w:right="57" w:firstLine="0"/>
        <w:jc w:val="both"/>
        <w:rPr>
          <w:rFonts w:hint="eastAsia" w:ascii="仿宋" w:hAnsi="仿宋" w:eastAsia="仿宋" w:cs="仿宋"/>
          <w:b/>
          <w:bCs/>
          <w:sz w:val="22"/>
          <w:szCs w:val="22"/>
        </w:rPr>
        <w:sectPr>
          <w:footerReference r:id="rId18" w:type="default"/>
          <w:pgSz w:w="11906" w:h="16838"/>
          <w:pgMar w:top="1100" w:right="1320"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08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1512"/>
        <w:gridCol w:w="2502"/>
        <w:gridCol w:w="1440"/>
        <w:gridCol w:w="2280"/>
        <w:gridCol w:w="1852"/>
        <w:gridCol w:w="1114"/>
        <w:gridCol w:w="965"/>
        <w:gridCol w:w="928"/>
        <w:gridCol w:w="1141"/>
        <w:gridCol w:w="13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c>
          <w:tcPr>
            <w:tcW w:w="15089"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left"/>
              <w:rPr>
                <w:rFonts w:hint="eastAsia" w:ascii="仿宋" w:hAnsi="仿宋" w:eastAsia="仿宋" w:cs="仿宋"/>
                <w:b/>
                <w:bCs/>
                <w:color w:val="auto"/>
                <w:kern w:val="0"/>
                <w:sz w:val="44"/>
                <w:szCs w:val="44"/>
                <w:lang w:val="en-US" w:eastAsia="zh-CN" w:bidi="zh-CN"/>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c>
          <w:tcPr>
            <w:tcW w:w="15089"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b/>
                <w:bCs/>
                <w:color w:val="auto"/>
                <w:kern w:val="0"/>
                <w:sz w:val="44"/>
                <w:szCs w:val="44"/>
                <w:lang w:val="en-US" w:eastAsia="zh-CN" w:bidi="zh-CN"/>
              </w:rPr>
              <w:t>政府采购支出表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c>
          <w:tcPr>
            <w:tcW w:w="9586" w:type="dxa"/>
            <w:gridSpan w:val="5"/>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jc w:val="left"/>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江苏省民政信息中心</w:t>
            </w:r>
          </w:p>
        </w:tc>
        <w:tc>
          <w:tcPr>
            <w:tcW w:w="4148" w:type="dxa"/>
            <w:gridSpan w:val="4"/>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jc w:val="left"/>
              <w:rPr>
                <w:rFonts w:hint="eastAsia" w:ascii="仿宋" w:hAnsi="仿宋" w:eastAsia="仿宋" w:cs="仿宋"/>
                <w:lang w:val="en-US" w:eastAsia="zh-CN"/>
              </w:rPr>
            </w:pPr>
          </w:p>
        </w:tc>
        <w:tc>
          <w:tcPr>
            <w:tcW w:w="1355" w:type="dxa"/>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jc w:val="right"/>
              <w:rPr>
                <w:rFonts w:hint="eastAsia" w:ascii="仿宋" w:hAnsi="仿宋" w:eastAsia="仿宋" w:cs="仿宋"/>
                <w:lang w:val="en-US" w:eastAsia="zh-CN"/>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c>
          <w:tcPr>
            <w:tcW w:w="151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采购品目大类</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专项名称</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经济科目</w:t>
            </w:r>
          </w:p>
        </w:tc>
        <w:tc>
          <w:tcPr>
            <w:tcW w:w="22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采购品目名称</w:t>
            </w:r>
          </w:p>
        </w:tc>
        <w:tc>
          <w:tcPr>
            <w:tcW w:w="185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采购组织形式</w:t>
            </w:r>
          </w:p>
        </w:tc>
        <w:tc>
          <w:tcPr>
            <w:tcW w:w="4148" w:type="dxa"/>
            <w:gridSpan w:val="4"/>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资金来源</w:t>
            </w:r>
          </w:p>
        </w:tc>
        <w:tc>
          <w:tcPr>
            <w:tcW w:w="1355"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trHeight w:val="258" w:hRule="atLeast"/>
        </w:trPr>
        <w:tc>
          <w:tcPr>
            <w:tcW w:w="151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left"/>
              <w:textAlignment w:val="auto"/>
              <w:rPr>
                <w:rFonts w:hint="eastAsia" w:ascii="仿宋" w:hAnsi="仿宋" w:eastAsia="仿宋" w:cs="仿宋"/>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left"/>
              <w:textAlignment w:val="auto"/>
              <w:rPr>
                <w:rFonts w:hint="eastAsia" w:ascii="仿宋" w:hAnsi="仿宋" w:eastAsia="仿宋" w:cs="仿宋"/>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left"/>
              <w:textAlignment w:val="auto"/>
              <w:rPr>
                <w:rFonts w:hint="eastAsia" w:ascii="仿宋" w:hAnsi="仿宋" w:eastAsia="仿宋" w:cs="仿宋"/>
              </w:rPr>
            </w:pPr>
          </w:p>
        </w:tc>
        <w:tc>
          <w:tcPr>
            <w:tcW w:w="22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left"/>
              <w:textAlignment w:val="auto"/>
              <w:rPr>
                <w:rFonts w:hint="eastAsia" w:ascii="仿宋" w:hAnsi="仿宋" w:eastAsia="仿宋" w:cs="仿宋"/>
              </w:rPr>
            </w:pPr>
          </w:p>
        </w:tc>
        <w:tc>
          <w:tcPr>
            <w:tcW w:w="185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left"/>
              <w:textAlignment w:val="auto"/>
              <w:rPr>
                <w:rFonts w:hint="eastAsia" w:ascii="仿宋" w:hAnsi="仿宋" w:eastAsia="仿宋" w:cs="仿宋"/>
              </w:rPr>
            </w:pPr>
          </w:p>
        </w:tc>
        <w:tc>
          <w:tcPr>
            <w:tcW w:w="111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default" w:ascii="仿宋" w:hAnsi="仿宋" w:eastAsia="仿宋" w:cs="仿宋"/>
                <w:lang w:val="en-US"/>
              </w:rPr>
            </w:pPr>
            <w:r>
              <w:rPr>
                <w:rFonts w:hint="eastAsia" w:ascii="仿宋" w:hAnsi="仿宋" w:eastAsia="仿宋" w:cs="仿宋"/>
                <w:lang w:val="en-US" w:eastAsia="zh-CN"/>
              </w:rPr>
              <w:t>一般公共预算资金</w:t>
            </w:r>
          </w:p>
        </w:tc>
        <w:tc>
          <w:tcPr>
            <w:tcW w:w="96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政府性基金</w:t>
            </w:r>
          </w:p>
        </w:tc>
        <w:tc>
          <w:tcPr>
            <w:tcW w:w="92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其他资金</w:t>
            </w:r>
          </w:p>
        </w:tc>
        <w:tc>
          <w:tcPr>
            <w:tcW w:w="114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上年结转和结余资金</w:t>
            </w:r>
          </w:p>
        </w:tc>
        <w:tc>
          <w:tcPr>
            <w:tcW w:w="1355"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left"/>
              <w:textAlignment w:val="auto"/>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trHeight w:val="907"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center"/>
              <w:textAlignment w:val="auto"/>
              <w:rPr>
                <w:rFonts w:hint="eastAsia" w:ascii="仿宋" w:hAnsi="仿宋" w:eastAsia="仿宋" w:cs="仿宋"/>
              </w:rPr>
            </w:pPr>
            <w:r>
              <w:rPr>
                <w:rFonts w:hint="eastAsia" w:ascii="仿宋" w:hAnsi="仿宋" w:eastAsia="仿宋" w:cs="仿宋"/>
                <w:lang w:val="en-US" w:eastAsia="zh-CN"/>
              </w:rPr>
              <w:t>合计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left"/>
              <w:textAlignment w:val="auto"/>
              <w:rPr>
                <w:rFonts w:hint="eastAsia" w:ascii="仿宋" w:hAnsi="仿宋" w:eastAsia="仿宋" w:cs="仿宋"/>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left"/>
              <w:textAlignment w:val="auto"/>
              <w:rPr>
                <w:rFonts w:hint="eastAsia" w:ascii="仿宋" w:hAnsi="仿宋" w:eastAsia="仿宋" w:cs="仿宋"/>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left"/>
              <w:textAlignment w:val="auto"/>
              <w:rPr>
                <w:rFonts w:hint="eastAsia" w:ascii="仿宋" w:hAnsi="仿宋" w:eastAsia="仿宋" w:cs="仿宋"/>
              </w:rPr>
            </w:pPr>
          </w:p>
        </w:tc>
        <w:tc>
          <w:tcPr>
            <w:tcW w:w="185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34" w:lineRule="atLeast"/>
              <w:jc w:val="left"/>
              <w:textAlignment w:val="auto"/>
              <w:rPr>
                <w:rFonts w:hint="eastAsia" w:ascii="仿宋" w:hAnsi="仿宋" w:eastAsia="仿宋" w:cs="仿宋"/>
              </w:rPr>
            </w:pPr>
          </w:p>
        </w:tc>
        <w:tc>
          <w:tcPr>
            <w:tcW w:w="111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96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92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114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135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default" w:ascii="仿宋" w:hAnsi="仿宋" w:eastAsia="仿宋" w:cs="仿宋"/>
                <w:color w:val="auto"/>
                <w:kern w:val="0"/>
                <w:sz w:val="22"/>
                <w:szCs w:val="22"/>
                <w:lang w:val="en-US"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185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111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96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92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114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135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jc w:val="center"/>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185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jc w:val="center"/>
              <w:textAlignment w:val="auto"/>
              <w:rPr>
                <w:rFonts w:hint="eastAsia" w:ascii="仿宋" w:hAnsi="仿宋" w:eastAsia="仿宋" w:cs="仿宋"/>
                <w:color w:val="auto"/>
                <w:kern w:val="0"/>
                <w:sz w:val="22"/>
                <w:szCs w:val="22"/>
                <w:lang w:val="en-US" w:eastAsia="zh-CN" w:bidi="zh-CN"/>
              </w:rPr>
            </w:pPr>
          </w:p>
        </w:tc>
        <w:tc>
          <w:tcPr>
            <w:tcW w:w="111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96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92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114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c>
          <w:tcPr>
            <w:tcW w:w="135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34" w:lineRule="atLeast"/>
              <w:ind w:right="57"/>
              <w:jc w:val="right"/>
              <w:textAlignment w:val="auto"/>
              <w:rPr>
                <w:rFonts w:hint="eastAsia" w:ascii="仿宋" w:hAnsi="仿宋" w:eastAsia="仿宋" w:cs="仿宋"/>
                <w:color w:val="auto"/>
                <w:kern w:val="0"/>
                <w:sz w:val="22"/>
                <w:szCs w:val="22"/>
                <w:lang w:val="en-US" w:eastAsia="zh-CN" w:bidi="zh-CN"/>
              </w:rPr>
            </w:pPr>
          </w:p>
        </w:tc>
      </w:tr>
    </w:tbl>
    <w:p>
      <w:pPr>
        <w:numPr>
          <w:numId w:val="0"/>
        </w:numPr>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eastAsia="zh-CN"/>
        </w:rPr>
        <w:t>本</w:t>
      </w:r>
      <w:r>
        <w:rPr>
          <w:rFonts w:ascii="仿宋" w:hAnsi="仿宋" w:eastAsia="仿宋" w:cs="仿宋"/>
          <w:b/>
          <w:sz w:val="22"/>
        </w:rPr>
        <w:t>单位无政府采购支出，故本表无数据。</w:t>
      </w:r>
    </w:p>
    <w:p>
      <w:pPr>
        <w:rPr>
          <w:rFonts w:hint="eastAsia" w:ascii="仿宋" w:hAnsi="仿宋" w:eastAsia="仿宋" w:cs="仿宋"/>
          <w:b/>
          <w:bCs/>
          <w:sz w:val="22"/>
          <w:szCs w:val="22"/>
        </w:rPr>
        <w:sectPr>
          <w:footerReference r:id="rId19" w:type="default"/>
          <w:pgSz w:w="16838" w:h="11906" w:orient="landscape"/>
          <w:pgMar w:top="1320" w:right="1100" w:bottom="1320" w:left="77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lang w:eastAsia="zh-CN"/>
        </w:rPr>
        <w:t>2022</w:t>
      </w:r>
      <w:r>
        <w:rPr>
          <w:rFonts w:hint="eastAsia" w:ascii="仿宋" w:hAnsi="仿宋" w:eastAsia="仿宋" w:cs="仿宋"/>
          <w:b/>
          <w:bCs/>
          <w:sz w:val="44"/>
          <w:szCs w:val="44"/>
        </w:rPr>
        <w:t>年度</w:t>
      </w:r>
      <w:r>
        <w:rPr>
          <w:rFonts w:ascii="仿宋" w:hAnsi="仿宋" w:eastAsia="仿宋" w:cs="仿宋"/>
          <w:b/>
          <w:sz w:val="44"/>
        </w:rPr>
        <w:t>单位</w:t>
      </w:r>
      <w:r>
        <w:rPr>
          <w:rFonts w:hint="eastAsia" w:ascii="仿宋" w:hAnsi="仿宋" w:eastAsia="仿宋" w:cs="仿宋"/>
          <w:b/>
          <w:bCs/>
          <w:sz w:val="44"/>
          <w:szCs w:val="44"/>
          <w:lang w:eastAsia="zh-CN"/>
        </w:rPr>
        <w:t>预算</w:t>
      </w:r>
      <w:r>
        <w:rPr>
          <w:rFonts w:hint="eastAsia" w:ascii="仿宋" w:hAnsi="仿宋" w:eastAsia="仿宋" w:cs="仿宋"/>
          <w:b/>
          <w:bCs/>
          <w:sz w:val="44"/>
          <w:szCs w:val="44"/>
        </w:rPr>
        <w:t>情况说明</w:t>
      </w:r>
    </w:p>
    <w:p>
      <w:pPr>
        <w:pStyle w:val="8"/>
        <w:widowControl w:val="0"/>
        <w:tabs>
          <w:tab w:val="left" w:pos="3864"/>
          <w:tab w:val="left" w:pos="6248"/>
          <w:tab w:val="left" w:pos="7386"/>
        </w:tabs>
        <w:wordWrap/>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一、收支预算总体情况说明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江苏省民政信息中心2022年度收入、支出预算总计194.89万元，与上年相比收、支预算总计各减少52.71万元，减少21.29%。</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（一）收入预算总计194.89万元。包括：</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1．本年收入合计194.89万元。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（1）一般公共预算拨款收入194.89万元，与上年相比减少52.71万元，减少21.29%。主要原因是工资政策性调整导致人员经费的减少。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（2）政府性基金预算拨款收入0万元，与上年预算数相同。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（3）国有资本经营预算拨款收入0万元，与上年预算数相同。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（4）财政专户管理资金收入0万元，与上年预算数相同。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（5）事业收入0万元，与上年预算数相同。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（6）事业单位经营收入0万元，与上年预算数相同。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（7）上级补助收入0万元，与上年预算数相同。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（8）附属单位上缴收入0万元，与上年预算数相同。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（9）其他收入0万元，与上年预算数相同。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2．上年结转结余为0万元。与上年预算数相同。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（二）支出预算总计194.89万元。包括：</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1．本年支出合计194.89万元。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（1）社会保障和就业支出（类）支出170.66万元，主要用于人员支出，单位正常运行以及社会保障和就业等方面的支出。与上年相比减少54.27万元，减少24.13%。主要原因是工资政策性调整导致人员经费的减少。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保障支出（类）支出24.23万元，主要用于按国家政策规定用于住房改革方面的支出，具体包括住房公积金、提租补贴2个支出科目。与上年相比增加1.56万元，增长6.88%。主要原因是工资政策性调整导致住房改革方面的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2．年终结转结余为0万元。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二、收入预算情况说明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江苏省民政信息中心2022年收入预算合计194.89万元，包括本年收入194.89万元，上年结转结余0万元。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本年一般公共预算收入194.89万元，占100%；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本年政府性基金预算收入0万元，占0%；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本年国有资本经营预算收入0万元，占0%；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本年财政专户管理资金0万元，占0%；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本年事业单位经营收入0万元，占0%；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本年上级补助收入0万元，占0%；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本年附属单位上缴收入0万元，占0%；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本年其他收入0万元，占0%；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上年结转结余的一般公共预算收入0万元，占0%；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上年结转结余的政府性基金预算收入0万元，占0%；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上年结转结余的国有资本经营预算收入0万元，占0%；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上年结转结余的财政专户管理资金0万元，占0%；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上年结转结余的单位资金0万元，占0%。</w:t>
      </w:r>
    </w:p>
    <w:p>
      <w:pPr>
        <w:pStyle w:val="8"/>
        <w:widowControl w:val="0"/>
        <w:tabs>
          <w:tab w:val="left" w:pos="3864"/>
          <w:tab w:val="left" w:pos="6248"/>
          <w:tab w:val="left" w:pos="7386"/>
        </w:tabs>
        <w:wordWrap/>
        <w:overflowPunct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color w:val="auto"/>
          <w:kern w:val="0"/>
          <w:sz w:val="32"/>
          <w:szCs w:val="32"/>
          <w:lang w:val="en-US" w:eastAsia="zh-CN" w:bidi="zh-CN"/>
        </w:rPr>
        <w:pict>
          <v:shape id="Drawing 1" o:spid="_x0000_s1040" type="#_x0000_t75" style="height:270pt;width:483pt;rotation:0f;" o:ole="f" fillcolor="#FFFFFF" filled="f" o:preferrelative="t" stroked="f" coordorigin="0,0" coordsize="21600,21600">
            <v:fill on="f" color2="#FFFFFF" focus="0%"/>
            <v:imagedata gain="65536f" blacklevel="0f" gamma="0" o:title="" r:id="rId21"/>
            <o:lock v:ext="edit" position="f" selection="f" grouping="f" rotation="f" cropping="f" text="f" aspectratio="t"/>
            <w10:wrap type="none"/>
            <w10:anchorlock/>
          </v:shape>
        </w:pic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江苏省民政信息中心2022年支出预算合计194.89万元，其中：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基本支出88.89万元，占45.61%；</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项目支出106万元，占54.39%；</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事业单位经营支出0万元，占0%；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上缴上级支出0万元，占0%；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对附属单位补助支出0万元，占0%。</w:t>
      </w:r>
    </w:p>
    <w:p>
      <w:pPr>
        <w:pStyle w:val="8"/>
        <w:widowControl w:val="0"/>
        <w:tabs>
          <w:tab w:val="left" w:pos="3864"/>
          <w:tab w:val="left" w:pos="6248"/>
          <w:tab w:val="left" w:pos="7386"/>
        </w:tabs>
        <w:wordWrap/>
        <w:overflowPunct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color w:val="auto"/>
          <w:kern w:val="0"/>
          <w:sz w:val="32"/>
          <w:szCs w:val="32"/>
          <w:lang w:val="en-US" w:eastAsia="zh-CN" w:bidi="zh-CN"/>
        </w:rPr>
        <w:pict>
          <v:shape id="Drawing 2" o:spid="_x0000_s1041" type="#_x0000_t75" style="height:270pt;width:483pt;rotation:0f;" o:ole="f" fillcolor="#FFFFFF" filled="f" o:preferrelative="t" stroked="f" coordorigin="0,0" coordsize="21600,21600">
            <v:fill on="f" color2="#FFFFFF" focus="0%"/>
            <v:imagedata gain="65536f" blacklevel="0f" gamma="0" o:title="" r:id="rId22"/>
            <o:lock v:ext="edit" position="f" selection="f" grouping="f" rotation="f" cropping="f" text="f" aspectratio="t"/>
            <w10:wrap type="none"/>
            <w10:anchorlock/>
          </v:shape>
        </w:pic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四、财政拨款收支预算总体情况说明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江苏省民政信息中心2022年度财政拨款收、支总预算194.89万元。与上年相比，财政拨款收、支总计各减少52.71万元，减少21.29%。主要原因是工资政策性调整导致人员经费的减少。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江苏省民政信息中心2022年财政拨款预算支出194.89万元，占本年支出合计的100%。与上年相比，财政拨款支出减少52.71万元，减少21.29%。主要原因是工资政策性调整导致人员经费的减少。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（一）社会保障和就业支出（类）</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1.民政管理事务（款）机关服务（项）支出139.51万元，与上年相比减少54.33万元，减少28.03%。主要原因是工资政策性调整导致人员经费的减少。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2.民政管理事务（款）其他民政管理事务支出（项）支出25万元，与上年预算数相同。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3.行政事业单位养老支出（款）机关事业单位基本养老保险缴费支出（项）支出4.1万元，与上年相比增加0.04万元，增长0.99%。主要原因是工资政策性调整导致养老保险支出增加。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4.行政事业单位养老支出（款）机关事业单位职业年金缴费支出（项）支出2.05万元，与上年相比增加0.02万元，增长0.99%。主要原因是工资政策性调整导致职业年金支出增加。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（二）住房保障支出（类）</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1.住房改革支出（款）住房公积金（项）支出7.65万元，与上年相比增加0.49万元，增长6.84%。主要原因是工资政策性调整导致住房公积金支出增加。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2.住房改革支出（款）提租补贴（项）支出16.58万元，与上年相比增加1.07万元，增长6.9%。主要原因是工资政策性调整导致提租补贴支出增加。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江苏省民政信息中心2022年度财政拨款基本支出预算88.89万元，其中：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（一）人员经费83.35万元。主要包括：基本工资、津贴补贴、绩效工资、机关事业单位基本养老保险缴费、职业年金缴费、其他社会保障缴费、住房公积金、医疗费、其他工资福利支出、奖励金。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（二）公用经费5.54万元。主要包括：办公费、邮电费、差旅费、维修（护）费、工会经费。</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江苏省民政信息中心2022年一般公共预算财政拨款支出预算194.89万元，与上年相比减少52.71万元，减少21.29%。主要原因是工资政策性调整导致人员经费的减少。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江苏省民政信息中心2022年度一般公共预算财政拨款基本支出预算88.89万元，其中：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（一）人员经费83.35万元。主要包括：基本工资、津贴补贴、绩效工资、机关事业单位基本养老保险缴费、职业年金缴费、其他社会保障缴费、住房公积金、医疗费、其他工资福利支出、奖励金。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（二）公用经费5.54万元。主要包括：办公费、邮电费、差旅费、维修（护）费、工会经费。</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九、一般公共预算“三公”经费、会议费、培训费支出预算情况说明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度一般公共预算拨款安排的“三公”经费预算支出中，因公出国（境）费支出0万元，占“三公”经费的0%；公务用车购置及运行维护费支出0万元，占“三公”经费的0%；公务接待费支出1万元，占“三公”经费的100%。具体情况如下：</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2．公务用车购置及运行维护费预算支出0万元。其中：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3．公务接待费预算支出1万元，与上年预算数相同。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江苏省民政信息中心2022年度一般公共预算拨款安排的会议费预算支出6.6万元，与上年预算数相同。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江苏省民政信息中心2022年度一般公共预算拨款安排的培训费预算支出0万元，与上年预算数相同。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江苏省民政信息中心2022年政府性基金支出预算支出0万元。与上年预算数相同。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江苏省民政信息中心2022年国有资本经营预算支出0万元。与上年预算数相同。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十二、一般公共预算机关运行经费支出预算情况说明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2022年本单位一般公共预算机关运行经费预算支出0万元。与上年预算数相同。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2022年度政府采购支出预算总额0万元，其中：拟采购货物支出0万元、拟采购工程支出0万元、拟购买服务支出0万元。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1辆，其中，一般公务用车1辆、执法执勤用车0辆、特种专业技术用车0辆、业务用车0辆、其他用车0辆等。单价50万元（含）以上的通用设备0台（套），单价100万元（含）以上的专用设备0台（套）。</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十五、预算绩效目标设置情况说明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2022年度，本单位整体支出纳入绩效目标管理，涉及四本预算资金106万元；本单位共2个项目纳入绩效目标管理，涉及四本预算资金合计106万元，占四本预算资金(基本支出除外)总额的比例为100%。</w:t>
      </w: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w:t>
      </w:r>
      <w:r>
        <w:rPr>
          <w:rFonts w:ascii="仿宋" w:hAnsi="仿宋" w:eastAsia="仿宋" w:cs="仿宋"/>
          <w:b/>
        </w:rPr>
        <w:t>：</w:t>
      </w:r>
      <w:r>
        <w:rPr>
          <w:rFonts w:hint="eastAsia" w:ascii="仿宋" w:hAnsi="仿宋" w:eastAsia="仿宋" w:cs="仿宋"/>
        </w:rPr>
        <w:t>单位从同级财政部门取得的各类财政拨款，包括一般公共预算拨款、政府性基金预算拨款、国有资本经营预算拨款。</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二、财政专户管理资金</w:t>
      </w:r>
      <w:r>
        <w:rPr>
          <w:rFonts w:ascii="仿宋" w:hAnsi="仿宋" w:eastAsia="仿宋" w:cs="仿宋"/>
          <w:b/>
        </w:rPr>
        <w:t>：</w:t>
      </w:r>
      <w:r>
        <w:rPr>
          <w:rFonts w:hint="eastAsia" w:ascii="仿宋" w:hAnsi="仿宋" w:eastAsia="仿宋" w:cs="仿宋"/>
        </w:rPr>
        <w:t>缴入财政专户、实行专项管理的高中以上学费、住宿费、高校委托培养费、函大、电大、夜大及短训班培训费等教育收费。</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三、单位资金</w:t>
      </w:r>
      <w:r>
        <w:rPr>
          <w:rFonts w:ascii="仿宋" w:hAnsi="仿宋" w:eastAsia="仿宋" w:cs="仿宋"/>
          <w:b/>
        </w:rPr>
        <w:t>：</w:t>
      </w:r>
      <w:r>
        <w:rPr>
          <w:rFonts w:hint="eastAsia" w:ascii="仿宋" w:hAnsi="仿宋" w:eastAsia="仿宋" w:cs="仿宋"/>
        </w:rPr>
        <w:t>除财政拨款收入和财政专户管理资金以外的收入，包括事业收入（不含教育收费）、上级补助收入、附属单位上缴收入、事业单位经营收入及其他收入（包含债务收入、投资收益等）。</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四、基本支出</w:t>
      </w:r>
      <w:r>
        <w:rPr>
          <w:rFonts w:ascii="仿宋" w:hAnsi="仿宋" w:eastAsia="仿宋" w:cs="仿宋"/>
          <w:b/>
        </w:rPr>
        <w:t>：</w:t>
      </w:r>
      <w:r>
        <w:rPr>
          <w:rFonts w:hint="eastAsia" w:ascii="仿宋" w:hAnsi="仿宋" w:eastAsia="仿宋" w:cs="仿宋"/>
        </w:rPr>
        <w:t>指为保障机构正常运转、完成工作任务而发生的人员支出和公用支出。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五、项目支出</w:t>
      </w:r>
      <w:r>
        <w:rPr>
          <w:rFonts w:ascii="仿宋" w:hAnsi="仿宋" w:eastAsia="仿宋" w:cs="仿宋"/>
          <w:b/>
        </w:rPr>
        <w:t>：</w:t>
      </w:r>
      <w:r>
        <w:rPr>
          <w:rFonts w:hint="eastAsia" w:ascii="仿宋" w:hAnsi="仿宋" w:eastAsia="仿宋" w:cs="仿宋"/>
        </w:rPr>
        <w:t>指在基本支出之外为完成特定工作任务和事业发展目标所发生的支出。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八、社会保障和就业支出(类)民政管理事务(款)机关服务(项)</w:t>
      </w:r>
      <w:r>
        <w:rPr>
          <w:rFonts w:ascii="仿宋" w:hAnsi="仿宋" w:eastAsia="仿宋" w:cs="仿宋"/>
          <w:b/>
        </w:rPr>
        <w:t>：</w:t>
      </w:r>
      <w:r>
        <w:rPr>
          <w:rFonts w:hint="eastAsia" w:ascii="仿宋" w:hAnsi="仿宋" w:eastAsia="仿宋" w:cs="仿宋"/>
        </w:rPr>
        <w:t>反映为行政单位（包括实行公务员管理的事业单位）提供后勤服务的各类后勤服务中心、医务室等附属事业单位的支出。其他事业单位的支出，凡单独设置了项级科目的，在单独设置的项级科目中反映。未单设项级科目的，在“其他”项级科目中反映。</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九、社会保障和就业支出(类)民政管理事务(款)其他民政管理事务支出(项)</w:t>
      </w:r>
      <w:r>
        <w:rPr>
          <w:rFonts w:ascii="仿宋" w:hAnsi="仿宋" w:eastAsia="仿宋" w:cs="仿宋"/>
          <w:b/>
        </w:rPr>
        <w:t>：</w:t>
      </w:r>
      <w:r>
        <w:rPr>
          <w:rFonts w:hint="eastAsia" w:ascii="仿宋" w:hAnsi="仿宋" w:eastAsia="仿宋" w:cs="仿宋"/>
        </w:rPr>
        <w:t>反映除上述项目以外其他用于民政管理事务的支出。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pgSz w:w="11906" w:h="16838"/>
      <w:pgMar w:top="1580" w:right="820" w:bottom="770" w:left="90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Arial Unicode MS">
    <w:altName w:val="宋体"/>
    <w:panose1 w:val="020B0604020202020204"/>
    <w:charset w:val="86"/>
    <w:family w:val="auto"/>
    <w:pitch w:val="default"/>
    <w:sig w:usb0="00000000" w:usb1="00000000" w:usb2="0000003F" w:usb3="00000000" w:csb0="603F01FF" w:csb1="FFFF0000"/>
  </w:font>
  <w:font w:name="Liberation Sans">
    <w:altName w:val="宋体"/>
    <w:panose1 w:val="020B0604020202020204"/>
    <w:charset w:val="86"/>
    <w:family w:val="auto"/>
    <w:pitch w:val="default"/>
    <w:sig w:usb0="E0000AFF" w:usb1="500078FF" w:usb2="00000021" w:usb3="00000000" w:csb0="600001BF" w:csb1="DFF70000"/>
  </w:font>
  <w:font w:name="Liberation Mono">
    <w:altName w:val="宋体"/>
    <w:panose1 w:val="02070409020205020404"/>
    <w:charset w:val="86"/>
    <w:family w:val="auto"/>
    <w:pitch w:val="default"/>
    <w:sig w:usb0="E0000AFF" w:usb1="400078FF"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rPr>
        <w:rFonts w:hint="eastAsia" w:ascii="黑体" w:hAnsi="黑体" w:eastAsia="黑体" w:cs="黑体"/>
      </w:rPr>
    </w:pPr>
    <w:r>
      <w:rPr>
        <w:rFonts w:hint="eastAsia" w:ascii="黑体" w:hAnsi="黑体" w:eastAsia="黑体" w:cs="黑体"/>
        <w:color w:val="auto"/>
        <w:kern w:val="0"/>
        <w:sz w:val="18"/>
        <w:szCs w:val="18"/>
        <w:lang w:val="zh-CN" w:eastAsia="zh-CN" w:bidi="zh-CN"/>
      </w:rPr>
      <w:pict>
        <v:shape id="Quad Arrow 3073"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0" o:spid="_x0000_s1034" type="#_x0000_t202" style="position:absolute;left:0;margin-top:0pt;height:144pt;width:144pt;mso-position-horizontal:center;mso-position-horizontal-relative:margin;mso-wrap-style:none;rotation:0f;z-index:251667456;"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1" o:spid="_x0000_s1035" type="#_x0000_t202" style="position:absolute;left:0;margin-top:0pt;height:144pt;width:144pt;mso-position-horizontal:center;mso-position-horizontal-relative:margin;mso-wrap-style:none;rotation:0f;z-index:25166848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2" o:spid="_x0000_s1036" type="#_x0000_t202" style="position:absolute;left:0;margin-top:0pt;height:144pt;width:144pt;mso-position-horizontal:center;mso-position-horizontal-relative:margin;mso-wrap-style:none;rotation:0f;z-index:25166950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3" o:spid="_x0000_s1037" type="#_x0000_t202" style="position:absolute;left:0;margin-top:0pt;height:144pt;width:144pt;mso-position-horizontal:center;mso-position-horizontal-relative:margin;mso-wrap-style:none;rotation:0f;z-index:25167052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4" o:spid="_x0000_s1038" type="#_x0000_t202" style="position:absolute;left:0;margin-top:0pt;height:144pt;width:144pt;mso-position-horizontal:center;mso-position-horizontal-relative:margin;mso-wrap-style:none;rotation:0f;z-index:251671552;"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rPr>
        <w:rFonts w:hint="eastAsia" w:ascii="黑体" w:hAnsi="黑体" w:eastAsia="黑体" w:cs="黑体"/>
      </w:rPr>
    </w:pPr>
    <w:r>
      <w:rPr>
        <w:rFonts w:hint="eastAsia" w:ascii="黑体" w:hAnsi="黑体" w:eastAsia="黑体" w:cs="黑体"/>
        <w:color w:val="auto"/>
        <w:kern w:val="0"/>
        <w:sz w:val="18"/>
        <w:szCs w:val="18"/>
        <w:lang w:val="zh-CN" w:eastAsia="zh-CN" w:bidi="zh-CN"/>
      </w:rPr>
      <w:pict>
        <v:shape id="Quad Arrow 3089" o:spid="_x0000_s1026" type="#_x0000_t202" style="position:absolute;left:0;margin-top:0pt;height:144pt;width:144pt;mso-position-horizontal:center;mso-position-horizontal-relative:margin;mso-wrap-style:none;rotation:0f;z-index:25165926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7" o:spid="_x0000_s1027" type="#_x0000_t202" style="position:absolute;left:0;margin-top:0pt;height:144pt;width:144pt;mso-position-horizontal:center;mso-position-horizontal-relative:margin;mso-wrap-style:none;rotation:0f;z-index:25166028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8" o:spid="_x0000_s1028" type="#_x0000_t202" style="position:absolute;left:0;margin-top:0pt;height:144pt;width:144pt;mso-position-horizontal:center;mso-position-horizontal-relative:margin;mso-wrap-style:none;rotation:0f;z-index:251661312;"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5" o:spid="_x0000_s1029" type="#_x0000_t202" style="position:absolute;left:0;margin-top:0pt;height:144pt;width:144pt;mso-position-horizontal:center;mso-position-horizontal-relative:margin;mso-wrap-style:none;rotation:0f;z-index:251662336;"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6" o:spid="_x0000_s1030" type="#_x0000_t202" style="position:absolute;left:0;margin-top:0pt;height:144pt;width:144pt;mso-position-horizontal:center;mso-position-horizontal-relative:margin;mso-wrap-style:none;rotation:0f;z-index:25166336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7" o:spid="_x0000_s1031" type="#_x0000_t202" style="position:absolute;left:0;margin-top:0pt;height:144pt;width:144pt;mso-position-horizontal:center;mso-position-horizontal-relative:margin;mso-wrap-style:none;rotation:0f;z-index:25166438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8" o:spid="_x0000_s1032" type="#_x0000_t202" style="position:absolute;left:0;margin-top:0pt;height:144pt;width:144pt;mso-position-horizontal:center;mso-position-horizontal-relative:margin;mso-wrap-style:none;rotation:0f;z-index:25166540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9" o:spid="_x0000_s1033" type="#_x0000_t202" style="position:absolute;left:0;margin-top:0pt;height:144pt;width:144pt;mso-position-horizontal:center;mso-position-horizontal-relative:margin;mso-wrap-style:none;rotation:0f;z-index:251666432;"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0"/>
      <w:pBdr>
        <w:bottom w:val="single" w:color="000000" w:sz="4" w:space="1"/>
      </w:pBdr>
      <w:jc w:val="both"/>
      <w:rPr>
        <w:rFonts w:hint="default" w:eastAsia="Arial Unicode MS"/>
        <w:lang w:val="en-US" w:eastAsia="zh-CN"/>
      </w:rPr>
    </w:pPr>
    <w:r>
      <w:rPr>
        <w:rFonts w:hint="eastAsia"/>
        <w:lang w:val="en-US" w:eastAsia="zh-CN"/>
      </w:rPr>
      <w:t>江苏省民政信息中心</w:t>
    </w:r>
    <w:r>
      <w:t>2022年度单位预算公开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doNotDisplayPageBoundaries w:val="1"/>
  <w:bordersDoNotSurroundHeader w:val="0"/>
  <w:bordersDoNotSurroundFooter w:val="0"/>
  <w:documentProtection w:enforcement="0"/>
  <w:defaultTabStop w:val="0"/>
  <w:drawingGridHorizontalSpacing w:val="0"/>
  <w:displayHorizontalDrawingGridEvery w:val="1"/>
  <w:displayVerticalDrawingGridEvery w:val="1"/>
  <w:noPunctuationKerning w:val="1"/>
  <w:characterSpacingControl w:val="doNotCompress"/>
  <w:compat>
    <w:spaceForUL/>
    <w:doNotLeaveBackslashAlone/>
    <w:ulTrailSpace/>
    <w:doNotExpandShiftReturn/>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annotation subject"/>
    <w:lsdException w:unhideWhenUsed="0" w:uiPriority="0" w:semiHidden="0" w:name="Balloon Text"/>
  </w:latentStyles>
  <w:style w:type="paragraph" w:default="1" w:styleId="1">
    <w:name w:val="Normal"/>
    <w:qFormat/>
    <w:uiPriority w:val="1"/>
    <w:pPr>
      <w:widowControl w:val="0"/>
      <w:suppressAutoHyphens/>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paragraph" w:customStyle="1" w:styleId="13">
    <w:name w:val="标题样式"/>
    <w:basedOn w:val="1"/>
    <w:next w:val="8"/>
    <w:qFormat/>
    <w:uiPriority w:val="0"/>
    <w:pPr>
      <w:keepNext/>
      <w:spacing w:before="240" w:after="120"/>
    </w:pPr>
    <w:rPr>
      <w:rFonts w:ascii="Liberation Sans" w:hAnsi="Liberation Sans"/>
      <w:sz w:val="28"/>
      <w:szCs w:val="28"/>
    </w:rPr>
  </w:style>
  <w:style w:type="paragraph" w:customStyle="1" w:styleId="14">
    <w:name w:val="索引"/>
    <w:basedOn w:val="1"/>
    <w:qFormat/>
    <w:uiPriority w:val="0"/>
    <w:pPr>
      <w:suppressLineNumbers/>
    </w:pPr>
  </w:style>
  <w:style w:type="paragraph" w:customStyle="1" w:styleId="15">
    <w:name w:val="页眉与页脚"/>
    <w:basedOn w:val="1"/>
    <w:qFormat/>
    <w:uiPriority w:val="0"/>
  </w:style>
  <w:style w:type="paragraph" w:customStyle="1" w:styleId="16">
    <w:name w:val="List Paragraph"/>
    <w:basedOn w:val="1"/>
    <w:qFormat/>
    <w:uiPriority w:val="1"/>
    <w:pPr>
      <w:ind w:left="2039" w:hanging="782"/>
    </w:pPr>
  </w:style>
  <w:style w:type="paragraph" w:customStyle="1" w:styleId="17">
    <w:name w:val="Table Paragraph"/>
    <w:basedOn w:val="1"/>
    <w:qFormat/>
    <w:uiPriority w:val="1"/>
    <w:rPr>
      <w:rFonts w:ascii="宋体" w:hAnsi="宋体" w:eastAsia="宋体" w:cs="宋体"/>
    </w:rPr>
  </w:style>
  <w:style w:type="paragraph" w:customStyle="1" w:styleId="18">
    <w:name w:val="表格内容"/>
    <w:basedOn w:val="1"/>
    <w:qFormat/>
    <w:uiPriority w:val="0"/>
    <w:pPr>
      <w:suppressLineNumbers/>
    </w:pPr>
  </w:style>
  <w:style w:type="paragraph" w:customStyle="1" w:styleId="19">
    <w:name w:val="表格标题"/>
    <w:basedOn w:val="18"/>
    <w:qFormat/>
    <w:uiPriority w:val="0"/>
    <w:pPr>
      <w:jc w:val="center"/>
    </w:pPr>
    <w:rPr>
      <w:b/>
      <w:bCs/>
    </w:rPr>
  </w:style>
  <w:style w:type="paragraph" w:customStyle="1" w:styleId="20">
    <w:name w:val="预格式化的文本"/>
    <w:basedOn w:val="1"/>
    <w:qFormat/>
    <w:uiPriority w:val="0"/>
    <w:rPr>
      <w:rFonts w:ascii="Liberation Mono" w:hAnsi="Liberation Mono" w:eastAsia="新宋体" w:cs="Liberation Mono"/>
      <w:sz w:val="20"/>
      <w:szCs w:val="20"/>
    </w:rPr>
  </w:style>
  <w:style w:type="character" w:customStyle="1" w:styleId="21">
    <w:name w:val="编号符号"/>
    <w:qFormat/>
    <w:uiPriority w:val="0"/>
  </w:style>
  <w:style w:type="character" w:customStyle="1" w:styleId="22">
    <w:name w:val="页眉 字符"/>
    <w:basedOn w:val="12"/>
    <w:qFormat/>
    <w:uiPriority w:val="0"/>
    <w:rPr>
      <w:rFonts w:ascii="Arial Unicode MS" w:hAnsi="Arial Unicode MS" w:eastAsia="Arial Unicode MS" w:cs="Arial Unicode MS"/>
      <w:sz w:val="18"/>
      <w:szCs w:val="18"/>
      <w:lang w:val="zh-CN" w:bidi="zh-CN"/>
    </w:rPr>
  </w:style>
  <w:style w:type="character" w:customStyle="1" w:styleId="23">
    <w:name w:val="页脚 字符"/>
    <w:basedOn w:val="12"/>
    <w:qFormat/>
    <w:uiPriority w:val="0"/>
    <w:rPr>
      <w:rFonts w:ascii="Arial Unicode MS" w:hAnsi="Arial Unicode MS" w:eastAsia="Arial Unicode MS" w:cs="Arial Unicode MS"/>
      <w:sz w:val="18"/>
      <w:szCs w:val="18"/>
      <w:lang w:val="zh-CN" w:bidi="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footer" Target="footer13.xml"/><Relationship Id="rId19" Type="http://schemas.openxmlformats.org/officeDocument/2006/relationships/footer" Target="footer14.xml"/><Relationship Id="rId2" Type="http://schemas.openxmlformats.org/officeDocument/2006/relationships/styles" Target="styles.xml"/><Relationship Id="rId20" Type="http://schemas.openxmlformats.org/officeDocument/2006/relationships/theme" Target="theme/theme1.xml"/><Relationship Id="rId21" Type="http://schemas.openxmlformats.org/officeDocument/2006/relationships/image" Target="media/image1.png"/><Relationship Id="rId22" Type="http://schemas.openxmlformats.org/officeDocument/2006/relationships/image" Target="media/image2.png"/><Relationship Id="rId23" Type="http://schemas.openxmlformats.org/officeDocument/2006/relationships/customXml" Target="../customXml/item1.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5" textRotate="1"/>
    <customShpInfo spid="_x0000_s1026" textRotate="1"/>
    <customShpInfo spid="_x0000_s1027" textRotate="1"/>
    <customShpInfo spid="_x0000_s1028" textRotate="1"/>
    <customShpInfo spid="_x0000_s1029" textRotate="1"/>
    <customShpInfo spid="_x0000_s1030" textRotate="1"/>
    <customShpInfo spid="_x0000_s1031" textRotate="1"/>
    <customShpInfo spid="_x0000_s1032" textRotate="1"/>
    <customShpInfo spid="_x0000_s1033" textRotate="1"/>
    <customShpInfo spid="_x0000_s1034" textRotate="1"/>
    <customShpInfo spid="_x0000_s1035" textRotate="1"/>
    <customShpInfo spid="_x0000_s1036" textRotate="1"/>
    <customShpInfo spid="_x0000_s1037" textRotate="1"/>
    <customShpInfo spid="_x0000_s103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23</Pages>
  <Words>3386</Words>
  <Characters>7333</Characters>
  <Lines>0</Lines>
  <Paragraphs>501</Paragraphs>
  <TotalTime>0</TotalTime>
  <ScaleCrop>false</ScaleCrop>
  <LinksUpToDate>false</LinksUpToDate>
  <CharactersWithSpaces>0</CharactersWithSpaces>
  <Application>WPS Office 个人版_9.1.0.4739_{F1E327BC-269C-435d-A152-05C5408002CA}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Administrator</cp:lastModifiedBy>
  <dcterms:modified xsi:type="dcterms:W3CDTF">2022-03-01T06:19:34Z</dcterms:modified>
  <dc:title>部门预算公开</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2052-9.1.0.4739</vt:lpwstr>
  </property>
  <property fmtid="{D5CDD505-2E9C-101B-9397-08002B2CF9AE}" pid="6" name="LastSaved">
    <vt:filetime>2021-04-15T00:00:00Z</vt:filetime>
  </property>
</Properties>
</file>