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3592" w:hRule="atLeast"/>
        </w:trPr>
        <w:tc>
          <w:tcPr>
            <w:tcW w:w="10402" w:type="dxa"/>
            <w:tcBorders>
              <w:top w:val="nil"/>
              <w:left w:val="nil"/>
              <w:bottom w:val="nil"/>
              <w:right w:val="nil"/>
            </w:tcBorders>
          </w:tcPr>
          <w:p>
            <w:pPr>
              <w:pStyle w:val="8"/>
              <w:spacing w:line="360" w:lineRule="auto"/>
              <w:rPr>
                <w:rFonts w:hint="eastAsia" w:ascii="仿宋" w:hAnsi="仿宋" w:eastAsia="仿宋" w:cs="仿宋"/>
                <w:b/>
                <w:bCs/>
                <w:color w:val="FF0000"/>
                <w:sz w:val="22"/>
                <w:szCs w:val="22"/>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945" w:hRule="atLeast"/>
        </w:trPr>
        <w:tc>
          <w:tcPr>
            <w:tcW w:w="10402" w:type="dxa"/>
            <w:tcBorders>
              <w:top w:val="nil"/>
              <w:left w:val="nil"/>
              <w:bottom w:val="nil"/>
              <w:right w:val="nil"/>
            </w:tcBorders>
            <w:vAlign w:val="top"/>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2021年度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江苏省民政厅（机关）</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单位</w:t>
      </w:r>
      <w:r>
        <w:rPr>
          <w:rFonts w:hint="eastAsia" w:ascii="黑体" w:hAnsi="黑体" w:eastAsia="黑体" w:cs="黑体"/>
          <w:b w:val="0"/>
          <w:bCs w:val="0"/>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2021</w:t>
      </w:r>
      <w:r>
        <w:rPr>
          <w:rFonts w:hint="eastAsia" w:ascii="仿宋" w:hAnsi="仿宋" w:eastAsia="仿宋" w:cs="仿宋"/>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2021年度</w:t>
      </w:r>
      <w:r>
        <w:rPr>
          <w:rFonts w:ascii="黑体" w:hAnsi="黑体" w:eastAsia="黑体" w:cs="黑体"/>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2021年度</w:t>
      </w:r>
      <w:r>
        <w:rPr>
          <w:rFonts w:ascii="黑体" w:hAnsi="黑体" w:eastAsia="黑体" w:cs="黑体"/>
        </w:rPr>
        <w:t>单位决算情况说明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bidi="ar"/>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（一）拟订全省民政事业发展政策和规划，起草有关地方性法规、规章草案和标准，并组织实施和监督检查。</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（二）拟订全省社会团体、基金会、社会服务机构等社会组织登记和监督管理办法并组织实施。依法对社会组织进行登记管理和监督检查。承担社会组织党建工作。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（三）拟订全省相关社会救助政策、标准，统筹社会救助体系建设，负责城乡居民最低生活保障、特困人员救助供养、临时救助、生活无着流浪乞讨人员救助工作。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（四）拟订全省城乡基层群众自治和社区治理办法，指导城乡社区治理体系和治理能力建设，提出加强和改进城乡基层政权建设的建议，推动基层民主政治建设。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拟订全省行政区划、行政区域界线管理和地名管理政策、标准，承担报省政府审批的行政区划设立、命名、变更和政府驻地迁移审核工作，组织指导乡镇级行政区域界线的勘定和管理工作，负责地名管理工作，负责跨市界自然地理实体命名、更名的审核工作，组织开展地名公共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（六）拟订全省婚姻管理政策并组织实施，推进婚俗改革。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（七）拟订全省殡葬管理政策、服务规范并组织实施，推进殡葬改革。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（八）拟订全省残疾人权益保护政策，统筹推进残疾人福利制度建设和康复辅具器具产业发展。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（九）统筹推进、督促指导、监督管理全省养老服务工作，拟订养老服务体系建设规划、法规、政策、标准并组织实施，承担老年人福利和特殊困难老年人救助工作，推动居家养老和社区养老服务发展。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（十）拟订全省儿童福利、孤弃儿童保障、儿童收养、儿童救助保护政策、标准，健全农村留守儿童关爱服务体系和困境儿童保障制度。指导全省儿童福利机构建设和管理。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（十一）拟订全省促进慈善事业发展政策，负责慈善信托的备案、管理，组织指导社会捐助工作。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（十二）拟订全省社会工作、志愿服务发展政策、标准和职业规范，会同有关部门推进社会工作专业人才队伍建设和志愿者队伍建设，承担志愿服务行政管理工作。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（十三）拟订全省福利彩票发行工作规定和实施办法，负责全省福利彩票管理工作，管理省级福利彩票公益金。</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（十四）完成省委、省政府交办的其他任务。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五）职能转变。强化基本民生保障职能，为困难群众、孤老孤残孤儿等特殊群体提供基本社会服务，促进资源向薄弱地区、领域、环节倾斜。积极培育社会组织、社会工作者等多元参与主体，推动搭建基层社会治理和社区公共服务平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六）与省卫生健康委员会的有关职责分工。省民政厅负责统筹推进、督促指导、监督管理全省养老服务工作，拟订养老服务体系建设规划、法规、政策、标准并组织实施，承担老年人福利和特殊困难老年人救助工作。省卫生健康委员会负责拟订应对人口老龄化、医养结合的政策措施，综合协调、督促指导、组织推进老龄事业发展，承担老年疾病防治、老年人医疗照护、老年人心理健康与关怀服务等老年健康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单位</w:t>
      </w:r>
      <w:r>
        <w:rPr>
          <w:rFonts w:hint="eastAsia" w:ascii="黑体" w:hAnsi="黑体" w:eastAsia="黑体" w:cs="黑体"/>
          <w:b w:val="0"/>
          <w:bCs w:val="0"/>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内设机构包括（一）办公室（信访办公室）。负责机关日常运转，承担信息、安全、保密、信访、政务公开、督查督办、新闻宣传等工作；承担民政信用体系建设和信息化建设工作。（二）政策法规处（行政审批处）。负责起草相关地方性法规、规章草案；承担机关有关规范性文件的合法性审查工作；承办相关行政复议和行政应诉工作；指导全省民政系统法治建设；承担民政政策理论研究和相关文稿起草工作；承担民政行业标准化建设工作。承担全省性社会组织成立、变更、注销登记，慈善组织公开募捐资格认定，建设经营性公墓的审批以及涉外收养登记工作，并限时办结。（三）社会组织管理局（社会组织执法监督局、江苏省社会组织综合党委）。拟订全省社会团体、基金会、社会服务机构等社会组织管理政策制度；按照管理权限对社会组织进行日常监管和执法监督；扶持社会组织发展，引导社会组织发挥作用；承担省社会组织党建工作；指导市县登记管理机关开展社会组织的监督管理和执法监督工作。社会组织管理局对外可称江苏省社会组织管理局（江苏省社会组织执法监督局）。（四）社会救助处。拟订全省相关社会救助规定、标准；组织城乡居民最低生活保障、特困人员救助供养和临时救助工作；组织指导申请救助家庭经济状况核对工作；承办省财政困难群众救助补助资金分配和监管工作；参与拟订医疗、住房、教育、就业、司法等救助相关办法。（五）基层政权和社区治理处。拟订全省城乡基层群众自治建设和社区治理政策；指导城乡社区治理体系和治理能力建设；指导城乡基层政权和群众性自治组织建设工作，提出加强和改进基层政权建设的建议；推动基层民主政治建设。（六）区划地名处。拟订全省行政区划、行政区域界线、地名管理办法，并组织实施；承担报省政府审批的行政区划设立、命名、变更和政府驻地迁移审核工作，组织指导乡镇级行政区域界线的勘定和管理；审核跨市界自然地理实体命名、更名，组织开展地名公共服务。（七）社会事务处。推进婚俗和殡葬改革；拟订婚姻、殡葬、残疾人权益保护、生活无着流浪乞讨人员救助管理政策；参与拟订残疾人集中就业扶持政策，指导婚姻登记机关和残疾人社会福利、殡葬服务、生活无着流浪乞讨人员救助管理机构相关工作；协调省辖市之间生活无着流浪乞讨人员救助工作；指导开展家庭暴力受害人临时庇护救助工作。（八）养老服务处。拟订全省养老服务体系建设规划、法规、政策、标准，并组织实施；承担全省老年人福利工作，拟订老年人福利补贴制度；协调推进农村留守老年人关爱服务工作；指导养老服务、老年人福利、特困人员救助供养机构管理工作；推动居家养老和社区养老服务发展。（九）儿童福利处。拟订全省儿童福利、孤弃儿童保障、儿童收养、儿童救助保护政策、标准，建立健全农村留守儿童关爱服务体系和困境儿童保障制度；指导全省儿童福利、收养登记、救助保护机构管理工作；指导全省涉外收养登记工作。（十）慈善事业促进和社会工作处。拟订全省慈善事业发展规划和政策；组织开展全省慈善宣传教育和评选表彰；负责慈善信托的备案、管理；组织指导社会捐助工作；拟订全省福利彩票管理制度，监督福利彩票的开奖和销毁，管理监督福利彩票代销行为；拟订全省社会工作、志愿服务发展政策、标准和职业规范，会同有关部门推进社会工作专业人才队伍建设和志愿者队伍建设，承担志愿服务行政管理工作。（十一）规划财务处（审计处）。拟订全省民政事业发展规划和民政基础设施建设标准；指导监督中央拨付和省级民政事业资金管理；负责机关财务工作；负责机关及直属单位国有资产管理；负责机关及直属单位内部审计工作；指导监督全省民政公共服务设施项目管理；负责全省民政统计管理工作；承担中央及省级福利彩票公益金的使用和管理。（十二）人事教育处。承担机关和直属单位的机构编制和人事管理工作；组织实施民政系统教育培训工作；组织指导全省民政行业人才队伍建设；承担民政科技管理工作；组织开展相关对外交流合作。机关党委负责机关和直属单位的党建工作。离退休干部处负责机关离退休干部工作；指导直属单位的离退休干部工作。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2021</w:t>
      </w:r>
      <w:r>
        <w:rPr>
          <w:rFonts w:hint="eastAsia" w:ascii="黑体" w:hAnsi="黑体" w:eastAsia="黑体" w:cs="黑体"/>
          <w:b w:val="0"/>
          <w:bCs w:val="0"/>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2021年，是党和国家历史上具有里程碑意义的一年，是“强富美高”新江苏现代化建设再启新篇章的一年，也是高质量现代民政建设踏上新征程的一年。全省民政系统在省委省政府的坚强领导和民政部的有力指导下，统筹抓好党史学习教育、规划编制、业务建设、疫情防控、安全生产等大事要事，各项民政工作收获了新进展、新成效，在全国重点工作综合评估中再获“优秀”等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党史学习教育激发新活力。全省民政系统党员干部坚持把“学史明理、学史增信、学史崇德、学史力行”贯穿党史学习教育全过程，在学党史中观大势，在悟思想中明大道，在办实事中惠民生，在开新局中向未来。用心深学细悟。各级民政部门领导班子示范领学，通过专题学习、交流研讨、专题党课、主题宣讲等，全面深入学习习近平总书记“七一”重要讲话精神和党的十九届六中全会精神，学习指定材料；邀请民政部高晓兵副部长作十九届六中全会精神专题辅导，教育引导民政系统党员干部弘扬伟大建党精神，赓续红色血脉。用心培根铸魂。省厅组织党员干部赴爱国主义教育基地实境教学，精心策划布置中国共产党在江苏历史展“老有颐养”主题展位，举办党史学习教育主题处长论坛、“民政回响？传承百年荣光”特色音乐党课、“马克思主义·青年说”之民政专场等活动；各地民政部门充分利用红色资源开展一系列具有民政特色、时代特点的主题活动，不断从党的百年奋斗重大成就和历史经验中汲取智慧和力量。用心惠民利民。聚焦解决群众“急难愁盼”问题，扎实推进以“六项民生实事”“八大民政专项行动”“为民服务七项改革”为主要内容的“687”实事工程，承担的6件省政府民生实事全部完成。深入开展“两在两同”建新功行动，省厅各支部与25个社区结对共建，共同开展“万名老人学用手机”等活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基本民生保障再上新台阶。省厅出台巩固拓展民政领域脱贫致富奔小康成果与乡村振兴有效衔接的实施意见，各级民政部门以实招实策抓好落实，有力服务了乡村振兴大局。困难群众基本生活得到更好保障。低保平均保障标准达到每人每月803元，同比增长4.2%；城乡特困供养人员基本生活标准分别达到每人每月1678元、1126元；实施临时救助22.82万人次，其中因疫情开展临时救助1.98万人次，为5.7万人（户）困难群众发放临时生活补助1948万元。集中供养和社会散居孤儿平均养育标准分别为每人每月2623元和1980元，向5.08万名重病重残儿童发放基本生活补贴。省定城镇、农村重度残疾人护理补贴最低标准分别提高至每人每月130元和90元。分层分类社会救助体系建设有序推进，明确低收入人口范围和认定条件，共摸排困难群众324万人，认定低保边缘家庭和支出型困难家庭25.27万人。完善“物质+服务”救助方式，丰富救助内涵，为困难群众带来更多的关心扶助。社会救助创新项目再获好评。持续开展“让善汇流、为家充电”活动，为1.2万户城乡困难家庭发放基本生活家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基本社会服务实现新提升。聚焦“一老一小”等重点群体，聚焦群众全生命周期服务需求，加强服务供给，优化服务程序，有效提升了服务品质。开启“苏适养老”服务新篇章。省政府印发“十四五”养老服务发展规划，部署构建供给高质量、普惠高水平、享老高品质的“苏适养老”服务体系。全省共建成各类养老床位74.2万张，每千名户籍老年人拥有床位数达到40.1张，机构护理型床位占比达到65%。建有社区居家养老服务站点2万个，城市街道综合性养老服务中心覆盖率达45%，290万老年人接受上门服务。建设家庭养老照护床位1.4万张。实施困难老年人家庭适老化改造3.39万户。改造提升100个标准化农村区域性养老服务中心。省政府办公厅出台综合监管实施意见，深化养老服务“放管服”改革，加强事中事后监管。争取中央预算内投资1.72亿元，新增普惠型养老项目34个；成功举办第十届江苏国际养老服务博览会。李克强总理视察天宁区居家社区养老工作。南京市率先在全国建成市级层面养老服务“时间银行”。苏州市举办“九九重阳购物节”，打造“苏颐养1号店”。新沂市推进农村敬老院体制机制改革，建设标准化农村区域性养老服务中心并由民政部门直接管理。未成年人保护责任有力落实。省、市、县三级全面建立未成年人保护工作协调机制。全省各级民政部门举办形式多样的未成年人保护法普法活动，引导全社会关注未成年人成长。全面推广“3+4+N”困境儿童常态化主动发现机制。推动儿童福利机构转型升级，共建成90家未成年人保护机构，关爱之家总数达到685个，覆盖50%以上乡镇（街道），引入600多家专业社会组织开展关爱服务。</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21"/>
        <w:widowControl w:val="0"/>
        <w:tabs>
          <w:tab w:val="left" w:pos="1609"/>
        </w:tabs>
        <w:suppressAutoHyphens/>
        <w:bidi w:val="0"/>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江苏省民政厅（机关）</w:t>
      </w:r>
    </w:p>
    <w:p>
      <w:pPr>
        <w:pStyle w:val="21"/>
        <w:widowControl w:val="0"/>
        <w:tabs>
          <w:tab w:val="left" w:pos="1609"/>
        </w:tabs>
        <w:suppressAutoHyphens/>
        <w:bidi w:val="0"/>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2021</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单位</w:t>
      </w:r>
      <w:r>
        <w:rPr>
          <w:rFonts w:ascii="宋体" w:hAnsi="宋体" w:eastAsia="宋体" w:cs="宋体"/>
          <w:b/>
          <w:sz w:val="36"/>
        </w:rPr>
        <w:t>决算表</w:t>
      </w:r>
    </w:p>
    <w:tbl>
      <w:tblPr>
        <w:tblStyle w:val="13"/>
        <w:tblW w:w="10447" w:type="dxa"/>
        <w:jc w:val="center"/>
        <w:tblInd w:w="0" w:type="dxa"/>
        <w:tblLayout w:type="fixed"/>
        <w:tblCellMar>
          <w:top w:w="0" w:type="dxa"/>
          <w:left w:w="108" w:type="dxa"/>
          <w:bottom w:w="0" w:type="dxa"/>
          <w:right w:w="108" w:type="dxa"/>
        </w:tblCellMar>
      </w:tblPr>
      <w:tblGrid>
        <w:gridCol w:w="3784"/>
        <w:gridCol w:w="1461"/>
        <w:gridCol w:w="2035"/>
        <w:gridCol w:w="1709"/>
        <w:gridCol w:w="1458"/>
      </w:tblGrid>
      <w:tr>
        <w:tblPrEx>
          <w:tblLayout w:type="fixed"/>
          <w:tblCellMar>
            <w:top w:w="0" w:type="dxa"/>
            <w:left w:w="108" w:type="dxa"/>
            <w:bottom w:w="0" w:type="dxa"/>
            <w:right w:w="108" w:type="dxa"/>
          </w:tblCellMar>
        </w:tblPrEx>
        <w:trPr>
          <w:trHeight w:val="544" w:hRule="atLeast"/>
          <w:jc w:val="center"/>
        </w:trPr>
        <w:tc>
          <w:tcPr>
            <w:tcW w:w="10447"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Layout w:type="fixed"/>
          <w:tblCellMar>
            <w:top w:w="0" w:type="dxa"/>
            <w:left w:w="108" w:type="dxa"/>
            <w:bottom w:w="0" w:type="dxa"/>
            <w:right w:w="108" w:type="dxa"/>
          </w:tblCellMar>
        </w:tblPrEx>
        <w:trPr>
          <w:trHeight w:val="348" w:hRule="atLeast"/>
          <w:jc w:val="center"/>
        </w:trPr>
        <w:tc>
          <w:tcPr>
            <w:tcW w:w="3784" w:type="dxa"/>
          </w:tcPr>
          <w:p>
            <w:pPr>
              <w:widowControl w:val="0"/>
              <w:ind w:left="0" w:right="0" w:firstLine="0"/>
              <w:jc w:val="left"/>
              <w:textAlignment w:val="auto"/>
              <w:rPr>
                <w:rFonts w:hint="eastAsia" w:ascii="仿宋" w:hAnsi="仿宋" w:eastAsia="仿宋" w:cs="仿宋"/>
                <w:color w:val="000000"/>
                <w:sz w:val="20"/>
              </w:rPr>
            </w:pPr>
          </w:p>
        </w:tc>
        <w:tc>
          <w:tcPr>
            <w:tcW w:w="1461" w:type="dxa"/>
          </w:tcPr>
          <w:p>
            <w:pPr>
              <w:widowControl w:val="0"/>
              <w:ind w:left="0" w:right="0" w:firstLine="0"/>
              <w:jc w:val="left"/>
              <w:textAlignment w:val="auto"/>
              <w:rPr>
                <w:rFonts w:hint="eastAsia" w:ascii="仿宋" w:hAnsi="仿宋" w:eastAsia="仿宋" w:cs="仿宋"/>
                <w:color w:val="000000"/>
                <w:sz w:val="20"/>
              </w:rPr>
            </w:pPr>
          </w:p>
        </w:tc>
        <w:tc>
          <w:tcPr>
            <w:tcW w:w="520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Layout w:type="fixed"/>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江苏省民政厅（机关）</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Layout w:type="fixed"/>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Layout w:type="fixed"/>
          <w:tblCellMar>
            <w:top w:w="0" w:type="dxa"/>
            <w:left w:w="108" w:type="dxa"/>
            <w:bottom w:w="0" w:type="dxa"/>
            <w:right w:w="108" w:type="dxa"/>
          </w:tblCellMar>
        </w:tblPrEx>
        <w:trPr>
          <w:trHeight w:val="39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11,335.68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3,356.00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10,283.15</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20.00</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2,223.31</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3,467.31</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14,691.68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15,993.76</w:t>
            </w: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4,960.58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3,658.50</w:t>
            </w:r>
          </w:p>
        </w:tc>
      </w:tr>
      <w:tr>
        <w:tblPrEx>
          <w:tblLayout w:type="fixed"/>
          <w:tblCellMar>
            <w:top w:w="0" w:type="dxa"/>
            <w:left w:w="108" w:type="dxa"/>
            <w:bottom w:w="0" w:type="dxa"/>
            <w:right w:w="108" w:type="dxa"/>
          </w:tblCellMar>
        </w:tblPrEx>
        <w:trPr>
          <w:trHeight w:val="383" w:hRule="atLeast"/>
          <w:jc w:val="center"/>
        </w:trPr>
        <w:tc>
          <w:tcPr>
            <w:tcW w:w="3784"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46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44"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45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r>
      <w:tr>
        <w:tblPrEx>
          <w:tblLayout w:type="fixed"/>
          <w:tblCellMar>
            <w:top w:w="0" w:type="dxa"/>
            <w:left w:w="108" w:type="dxa"/>
            <w:bottom w:w="0" w:type="dxa"/>
            <w:right w:w="108" w:type="dxa"/>
          </w:tblCellMar>
        </w:tblPrEx>
        <w:trPr>
          <w:cantSplit/>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19,652.27</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19,652.27</w:t>
            </w:r>
          </w:p>
        </w:tc>
      </w:tr>
    </w:tbl>
    <w:p>
      <w:pPr>
        <w:widowControl w:val="0"/>
        <w:suppressAutoHyphens/>
        <w:bidi w:val="0"/>
        <w:spacing w:before="66" w:after="0"/>
        <w:ind w:left="0" w:leftChars="0" w:right="0" w:rightChars="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pPr>
        <w:widowControl w:val="0"/>
        <w:suppressAutoHyphens/>
        <w:bidi w:val="0"/>
        <w:spacing w:before="66" w:after="0"/>
        <w:ind w:right="0"/>
        <w:jc w:val="both"/>
        <w:rPr>
          <w:rFonts w:hint="eastAsia" w:ascii="仿宋" w:hAnsi="仿宋" w:eastAsia="仿宋" w:cs="仿宋"/>
          <w:b w:val="0"/>
          <w:bCs w:val="0"/>
          <w:color w:val="000000"/>
          <w:sz w:val="22"/>
          <w:szCs w:val="22"/>
        </w:rPr>
        <w:sectPr>
          <w:footerReference r:id="rId7"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39" w:type="dxa"/>
        <w:jc w:val="center"/>
        <w:tblInd w:w="0" w:type="dxa"/>
        <w:tblLayout w:type="fixed"/>
        <w:tblCellMar>
          <w:top w:w="0" w:type="dxa"/>
          <w:left w:w="108" w:type="dxa"/>
          <w:bottom w:w="0" w:type="dxa"/>
          <w:right w:w="108" w:type="dxa"/>
        </w:tblCellMar>
      </w:tblPr>
      <w:tblGrid>
        <w:gridCol w:w="1115"/>
        <w:gridCol w:w="2925"/>
        <w:gridCol w:w="1592"/>
        <w:gridCol w:w="1604"/>
        <w:gridCol w:w="1565"/>
        <w:gridCol w:w="1396"/>
        <w:gridCol w:w="1578"/>
        <w:gridCol w:w="1174"/>
        <w:gridCol w:w="1277"/>
        <w:gridCol w:w="1213"/>
      </w:tblGrid>
      <w:tr>
        <w:tblPrEx>
          <w:tblLayout w:type="fixed"/>
          <w:tblCellMar>
            <w:top w:w="0" w:type="dxa"/>
            <w:left w:w="108" w:type="dxa"/>
            <w:bottom w:w="0" w:type="dxa"/>
            <w:right w:w="108" w:type="dxa"/>
          </w:tblCellMar>
        </w:tblPrEx>
        <w:trPr>
          <w:trHeight w:val="627" w:hRule="atLeast"/>
          <w:jc w:val="center"/>
        </w:trPr>
        <w:tc>
          <w:tcPr>
            <w:tcW w:w="15439"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Layout w:type="fixed"/>
          <w:tblCellMar>
            <w:top w:w="0" w:type="dxa"/>
            <w:left w:w="108" w:type="dxa"/>
            <w:bottom w:w="0" w:type="dxa"/>
            <w:right w:w="108" w:type="dxa"/>
          </w:tblCellMar>
        </w:tblPrEx>
        <w:trPr>
          <w:trHeight w:val="314" w:hRule="atLeast"/>
          <w:jc w:val="center"/>
        </w:trPr>
        <w:tc>
          <w:tcPr>
            <w:tcW w:w="4040" w:type="dxa"/>
            <w:gridSpan w:val="2"/>
            <w:vAlign w:val="center"/>
          </w:tcPr>
          <w:p>
            <w:pPr>
              <w:pStyle w:val="22"/>
              <w:widowControl w:val="0"/>
              <w:jc w:val="center"/>
              <w:rPr>
                <w:rFonts w:hint="eastAsia" w:ascii="仿宋" w:hAnsi="仿宋" w:eastAsia="仿宋" w:cs="仿宋"/>
              </w:rPr>
            </w:pPr>
          </w:p>
        </w:tc>
        <w:tc>
          <w:tcPr>
            <w:tcW w:w="1592" w:type="dxa"/>
            <w:vAlign w:val="center"/>
          </w:tcPr>
          <w:p>
            <w:pPr>
              <w:pStyle w:val="22"/>
              <w:widowControl w:val="0"/>
              <w:jc w:val="center"/>
              <w:rPr>
                <w:rFonts w:hint="eastAsia" w:ascii="仿宋" w:hAnsi="仿宋" w:eastAsia="仿宋" w:cs="仿宋"/>
              </w:rPr>
            </w:pPr>
          </w:p>
        </w:tc>
        <w:tc>
          <w:tcPr>
            <w:tcW w:w="1604" w:type="dxa"/>
            <w:vAlign w:val="center"/>
          </w:tcPr>
          <w:p>
            <w:pPr>
              <w:pStyle w:val="22"/>
              <w:widowControl w:val="0"/>
              <w:jc w:val="center"/>
              <w:rPr>
                <w:rFonts w:hint="eastAsia" w:ascii="仿宋" w:hAnsi="仿宋" w:eastAsia="仿宋" w:cs="仿宋"/>
              </w:rPr>
            </w:pPr>
          </w:p>
        </w:tc>
        <w:tc>
          <w:tcPr>
            <w:tcW w:w="1565" w:type="dxa"/>
            <w:vAlign w:val="center"/>
          </w:tcPr>
          <w:p>
            <w:pPr>
              <w:pStyle w:val="22"/>
              <w:widowControl w:val="0"/>
              <w:jc w:val="center"/>
              <w:rPr>
                <w:rFonts w:hint="eastAsia" w:ascii="仿宋" w:hAnsi="仿宋" w:eastAsia="仿宋" w:cs="仿宋"/>
              </w:rPr>
            </w:pPr>
          </w:p>
        </w:tc>
        <w:tc>
          <w:tcPr>
            <w:tcW w:w="2974" w:type="dxa"/>
            <w:gridSpan w:val="2"/>
            <w:vAlign w:val="center"/>
          </w:tcPr>
          <w:p>
            <w:pPr>
              <w:pStyle w:val="22"/>
              <w:widowControl w:val="0"/>
              <w:jc w:val="center"/>
              <w:rPr>
                <w:rFonts w:hint="eastAsia" w:ascii="仿宋" w:hAnsi="仿宋" w:eastAsia="仿宋" w:cs="仿宋"/>
              </w:rPr>
            </w:pPr>
          </w:p>
        </w:tc>
        <w:tc>
          <w:tcPr>
            <w:tcW w:w="1174" w:type="dxa"/>
            <w:vAlign w:val="center"/>
          </w:tcPr>
          <w:p>
            <w:pPr>
              <w:pStyle w:val="22"/>
              <w:widowControl w:val="0"/>
              <w:jc w:val="center"/>
              <w:rPr>
                <w:rFonts w:hint="eastAsia" w:ascii="仿宋" w:hAnsi="仿宋" w:eastAsia="仿宋" w:cs="仿宋"/>
              </w:rPr>
            </w:pPr>
          </w:p>
        </w:tc>
        <w:tc>
          <w:tcPr>
            <w:tcW w:w="249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2949"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249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404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5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0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565"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1396"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财政专户管理教育收费</w:t>
            </w:r>
          </w:p>
        </w:tc>
        <w:tc>
          <w:tcPr>
            <w:tcW w:w="1578"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17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27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220" w:hRule="atLeast"/>
          <w:jc w:val="center"/>
        </w:trPr>
        <w:tc>
          <w:tcPr>
            <w:tcW w:w="111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9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5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0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65"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96"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578"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17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27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21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40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59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14,691.68</w:t>
            </w:r>
          </w:p>
        </w:tc>
        <w:tc>
          <w:tcPr>
            <w:tcW w:w="160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14,691.68</w:t>
            </w:r>
          </w:p>
        </w:tc>
        <w:tc>
          <w:tcPr>
            <w:tcW w:w="156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39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7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1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27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213"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8,867.57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8,867.57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民政管理事务</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7,847.39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7,847.39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行政运行</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4,980.19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4,980.19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一般行政管理事务</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2080299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其他民政管理事务支出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1,787.20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1,787.20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520.18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520.18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240.80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240.80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120.40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120.40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158.98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158.98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20820</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临时救助</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2082001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临时救助支出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2,223.31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2,223.31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住房改革支出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2,223.31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2,223.31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住房公积金</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474.74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474.74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提租补贴</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1,748.57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1,748.57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3,600.80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3,600.80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22960</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彩票公益金安排的支出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3,356.00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3,356.00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2296002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用于社会福利的彩票公益金支出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3,356.00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3,356.00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244.80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244.80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2299999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244.80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244.80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pPr>
        <w:widowControl w:val="0"/>
        <w:suppressAutoHyphens/>
        <w:bidi w:val="0"/>
        <w:spacing w:before="66" w:after="0"/>
        <w:ind w:left="57" w:right="0" w:firstLine="220" w:firstLineChars="100"/>
        <w:jc w:val="both"/>
        <w:rPr>
          <w:rFonts w:hint="eastAsia" w:ascii="仿宋" w:hAnsi="仿宋" w:eastAsia="仿宋" w:cs="仿宋"/>
          <w:b w:val="0"/>
          <w:bCs w:val="0"/>
          <w:sz w:val="22"/>
          <w:szCs w:val="22"/>
        </w:rPr>
        <w:sectPr>
          <w:footerReference r:id="rId8"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4183"/>
        <w:gridCol w:w="2011"/>
        <w:gridCol w:w="1486"/>
        <w:gridCol w:w="1564"/>
        <w:gridCol w:w="1593"/>
        <w:gridCol w:w="1472"/>
        <w:gridCol w:w="1482"/>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Layout w:type="fixed"/>
          <w:tblCellMar>
            <w:top w:w="55" w:type="dxa"/>
            <w:left w:w="55" w:type="dxa"/>
            <w:bottom w:w="55" w:type="dxa"/>
            <w:right w:w="55" w:type="dxa"/>
          </w:tblCellMar>
        </w:tblPrEx>
        <w:trPr>
          <w:trHeight w:val="321" w:hRule="atLeast"/>
        </w:trPr>
        <w:tc>
          <w:tcPr>
            <w:tcW w:w="5739" w:type="dxa"/>
            <w:gridSpan w:val="2"/>
            <w:vAlign w:val="center"/>
          </w:tcPr>
          <w:p>
            <w:pPr>
              <w:pStyle w:val="22"/>
              <w:widowControl w:val="0"/>
              <w:jc w:val="center"/>
              <w:rPr>
                <w:rFonts w:hint="eastAsia" w:ascii="仿宋" w:hAnsi="仿宋" w:eastAsia="仿宋" w:cs="仿宋"/>
              </w:rPr>
            </w:pPr>
          </w:p>
        </w:tc>
        <w:tc>
          <w:tcPr>
            <w:tcW w:w="2011" w:type="dxa"/>
            <w:vAlign w:val="center"/>
          </w:tcPr>
          <w:p>
            <w:pPr>
              <w:pStyle w:val="22"/>
              <w:widowControl w:val="0"/>
              <w:spacing w:before="0" w:after="0"/>
              <w:ind w:firstLine="0"/>
              <w:jc w:val="center"/>
              <w:rPr>
                <w:rFonts w:hint="eastAsia" w:ascii="仿宋" w:hAnsi="仿宋" w:eastAsia="仿宋" w:cs="仿宋"/>
                <w:sz w:val="20"/>
              </w:rPr>
            </w:pPr>
          </w:p>
        </w:tc>
        <w:tc>
          <w:tcPr>
            <w:tcW w:w="1486" w:type="dxa"/>
            <w:vAlign w:val="center"/>
          </w:tcPr>
          <w:p>
            <w:pPr>
              <w:pStyle w:val="22"/>
              <w:widowControl w:val="0"/>
              <w:spacing w:before="0" w:after="0"/>
              <w:ind w:firstLine="0"/>
              <w:jc w:val="center"/>
              <w:rPr>
                <w:rFonts w:hint="eastAsia" w:ascii="仿宋" w:hAnsi="仿宋" w:eastAsia="仿宋" w:cs="仿宋"/>
                <w:sz w:val="20"/>
              </w:rPr>
            </w:pPr>
          </w:p>
        </w:tc>
        <w:tc>
          <w:tcPr>
            <w:tcW w:w="1564" w:type="dxa"/>
            <w:vAlign w:val="center"/>
          </w:tcPr>
          <w:p>
            <w:pPr>
              <w:pStyle w:val="22"/>
              <w:widowControl w:val="0"/>
              <w:spacing w:before="0" w:after="0"/>
              <w:ind w:firstLine="0"/>
              <w:jc w:val="center"/>
              <w:rPr>
                <w:rFonts w:hint="eastAsia" w:ascii="仿宋" w:hAnsi="仿宋" w:eastAsia="仿宋" w:cs="仿宋"/>
                <w:sz w:val="20"/>
              </w:rPr>
            </w:pPr>
          </w:p>
        </w:tc>
        <w:tc>
          <w:tcPr>
            <w:tcW w:w="1593" w:type="dxa"/>
            <w:vAlign w:val="center"/>
          </w:tcPr>
          <w:p>
            <w:pPr>
              <w:pStyle w:val="22"/>
              <w:widowControl w:val="0"/>
              <w:spacing w:before="0" w:after="0"/>
              <w:ind w:firstLine="0"/>
              <w:jc w:val="center"/>
              <w:rPr>
                <w:rFonts w:hint="eastAsia" w:ascii="仿宋" w:hAnsi="仿宋" w:eastAsia="仿宋" w:cs="仿宋"/>
                <w:sz w:val="20"/>
              </w:rPr>
            </w:pPr>
          </w:p>
        </w:tc>
        <w:tc>
          <w:tcPr>
            <w:tcW w:w="2954"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393"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2954"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573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011"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486"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56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593"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472"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82"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37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418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011"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86"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56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593"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72"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82"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573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201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15,993.76</w:t>
            </w:r>
          </w:p>
        </w:tc>
        <w:tc>
          <w:tcPr>
            <w:tcW w:w="148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7,598.23</w:t>
            </w:r>
          </w:p>
        </w:tc>
        <w:tc>
          <w:tcPr>
            <w:tcW w:w="15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8,395.54</w:t>
            </w:r>
          </w:p>
        </w:tc>
        <w:tc>
          <w:tcPr>
            <w:tcW w:w="159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7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82"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10,283.15</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5,374.92</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4,908.23</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民政管理事务</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9,265.03</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4,856.80</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4,408.23</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行政运行</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4,856.80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4,856.80</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一般行政管理事务</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1,042.89</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1,042.89</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其他民政管理事务支出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3,365.34</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3,365.34</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518.12</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518.12</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240.80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240.80</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120.40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120.40</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其他行政事业单位养老支出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156.92</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156.92</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20820</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临时救助</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2082001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临时救助支出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500.00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商业服务业等支出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21699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其他商业服务业等支出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2169901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服务业基础设施建设</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2,223.31</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2,223.31</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2,223.31</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2,223.31</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474.74</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474.74</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1,748.57</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1,748.57</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3,467.31</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3,467.31</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22960</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彩票公益金安排的支出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3,279.67</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3,279.67</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2296002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用于社会福利的彩票公益金支出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3,279.67</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3,279.67</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187.64</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187.64</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187.64</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187.64</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pPr>
        <w:widowControl w:val="0"/>
        <w:suppressAutoHyphens/>
        <w:bidi w:val="0"/>
        <w:spacing w:before="59" w:after="0"/>
        <w:ind w:left="57" w:right="0" w:firstLine="0"/>
        <w:jc w:val="left"/>
        <w:rPr>
          <w:rFonts w:hint="eastAsia" w:ascii="仿宋" w:hAnsi="仿宋" w:eastAsia="仿宋" w:cs="仿宋"/>
          <w:b w:val="0"/>
          <w:bCs w:val="0"/>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Layout w:type="fixed"/>
          <w:tblCellMar>
            <w:top w:w="55" w:type="dxa"/>
            <w:left w:w="55" w:type="dxa"/>
            <w:bottom w:w="55" w:type="dxa"/>
            <w:right w:w="55" w:type="dxa"/>
          </w:tblCellMar>
        </w:tblPrEx>
        <w:trPr>
          <w:trHeight w:val="319" w:hRule="atLeast"/>
        </w:trPr>
        <w:tc>
          <w:tcPr>
            <w:tcW w:w="15372" w:type="dxa"/>
            <w:gridSpan w:val="10"/>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Layout w:type="fixed"/>
          <w:tblCellMar>
            <w:top w:w="55" w:type="dxa"/>
            <w:left w:w="55" w:type="dxa"/>
            <w:bottom w:w="55" w:type="dxa"/>
            <w:right w:w="55" w:type="dxa"/>
          </w:tblCellMar>
        </w:tblPrEx>
        <w:trPr>
          <w:trHeight w:val="319" w:hRule="atLeast"/>
        </w:trPr>
        <w:tc>
          <w:tcPr>
            <w:tcW w:w="5562"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635" w:type="dxa"/>
            <w:gridSpan w:val="2"/>
          </w:tcPr>
          <w:p>
            <w:pPr>
              <w:pStyle w:val="22"/>
              <w:widowControl w:val="0"/>
              <w:rPr>
                <w:rFonts w:hint="eastAsia" w:ascii="仿宋" w:hAnsi="仿宋" w:eastAsia="仿宋" w:cs="仿宋"/>
                <w:sz w:val="20"/>
              </w:rPr>
            </w:pPr>
          </w:p>
        </w:tc>
        <w:tc>
          <w:tcPr>
            <w:tcW w:w="1194" w:type="dxa"/>
          </w:tcPr>
          <w:p>
            <w:pPr>
              <w:pStyle w:val="22"/>
              <w:widowControl w:val="0"/>
              <w:rPr>
                <w:rFonts w:hint="eastAsia" w:ascii="仿宋" w:hAnsi="仿宋" w:eastAsia="仿宋" w:cs="仿宋"/>
                <w:sz w:val="20"/>
              </w:rPr>
            </w:pP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151"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江苏省民政厅（机关）</w:t>
            </w: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11,335.68</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3,356.00</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10,283.15</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10,283.15</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2,223.31</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2,223.31</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3,467.31</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3,279.67</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14,691.68</w:t>
            </w:r>
          </w:p>
        </w:tc>
        <w:tc>
          <w:tcPr>
            <w:tcW w:w="3667"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15,993.76</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12,714.10</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3,279.67</w:t>
            </w: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4,949.66</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3,647.58</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3,498.22</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149.36</w:t>
            </w: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4,876.63</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73.03</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19,641.34</w:t>
            </w:r>
          </w:p>
        </w:tc>
        <w:tc>
          <w:tcPr>
            <w:tcW w:w="366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19,641.34</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16,212.31</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3,429.03</w:t>
            </w: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pPr>
        <w:jc w:val="both"/>
        <w:rPr>
          <w:rFonts w:hint="eastAsia" w:ascii="仿宋" w:hAnsi="仿宋" w:eastAsia="仿宋" w:cs="仿宋"/>
          <w:b w:val="0"/>
          <w:bCs w:val="0"/>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Layout w:type="fixed"/>
          <w:tblCellMar>
            <w:top w:w="55" w:type="dxa"/>
            <w:left w:w="55" w:type="dxa"/>
            <w:bottom w:w="55" w:type="dxa"/>
            <w:right w:w="55" w:type="dxa"/>
          </w:tblCellMar>
        </w:tblPrEx>
        <w:trPr>
          <w:trHeight w:val="321" w:hRule="atLeast"/>
        </w:trPr>
        <w:tc>
          <w:tcPr>
            <w:tcW w:w="15417"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Layout w:type="fixed"/>
          <w:tblCellMar>
            <w:top w:w="55" w:type="dxa"/>
            <w:left w:w="55" w:type="dxa"/>
            <w:bottom w:w="55" w:type="dxa"/>
            <w:right w:w="55" w:type="dxa"/>
          </w:tblCellMar>
        </w:tblPrEx>
        <w:trPr>
          <w:trHeight w:val="321" w:hRule="atLeast"/>
        </w:trPr>
        <w:tc>
          <w:tcPr>
            <w:tcW w:w="6300" w:type="dxa"/>
            <w:gridSpan w:val="2"/>
          </w:tcPr>
          <w:p>
            <w:pPr>
              <w:pStyle w:val="22"/>
              <w:widowControl w:val="0"/>
              <w:rPr>
                <w:rFonts w:hint="eastAsia" w:ascii="仿宋" w:hAnsi="仿宋" w:eastAsia="仿宋" w:cs="仿宋"/>
                <w:sz w:val="20"/>
              </w:rPr>
            </w:pPr>
          </w:p>
        </w:tc>
        <w:tc>
          <w:tcPr>
            <w:tcW w:w="3184" w:type="dxa"/>
          </w:tcPr>
          <w:p>
            <w:pPr>
              <w:pStyle w:val="22"/>
              <w:widowControl w:val="0"/>
              <w:rPr>
                <w:rFonts w:hint="eastAsia" w:ascii="仿宋" w:hAnsi="仿宋" w:eastAsia="仿宋" w:cs="仿宋"/>
                <w:sz w:val="27"/>
              </w:rPr>
            </w:pPr>
          </w:p>
        </w:tc>
        <w:tc>
          <w:tcPr>
            <w:tcW w:w="593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300"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3184"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15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15,993.76</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7,598.23</w:t>
            </w:r>
          </w:p>
        </w:tc>
        <w:tc>
          <w:tcPr>
            <w:tcW w:w="315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8,395.54</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10,283.15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5,374.92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4,908.23</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民政管理事务</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9,265.03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4,856.80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4,408.23</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行政运行</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4,856.80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4,856.80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一般行政管理事务</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1,042.89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1,042.89</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2080299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其他民政管理事务支出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3,365.34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3,365.34</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518.12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518.12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240.80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240.80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120.40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120.40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156.92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156.92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20820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临时救助</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2082001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临时救助支出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商业服务业等支出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21699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其他商业服务业等支出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2169901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服务业基础设施建设</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2,223.31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2,223.31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2,223.31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2,223.31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474.74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474.74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1,748.57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1,748.57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3,467.31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3,467.31</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22960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彩票公益金安排的支出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3,279.67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3,279.67</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2296002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用于社会福利的彩票公益金支出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3,279.67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3,279.67</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187.64</w:t>
            </w:r>
          </w:p>
        </w:tc>
      </w:tr>
    </w:tbl>
    <w:p>
      <w:pPr>
        <w:widowControl w:val="0"/>
        <w:tabs>
          <w:tab w:val="left" w:pos="0"/>
        </w:tabs>
        <w:suppressAutoHyphens/>
        <w:bidi w:val="0"/>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Layout w:type="fixed"/>
          <w:tblCellMar>
            <w:top w:w="55" w:type="dxa"/>
            <w:left w:w="55" w:type="dxa"/>
            <w:bottom w:w="55" w:type="dxa"/>
            <w:right w:w="55" w:type="dxa"/>
          </w:tblCellMar>
        </w:tblPrEx>
        <w:trPr>
          <w:trHeight w:val="319" w:hRule="atLeast"/>
        </w:trPr>
        <w:tc>
          <w:tcPr>
            <w:tcW w:w="10515"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532"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619"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江苏省民政厅（机关）</w:t>
            </w: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7,598.23</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6,848.86</w:t>
            </w:r>
          </w:p>
        </w:tc>
        <w:tc>
          <w:tcPr>
            <w:tcW w:w="189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749.37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5,434.28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5,434.28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667.85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667.85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1,877.17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1,877.17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2,095.24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2,095.24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194.08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194.08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94.13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502.95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502.95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749.37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749.37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64.58</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40.66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122.57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122.57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46.34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0.21</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4.45</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70.47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26.19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26.19</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153.83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70.56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70.56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207.75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207.75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750.38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750.38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 w:val="left" w:pos="10780"/>
        </w:tabs>
        <w:suppressAutoHyphens/>
        <w:bidi w:val="0"/>
        <w:spacing w:before="25" w:after="0" w:line="290" w:lineRule="auto"/>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pPr>
        <w:widowControl w:val="0"/>
        <w:numPr>
          <w:ilvl w:val="0"/>
          <w:numId w:val="0"/>
        </w:numPr>
        <w:suppressAutoHyphens/>
        <w:bidi w:val="0"/>
        <w:spacing w:before="0" w:after="0" w:line="255" w:lineRule="exact"/>
        <w:jc w:val="both"/>
        <w:rPr>
          <w:rFonts w:hint="eastAsia" w:ascii="仿宋" w:hAnsi="仿宋" w:eastAsia="仿宋" w:cs="仿宋"/>
          <w:b w:val="0"/>
          <w:bCs w:val="0"/>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blPrEx>
          <w:tblLayout w:type="fixed"/>
          <w:tblCellMar>
            <w:top w:w="55" w:type="dxa"/>
            <w:left w:w="55" w:type="dxa"/>
            <w:bottom w:w="55" w:type="dxa"/>
            <w:right w:w="55" w:type="dxa"/>
          </w:tblCellMar>
        </w:tblPrEx>
        <w:trPr>
          <w:trHeight w:val="560" w:hRule="atLeast"/>
        </w:trPr>
        <w:tc>
          <w:tcPr>
            <w:tcW w:w="10446"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Layout w:type="fixed"/>
          <w:tblCellMar>
            <w:top w:w="55" w:type="dxa"/>
            <w:left w:w="55" w:type="dxa"/>
            <w:bottom w:w="55" w:type="dxa"/>
            <w:right w:w="55" w:type="dxa"/>
          </w:tblCellMar>
        </w:tblPrEx>
        <w:trPr>
          <w:trHeight w:val="147" w:hRule="atLeast"/>
        </w:trPr>
        <w:tc>
          <w:tcPr>
            <w:tcW w:w="5466" w:type="dxa"/>
            <w:gridSpan w:val="2"/>
          </w:tcPr>
          <w:p>
            <w:pPr>
              <w:pStyle w:val="22"/>
              <w:widowControl w:val="0"/>
              <w:rPr>
                <w:rFonts w:hint="eastAsia" w:ascii="仿宋" w:hAnsi="仿宋" w:eastAsia="仿宋" w:cs="仿宋"/>
                <w:sz w:val="20"/>
              </w:rPr>
            </w:pPr>
          </w:p>
        </w:tc>
        <w:tc>
          <w:tcPr>
            <w:tcW w:w="1969" w:type="dxa"/>
          </w:tcPr>
          <w:p>
            <w:pPr>
              <w:pStyle w:val="22"/>
              <w:widowControl w:val="0"/>
              <w:rPr>
                <w:rFonts w:hint="eastAsia" w:ascii="仿宋" w:hAnsi="仿宋" w:eastAsia="仿宋" w:cs="仿宋"/>
                <w:sz w:val="20"/>
              </w:rPr>
            </w:pPr>
          </w:p>
        </w:tc>
        <w:tc>
          <w:tcPr>
            <w:tcW w:w="1499" w:type="dxa"/>
          </w:tcPr>
          <w:p>
            <w:pPr>
              <w:pStyle w:val="22"/>
              <w:widowControl w:val="0"/>
              <w:rPr>
                <w:rFonts w:hint="eastAsia" w:ascii="仿宋" w:hAnsi="仿宋" w:eastAsia="仿宋" w:cs="仿宋"/>
                <w:sz w:val="20"/>
              </w:rPr>
            </w:pPr>
          </w:p>
        </w:tc>
        <w:tc>
          <w:tcPr>
            <w:tcW w:w="1512"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303" w:hRule="atLeast"/>
        </w:trPr>
        <w:tc>
          <w:tcPr>
            <w:tcW w:w="7435"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3011"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12,714.10</w:t>
            </w:r>
          </w:p>
        </w:tc>
        <w:tc>
          <w:tcPr>
            <w:tcW w:w="149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7,598.23</w:t>
            </w:r>
          </w:p>
        </w:tc>
        <w:tc>
          <w:tcPr>
            <w:tcW w:w="1512"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5,115.87</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10,283.15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5,374.92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4,908.23</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民政管理事务</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9,265.03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4,856.80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4,408.23</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行政运行</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4,856.80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4,856.80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一般行政管理事务</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1,042.89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1,042.89</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2080299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其他民政管理事务支出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3,365.34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3,365.34</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518.12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518.12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240.80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240.80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120.40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120.40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156.92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156.92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20820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临时救助</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2082001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临时救助支出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商业服务业等支出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21699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其他商业服务业等支出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2169901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服务业基础设施建设</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2,223.31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2,223.31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2,223.31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2,223.31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474.74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474.74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1,748.57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1,748.57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187.64</w:t>
            </w:r>
          </w:p>
        </w:tc>
      </w:tr>
    </w:tbl>
    <w:p>
      <w:pPr>
        <w:tabs>
          <w:tab w:val="left" w:pos="0"/>
        </w:tabs>
        <w:spacing w:before="25" w:after="0"/>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Layout w:type="fixed"/>
          <w:tblCellMar>
            <w:top w:w="55" w:type="dxa"/>
            <w:left w:w="55" w:type="dxa"/>
            <w:bottom w:w="55" w:type="dxa"/>
            <w:right w:w="55" w:type="dxa"/>
          </w:tblCellMar>
        </w:tblPrEx>
        <w:trPr>
          <w:trHeight w:val="319" w:hRule="atLeast"/>
        </w:trPr>
        <w:tc>
          <w:tcPr>
            <w:tcW w:w="10473" w:type="dxa"/>
            <w:gridSpan w:val="5"/>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Layout w:type="fixed"/>
          <w:tblCellMar>
            <w:top w:w="55" w:type="dxa"/>
            <w:left w:w="55" w:type="dxa"/>
            <w:bottom w:w="55" w:type="dxa"/>
            <w:right w:w="55" w:type="dxa"/>
          </w:tblCellMar>
        </w:tblPrEx>
        <w:trPr>
          <w:trHeight w:val="199" w:hRule="atLeast"/>
        </w:trPr>
        <w:tc>
          <w:tcPr>
            <w:tcW w:w="8595" w:type="dxa"/>
            <w:gridSpan w:val="4"/>
            <w:vAlign w:val="center"/>
          </w:tcPr>
          <w:p>
            <w:pPr>
              <w:pStyle w:val="22"/>
              <w:widowControl w:val="0"/>
              <w:jc w:val="right"/>
              <w:rPr>
                <w:rFonts w:hint="eastAsia" w:ascii="仿宋" w:hAnsi="仿宋" w:eastAsia="仿宋" w:cs="仿宋"/>
                <w:color w:val="000000"/>
                <w:sz w:val="22"/>
                <w:szCs w:val="22"/>
                <w:lang w:eastAsia="zh-CN"/>
              </w:rPr>
            </w:pPr>
          </w:p>
        </w:tc>
        <w:tc>
          <w:tcPr>
            <w:tcW w:w="1878" w:type="dxa"/>
            <w:vAlign w:val="center"/>
          </w:tcPr>
          <w:p>
            <w:pPr>
              <w:pStyle w:val="22"/>
              <w:widowControl w:val="0"/>
              <w:jc w:val="right"/>
              <w:rPr>
                <w:rFonts w:hint="eastAsia" w:ascii="仿宋" w:hAnsi="仿宋" w:eastAsia="仿宋" w:cs="仿宋"/>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320" w:hRule="atLeast"/>
        </w:trPr>
        <w:tc>
          <w:tcPr>
            <w:tcW w:w="8595"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1878"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7,598.23</w:t>
            </w:r>
          </w:p>
        </w:tc>
        <w:tc>
          <w:tcPr>
            <w:tcW w:w="170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6,848.86</w:t>
            </w:r>
          </w:p>
        </w:tc>
        <w:tc>
          <w:tcPr>
            <w:tcW w:w="187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749.37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5,434.28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5,434.28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667.85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667.85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1,877.17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1,877.17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2,095.24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2,095.24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194.08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194.08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94.13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94.13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502.95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502.95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749.37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749.37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64.58</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40.66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40.66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122.57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122.57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46.34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46.34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0.21</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4.45</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70.47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70.47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26.19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26.19</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153.83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153.83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70.56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70.56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207.75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207.75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750.38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750.38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Layout w:type="fixed"/>
          <w:tblCellMar>
            <w:top w:w="55" w:type="dxa"/>
            <w:left w:w="55" w:type="dxa"/>
            <w:bottom w:w="55" w:type="dxa"/>
            <w:right w:w="55" w:type="dxa"/>
          </w:tblCellMar>
        </w:tblPrEx>
        <w:trPr>
          <w:trHeight w:val="321" w:hRule="atLeast"/>
        </w:trPr>
        <w:tc>
          <w:tcPr>
            <w:tcW w:w="16486" w:type="dxa"/>
            <w:gridSpan w:val="16"/>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6486" w:type="dxa"/>
            <w:gridSpan w:val="16"/>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8274" w:type="dxa"/>
            <w:gridSpan w:val="8"/>
            <w:tcBorders>
              <w:bottom w:val="single" w:color="auto" w:sz="4" w:space="0"/>
            </w:tcBorders>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Layout w:type="fixed"/>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86.40</w:t>
            </w:r>
          </w:p>
        </w:tc>
        <w:tc>
          <w:tcPr>
            <w:tcW w:w="104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35.00</w:t>
            </w:r>
          </w:p>
        </w:tc>
        <w:tc>
          <w:tcPr>
            <w:tcW w:w="10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26.40</w:t>
            </w:r>
          </w:p>
        </w:tc>
        <w:tc>
          <w:tcPr>
            <w:tcW w:w="102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26.40</w:t>
            </w:r>
          </w:p>
        </w:tc>
        <w:tc>
          <w:tcPr>
            <w:tcW w:w="102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25.00</w:t>
            </w:r>
          </w:p>
        </w:tc>
        <w:tc>
          <w:tcPr>
            <w:tcW w:w="104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321.60</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187.20</w:t>
            </w:r>
          </w:p>
        </w:tc>
        <w:tc>
          <w:tcPr>
            <w:tcW w:w="10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29.36</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26.19</w:t>
            </w:r>
          </w:p>
        </w:tc>
        <w:tc>
          <w:tcPr>
            <w:tcW w:w="1089"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26.19</w:t>
            </w:r>
          </w:p>
        </w:tc>
        <w:tc>
          <w:tcPr>
            <w:tcW w:w="104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3.17</w:t>
            </w:r>
          </w:p>
        </w:tc>
        <w:tc>
          <w:tcPr>
            <w:tcW w:w="1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225.74</w:t>
            </w:r>
          </w:p>
        </w:tc>
        <w:tc>
          <w:tcPr>
            <w:tcW w:w="102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146.34</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8</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15</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55</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33</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2,350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18</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1,560</w:t>
            </w:r>
          </w:p>
        </w:tc>
      </w:tr>
    </w:tbl>
    <w:p>
      <w:pPr>
        <w:widowControl w:val="0"/>
        <w:suppressAutoHyphens/>
        <w:bidi w:val="0"/>
        <w:spacing w:before="0" w:after="0"/>
        <w:ind w:left="0" w:leftChars="0" w:right="-2"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一般公共预算“三公”经费、会议费和培训费支出情况。其中，预算数为全年预算数，反映按规定程序调整后的预算数；决算数是包括当年一般公共预算财政拨款和以前年度结转资金安排的实际支出。本表金额单位转换时可能存在尾数误差</w:t>
      </w:r>
      <w:r>
        <w:rPr>
          <w:rFonts w:hint="eastAsia" w:ascii="仿宋" w:hAnsi="仿宋" w:eastAsia="仿宋" w:cs="仿宋"/>
          <w:b w:val="0"/>
          <w:bCs w:val="0"/>
          <w:sz w:val="22"/>
          <w:szCs w:val="22"/>
        </w:rPr>
        <w:t>。</w:t>
      </w:r>
    </w:p>
    <w:p>
      <w:pPr>
        <w:widowControl w:val="0"/>
        <w:suppressAutoHyphens/>
        <w:bidi w:val="0"/>
        <w:spacing w:before="0" w:after="0"/>
        <w:ind w:left="227" w:right="0" w:firstLine="220" w:firstLineChars="100"/>
        <w:jc w:val="both"/>
        <w:rPr>
          <w:rFonts w:hint="eastAsia" w:ascii="仿宋" w:hAnsi="仿宋" w:eastAsia="仿宋" w:cs="仿宋"/>
          <w:b w:val="0"/>
          <w:bCs w:val="0"/>
          <w:sz w:val="22"/>
          <w:szCs w:val="22"/>
        </w:rPr>
        <w:sectPr>
          <w:footerReference r:id="rId15" w:type="default"/>
          <w:pgSz w:w="16838" w:h="11906" w:orient="landscape"/>
          <w:pgMar w:top="720" w:right="153" w:bottom="720" w:left="153"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blPrEx>
          <w:tblLayout w:type="fixed"/>
          <w:tblCellMar>
            <w:top w:w="55" w:type="dxa"/>
            <w:left w:w="55" w:type="dxa"/>
            <w:bottom w:w="55" w:type="dxa"/>
            <w:right w:w="55" w:type="dxa"/>
          </w:tblCellMar>
        </w:tblPrEx>
        <w:trPr>
          <w:trHeight w:val="323" w:hRule="atLeast"/>
        </w:trPr>
        <w:tc>
          <w:tcPr>
            <w:tcW w:w="8426" w:type="dxa"/>
            <w:gridSpan w:val="2"/>
          </w:tcPr>
          <w:p>
            <w:pPr>
              <w:pStyle w:val="22"/>
              <w:widowControl w:val="0"/>
              <w:rPr>
                <w:rFonts w:hint="eastAsia" w:ascii="仿宋" w:hAnsi="仿宋" w:eastAsia="仿宋" w:cs="仿宋"/>
                <w:sz w:val="20"/>
              </w:rPr>
            </w:pPr>
          </w:p>
        </w:tc>
        <w:tc>
          <w:tcPr>
            <w:tcW w:w="2684" w:type="dxa"/>
          </w:tcPr>
          <w:p>
            <w:pPr>
              <w:pStyle w:val="22"/>
              <w:widowControl w:val="0"/>
              <w:rPr>
                <w:rFonts w:hint="eastAsia" w:ascii="仿宋" w:hAnsi="仿宋" w:eastAsia="仿宋" w:cs="仿宋"/>
                <w:sz w:val="27"/>
              </w:rPr>
            </w:pPr>
          </w:p>
        </w:tc>
        <w:tc>
          <w:tcPr>
            <w:tcW w:w="2432" w:type="dxa"/>
          </w:tcPr>
          <w:p>
            <w:pPr>
              <w:pStyle w:val="22"/>
              <w:widowControl w:val="0"/>
              <w:rPr>
                <w:rFonts w:hint="eastAsia" w:ascii="仿宋" w:hAnsi="仿宋" w:eastAsia="仿宋" w:cs="仿宋"/>
                <w:sz w:val="20"/>
              </w:rPr>
            </w:pP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52" w:hRule="atLeast"/>
        </w:trPr>
        <w:tc>
          <w:tcPr>
            <w:tcW w:w="13542"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Layout w:type="fixed"/>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3,279.67</w:t>
            </w:r>
          </w:p>
        </w:tc>
        <w:tc>
          <w:tcPr>
            <w:tcW w:w="24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3,279.67</w:t>
            </w: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3,279.67</w:t>
            </w: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3,279.67</w:t>
            </w: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22960</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彩票公益金安排的支出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3,279.67</w:t>
            </w: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3,279.67</w:t>
            </w: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2296002</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用于社会福利的彩票公益金支出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3,279.67</w:t>
            </w: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3,279.67</w:t>
            </w: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注：本表反映本年度政府性基金预算财政拨款支出情况。本表金额单位转换时可能存在尾数误差。</w:t>
      </w:r>
    </w:p>
    <w:p>
      <w:pPr>
        <w:widowControl w:val="0"/>
        <w:numPr>
          <w:ilvl w:val="0"/>
          <w:numId w:val="0"/>
        </w:numPr>
        <w:suppressAutoHyphens/>
        <w:bidi w:val="0"/>
        <w:spacing w:before="25" w:after="0"/>
        <w:jc w:val="both"/>
        <w:rPr>
          <w:rFonts w:hint="default" w:ascii="仿宋" w:hAnsi="仿宋" w:eastAsia="仿宋" w:cs="仿宋"/>
          <w:b w:val="0"/>
          <w:bCs w:val="0"/>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Layout w:type="fixed"/>
          <w:tblCellMar>
            <w:top w:w="55" w:type="dxa"/>
            <w:left w:w="55" w:type="dxa"/>
            <w:bottom w:w="55" w:type="dxa"/>
            <w:right w:w="55" w:type="dxa"/>
          </w:tblCellMar>
        </w:tblPrEx>
        <w:trPr>
          <w:trHeight w:val="323" w:hRule="atLeast"/>
        </w:trPr>
        <w:tc>
          <w:tcPr>
            <w:tcW w:w="8520" w:type="dxa"/>
            <w:gridSpan w:val="2"/>
          </w:tcPr>
          <w:p>
            <w:pPr>
              <w:pStyle w:val="22"/>
              <w:widowControl w:val="0"/>
              <w:rPr>
                <w:rFonts w:hint="eastAsia" w:ascii="仿宋" w:hAnsi="仿宋" w:eastAsia="仿宋" w:cs="仿宋"/>
                <w:sz w:val="20"/>
              </w:rPr>
            </w:pPr>
          </w:p>
        </w:tc>
        <w:tc>
          <w:tcPr>
            <w:tcW w:w="2510" w:type="dxa"/>
          </w:tcPr>
          <w:p>
            <w:pPr>
              <w:pStyle w:val="22"/>
              <w:widowControl w:val="0"/>
              <w:rPr>
                <w:rFonts w:hint="eastAsia" w:ascii="仿宋" w:hAnsi="仿宋" w:eastAsia="仿宋" w:cs="仿宋"/>
                <w:sz w:val="27"/>
              </w:rPr>
            </w:pPr>
          </w:p>
        </w:tc>
        <w:tc>
          <w:tcPr>
            <w:tcW w:w="2309" w:type="dxa"/>
          </w:tcPr>
          <w:p>
            <w:pPr>
              <w:pStyle w:val="22"/>
              <w:widowControl w:val="0"/>
              <w:rPr>
                <w:rFonts w:hint="eastAsia" w:ascii="仿宋" w:hAnsi="仿宋" w:eastAsia="仿宋" w:cs="仿宋"/>
                <w:sz w:val="20"/>
              </w:rPr>
            </w:pP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152" w:hRule="atLeast"/>
        </w:trPr>
        <w:tc>
          <w:tcPr>
            <w:tcW w:w="13339"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Layout w:type="fixed"/>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bidi w:val="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pPr>
        <w:numPr>
          <w:ilvl w:val="0"/>
          <w:numId w:val="0"/>
        </w:numPr>
        <w:bidi w:val="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66" w:type="dxa"/>
        <w:tblInd w:w="53" w:type="dxa"/>
        <w:tblLayout w:type="fixed"/>
        <w:tblCellMar>
          <w:top w:w="55" w:type="dxa"/>
          <w:left w:w="55" w:type="dxa"/>
          <w:bottom w:w="55" w:type="dxa"/>
          <w:right w:w="55" w:type="dxa"/>
        </w:tblCellMar>
      </w:tblPr>
      <w:tblGrid>
        <w:gridCol w:w="1642"/>
        <w:gridCol w:w="4990"/>
        <w:gridCol w:w="3834"/>
      </w:tblGrid>
      <w:tr>
        <w:tblPrEx>
          <w:tblLayout w:type="fixed"/>
          <w:tblCellMar>
            <w:top w:w="55" w:type="dxa"/>
            <w:left w:w="55" w:type="dxa"/>
            <w:bottom w:w="55" w:type="dxa"/>
            <w:right w:w="55" w:type="dxa"/>
          </w:tblCellMar>
        </w:tblPrEx>
        <w:trPr>
          <w:trHeight w:val="319" w:hRule="atLeast"/>
        </w:trPr>
        <w:tc>
          <w:tcPr>
            <w:tcW w:w="10466" w:type="dxa"/>
            <w:gridSpan w:val="3"/>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6632" w:type="dxa"/>
            <w:gridSpan w:val="2"/>
          </w:tcPr>
          <w:p>
            <w:pPr>
              <w:pStyle w:val="22"/>
              <w:widowControl w:val="0"/>
              <w:rPr>
                <w:rFonts w:hint="eastAsia" w:ascii="仿宋" w:hAnsi="仿宋" w:eastAsia="仿宋" w:cs="仿宋"/>
                <w:sz w:val="20"/>
              </w:rPr>
            </w:pPr>
          </w:p>
        </w:tc>
        <w:tc>
          <w:tcPr>
            <w:tcW w:w="3834"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6632" w:type="dxa"/>
            <w:gridSpan w:val="2"/>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3834"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749.37</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749.37</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64.58</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40.66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0.04</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1.36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36.16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36.94</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122.57</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46.34</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21.66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0.21</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4.45</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53.34</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70.47</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26.19</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153.83</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70.56</w:t>
            </w: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本表金额单位转换时可能存在尾数误差。</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7" w:type="default"/>
          <w:type w:val="continuous"/>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459" w:type="dxa"/>
        <w:tblInd w:w="45" w:type="dxa"/>
        <w:tblLayout w:type="fixed"/>
        <w:tblCellMar>
          <w:top w:w="55" w:type="dxa"/>
          <w:left w:w="55" w:type="dxa"/>
          <w:bottom w:w="55" w:type="dxa"/>
          <w:right w:w="55" w:type="dxa"/>
        </w:tblCellMar>
      </w:tblPr>
      <w:tblGrid>
        <w:gridCol w:w="4472"/>
        <w:gridCol w:w="722"/>
        <w:gridCol w:w="1992"/>
        <w:gridCol w:w="3273"/>
      </w:tblGrid>
      <w:tr>
        <w:tblPrEx>
          <w:tblLayout w:type="fixed"/>
          <w:tblCellMar>
            <w:top w:w="55" w:type="dxa"/>
            <w:left w:w="55" w:type="dxa"/>
            <w:bottom w:w="55" w:type="dxa"/>
            <w:right w:w="55" w:type="dxa"/>
          </w:tblCellMar>
        </w:tblPrEx>
        <w:trPr>
          <w:trHeight w:val="333" w:hRule="atLeast"/>
        </w:trPr>
        <w:tc>
          <w:tcPr>
            <w:tcW w:w="10459" w:type="dxa"/>
            <w:gridSpan w:val="4"/>
            <w:vAlign w:val="center"/>
          </w:tcPr>
          <w:p>
            <w:pPr>
              <w:pStyle w:val="22"/>
              <w:widowControl w:val="0"/>
              <w:bidi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Layout w:type="fixed"/>
          <w:tblCellMar>
            <w:top w:w="55" w:type="dxa"/>
            <w:left w:w="55" w:type="dxa"/>
            <w:bottom w:w="55" w:type="dxa"/>
            <w:right w:w="55" w:type="dxa"/>
          </w:tblCellMar>
        </w:tblPrEx>
        <w:trPr>
          <w:trHeight w:val="333" w:hRule="atLeast"/>
        </w:trPr>
        <w:tc>
          <w:tcPr>
            <w:tcW w:w="4472" w:type="dxa"/>
          </w:tcPr>
          <w:p>
            <w:pPr>
              <w:pStyle w:val="22"/>
              <w:widowControl w:val="0"/>
              <w:bidi w:val="0"/>
              <w:rPr>
                <w:rFonts w:hint="eastAsia" w:ascii="仿宋" w:hAnsi="仿宋" w:eastAsia="仿宋" w:cs="仿宋"/>
              </w:rPr>
            </w:pPr>
          </w:p>
        </w:tc>
        <w:tc>
          <w:tcPr>
            <w:tcW w:w="72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江苏省民政厅（机关）</w:t>
            </w: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1,251.76</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195.76</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1,056.00</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137.03</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109.60</w:t>
            </w:r>
          </w:p>
        </w:tc>
      </w:tr>
    </w:tbl>
    <w:p>
      <w:pPr>
        <w:bidi w:val="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政府采购支出信息为单位纳入部门预算范围的各项政府采购支出情况。本表金额单位转换时可能存在尾数误差</w:t>
      </w:r>
      <w:r>
        <w:rPr>
          <w:rFonts w:hint="eastAsia" w:ascii="仿宋" w:hAnsi="仿宋" w:eastAsia="仿宋" w:cs="仿宋"/>
          <w:b w:val="0"/>
          <w:bCs w:val="0"/>
          <w:sz w:val="22"/>
          <w:szCs w:val="22"/>
        </w:rPr>
        <w:t>。</w:t>
      </w:r>
    </w:p>
    <w:p>
      <w:pPr>
        <w:numPr>
          <w:ilvl w:val="0"/>
          <w:numId w:val="0"/>
        </w:numPr>
        <w:bidi w:val="0"/>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2021</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2021年度收入、支出决算总计19,652.27万元。与上年相比，收、支总计各增加156.54万元，增长0.8%。其中：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（一）收入决算总计19,652.27万元。包括：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1.本年收入决算合计14,691.68万元。与上年相比，减少1,586.98万元，减少9.75%，变动原因：主要因为厅机关项目经费减少。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3.年初结转和结余4,960.58万元。与上年相比，增加1,743.51万元，增长54.2%，变动原因：主要为江北养老服务中心项目结转下年继续使用。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（二）支出决算总计19,652.27万元。包括：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1.本年支出决算合计15,993.76万元。与上年相比，增加1,902.6万元，增长13.5%，变动原因：主要因为厅机关项目经费支出增加。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3.年末结转和结余3,658.5万元。结转和结余事项：主要为基本支出结余及江北养老服务中心等项目结转下年继续使用。与上年相比，减少1,746.07万元，减少32.31%，变动原因：主要为项目支出结转减少。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年收入决算合计14,691.68万元，其中：财政拨款收入14,691.68万元，占100%；上级补助收入0万元，占0%；财政专户管理教育收费0万元，占0%；事业收入（不含专户管理教育收费）0万元，占0%；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08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19"/>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2021年度本年支出决算合计15,993.76万元，其中：基本支出7,598.23万元，占47.51%；项目支出8,395.54万元，占52.49%；上缴上级支出0万元，占0%；经营支出0万元，占0%；对附属单位补助支出0万元，占0%。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2021年度财政拨款收入、支出决算总计19,641.34万元。与上年相比，收、支总计各增加156.54万元，增长0.8%，变动原因：主要为项目经费增加。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2021年度财政拨款支出决算15,993.76万元，占本年支出合计的100%。与2021年度财政拨款支出年初预算15,270.06万元相比，完成年初预算的104.74%。其中：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1.民政管理事务（款）行政运行（项）。年初预算5,803.37万元，支出决算4,856.8万元，完成年初预算的83.69%。决算数与年初预算数的差异原因：主要因为工资政策性原因，人员支出减少。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2.民政管理事务（款）一般行政管理事务（项）。年初预算1,080万元，支出决算1,042.89万元，完成年初预算的96.56%。决算数与年初预算数的差异原因：部分项目支出结转下年继续使用。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3.民政管理事务（款）其他民政管理事务支出（项）。年初预算1,787.2万元，支出决算3,365.34万元，完成年初预算的188.3%。决算数与年初预算数的差异原因：使用上年结转的项目经费。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4.行政事业单位养老支出（款）机关事业单位基本养老保险缴费支出（项）。年初预算240.8万元，支出决算240.8万元，完成年初预算的100%。决算数与年初预算数相同。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5.行政事业单位养老支出（款）机关事业单位职业年金缴费支出（项）。年初预算120.4万元，支出决算120.4万元，完成年初预算的100%。决算数与年初预算数相同。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6.行政事业单位养老支出（款）其他行政事业单位养老支出（项）。年初预算158.98万元，支出决算156.92万元，完成年初预算的98.7%。决算数与年初预算数的差异原因：离退休人员支出减少。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7.临时救助（款）临时救助支出（项）。年初预算500万元，支出决算500万元，完成年初预算的100%。决算数与年初预算数相同。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（二）商业服务业等支出（类）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其他商业服务业等支出（款）服务业基础设施建设（项）。年初预算0万元，支出决算20万元，（年初预算数为0万元，无法计算完成比率）。决算数与年初预算数的差异原因：使用上年结转的项目经费。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1.住房改革支出（款）住房公积金（项）。年初预算474.74万元，支出决算474.74万元，完成年初预算的100%。决算数与年初预算数相同。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2.住房改革支出（款）提租补贴（项）。年初预算1,748.57万元，支出决算1,748.57万元，完成年初预算的100%。决算数与年初预算数相同。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1.彩票公益金安排的支出（款）用于社会福利的彩票公益金支出（项）。年初预算3,356万元，支出决算3,279.67万元，完成年初预算的97.73%。决算数与年初预算数的差异原因：主要因为部分项目结转下年继续使用。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2.其他支出（款）其他支出（项）。年初预算0万元，支出决算187.64万元，（年初预算数为0万元，无法计算完成比率）。决算数与年初预算数的差异原因：主要为财政追加的项目经费。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2021年度财政拨款基本支出决算7,598.23万元，其中：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（一）人员经费6,848.86万元。</w:t>
      </w:r>
      <w:r>
        <w:rPr>
          <w:rFonts w:ascii="仿宋" w:hAnsi="仿宋" w:eastAsia="仿宋" w:cs="仿宋"/>
        </w:rPr>
        <w:t>主要包括：基本工资、津贴补贴、奖金、机关事业单位基本养老保险缴费、职业年金缴费、住房公积金、其他工资福利支出、离休费、退休费、抚恤金、生活补助、其他对个人和家庭的补助。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（二）公用经费749.37万元。</w:t>
      </w:r>
      <w:r>
        <w:rPr>
          <w:rFonts w:ascii="仿宋" w:hAnsi="仿宋" w:eastAsia="仿宋" w:cs="仿宋"/>
        </w:rPr>
        <w:t>主要包括：办公费、印刷费、手续费、水费、电费、邮电费、物业管理费、差旅费、维修（护）费、公务接待费、劳务费、委托业务费、工会经费、公务用车运行维护费、其他交通费用、其他商品和服务支出。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2021年度一般公共预算财政拨款支出决算12,714.1万元。与上年相比，增加547.81万元，增长4.5%，变动原因：主要因为项目经费增加。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2021年度一般公共预算财政拨款基本支出决算7,598.23万元，其中：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（一）人员经费6,848.86万元。</w:t>
      </w:r>
      <w:r>
        <w:rPr>
          <w:rFonts w:ascii="仿宋" w:hAnsi="仿宋" w:eastAsia="仿宋" w:cs="仿宋"/>
        </w:rPr>
        <w:t>主要包括：基本工资、津贴补贴、奖金、机关事业单位基本养老保险缴费、职业年金缴费、住房公积金、其他工资福利支出、离休费、退休费、抚恤金、生活补助、其他对个人和家庭的补助。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（二）公用经费749.37万元。</w:t>
      </w:r>
      <w:r>
        <w:rPr>
          <w:rFonts w:ascii="仿宋" w:hAnsi="仿宋" w:eastAsia="仿宋" w:cs="仿宋"/>
        </w:rPr>
        <w:t>主要包括：办公费、印刷费、手续费、水费、电费、邮电费、物业管理费、差旅费、维修（护）费、公务接待费、劳务费、委托业务费、工会经费、公务用车运行维护费、其他交通费用、其他商品和服务支出。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（一）一般公共预算“三公”经费支出总体情况说明。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三公”经费支出决算29.36万元。与上年相比，减少0.03万元，变动原因：主要原因我厅认真贯彻落实中央八项规定和省委十项规定精神，厉行节约，压缩了“三公”经费支出。其中，因公出国（境）费支出0万元，占“三公”经费的0%；公务用车购置及运行维护费支出26.19万元，占“三公”经费的89.2%；公务接待费支出3.17万元，占“三公”经费的10.8%。</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（二）一般公共预算“三公”经费支出具体情况说明。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35万元，支出决算0万元，完成预算的0%，决算数与预算数的差异原因：主要因为受疫情影响，我厅未安排出国（境）团组。全年使用一般公共预算财政拨款涉及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26.4万元，支出决算26.19万元，完成预算的99.2%，决算数与预算数的差异原因：主要原因我厅认真贯彻落实中央八项规定和省委十项规定精神，厉行节约，压缩了公务用车运行维护费支出。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（1）公务用车购置支出决算0万元。本年度使用一般公共预算财政拨款购置公务用车0辆。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26.19万元。公务用车运行维护费主要用于按规定保留的公务用车的燃料费、维修费、过桥过路费、保险费、安全奖励费用等支出。截至2021年12月31日，使用一般公共预算财政拨款开支的公务用车保有量为8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25万元，支出决算3.17万元，完成预算的12.68%，决算数与预算数的差异原因：主要原因我厅认真贯彻落实中央八项规定和省委十项规定精神，厉行节约，压缩了公务接待费支出。其中：国内公务接待支出3.17万元，接待15批次，55人次，开支内容：为接待国家有关部委检查指导工作、外省市民政部门考察调研和省内相关市县民政部门学习交流工作发生的公务接待支出等；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（三）一般公共预算会议费支出决算情况说明。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会议费支出预算321.6万元，支出决算225.74万元，完成预算的70.19%，决算数与预算数的差异原因：主要原因为我厅认真贯彻落实中央八项规定和省委十项规定精神，厉行节约，严格控制会议数量和会议规模，优先选择电视电话会议，能在机关开的不到定点饭店开，压缩了会议经费支出。2021年度全年召开会议33个，参加会议2350人次，开支内容：召开了全省民政工作会议、全省社会救助、全省养老工作、全省儿童工作、全省殡葬工作等相关内容的会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（四）一般公共预算培训费支出决算情况说明。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培训费支出预算187.2万元，支出决算146.34万元，完成预算的78.17%，决算数与预算数的差异原因：主要原因为我厅认真贯彻落实中央八项规定和省委十项规定精神，厉行节约，压缩了培训经费支出。2021年度全年组织培训18个，组织培训1560人次，开支内容：主要为全省社会救助工作、全省社会组织管理登记、全省新任民政局长、全省规划财务统计等民政业务培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2021年度政府性基金预算财政拨款支出决算3,279.67万元。与上年相比，增加1,354.8万元，增长70.38%，变动原因：主要因为福利彩票公益金支持的社会福利项目经费增加。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2021年度国有资本经营预算财政拨款支出决算0万元。与上年决算数相同。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2021年度机关运行经费支出决算749.37万元。与上年相比，增加72.71万元，增长10.75%，变动原因：厅机关人员增加，导致相应公用经费增加。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政府采购支出总额1,251.76万元，其中：政府采购货物支出195.76万元、政府采购工程支出0万元、政府采购服务支出1,056万元。政府采购授予中小企业合同金额137.03万元，占政府采购支出总额的10.95%，其中：授予小微企业合同金额109.6万元，占政府采购支出总额的8.76%。</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截至2021年12月31日，本单位共有车辆8辆，其中：副部(省)级及以上领导用车0辆、主要领导干部用车0辆、机要通信用车1辆、应急保障用车4辆、执法执勤用车0辆、特种专业技术用车0辆、离退休干部用车0辆、其他用车3辆；单价50万元（含）以上的通用设备1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2021年度，本单位共1个项目开展了财政重点绩效评价，涉及财政性资金合计240,718万元；本单位未开展单位整体支出财政重点绩效评价，涉及财政性资金0万元。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本单位共对上年度已实施完成的12个项目开展了绩效自评价，涉及财政性资金合计121,608.2万元；本单位共开展1项单位整体支出绩效自评价，涉及财政性资金合计130,155.06万元。</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十九、社会保障和就业支出(类)民政管理事务(款)行政运行(项)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二十、社会保障和就业支出(类)民政管理事务(款)一般行政管理事务(项)</w:t>
      </w:r>
      <w:r>
        <w:rPr>
          <w:rFonts w:ascii="仿宋" w:hAnsi="仿宋" w:eastAsia="仿宋" w:cs="仿宋"/>
          <w:b/>
        </w:rPr>
        <w:t>：</w:t>
      </w:r>
      <w:r>
        <w:rPr>
          <w:rFonts w:hint="eastAsia" w:ascii="仿宋" w:hAnsi="仿宋" w:eastAsia="仿宋" w:cs="仿宋"/>
        </w:rPr>
        <w:t>反映行政单位（包括实行公务员管理的事业单位）未单独设置项级科目的其他项目支出。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二十四、社会保障和就业支出(类)行政事业单位养老支出(款)其他行政事业单位养老支出(项)</w:t>
      </w:r>
      <w:r>
        <w:rPr>
          <w:rFonts w:ascii="仿宋" w:hAnsi="仿宋" w:eastAsia="仿宋" w:cs="仿宋"/>
          <w:b/>
        </w:rPr>
        <w:t>：</w:t>
      </w:r>
      <w:r>
        <w:rPr>
          <w:rFonts w:hint="eastAsia" w:ascii="仿宋" w:hAnsi="仿宋" w:eastAsia="仿宋" w:cs="仿宋"/>
        </w:rPr>
        <w:t>反映除上述项目以外其他用于行政事业单位养老方面的支出。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二十五、社会保障和就业支出(类)临时救助(款)临时救助支出(项)</w:t>
      </w:r>
      <w:r>
        <w:rPr>
          <w:rFonts w:ascii="仿宋" w:hAnsi="仿宋" w:eastAsia="仿宋" w:cs="仿宋"/>
          <w:b/>
        </w:rPr>
        <w:t>：</w:t>
      </w:r>
      <w:r>
        <w:rPr>
          <w:rFonts w:hint="eastAsia" w:ascii="仿宋" w:hAnsi="仿宋" w:eastAsia="仿宋" w:cs="仿宋"/>
        </w:rPr>
        <w:t>反映用于城乡生活困难居民的临时救助支出。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二十六、商业服务业等支出(类)其他商业服务业等支出(款)服务业基础设施建设(项)</w:t>
      </w:r>
      <w:r>
        <w:rPr>
          <w:rFonts w:ascii="仿宋" w:hAnsi="仿宋" w:eastAsia="仿宋" w:cs="仿宋"/>
          <w:b/>
        </w:rPr>
        <w:t>：</w:t>
      </w:r>
      <w:r>
        <w:rPr>
          <w:rFonts w:hint="eastAsia" w:ascii="仿宋" w:hAnsi="仿宋" w:eastAsia="仿宋" w:cs="仿宋"/>
        </w:rPr>
        <w:t>反映用于支持服务业方面的建设支出。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二十七、住房保障支出(类)住房改革支出(款)住房公积金(项)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二十八、住房保障支出(类)住房改革支出(款)提租补贴(项)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二十九、其他支出(类)彩票公益金安排的支出(款)用于社会福利的彩票公益金支出(项)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三十、其他支出(类)其他支出(款)其他支出(项)</w:t>
      </w:r>
      <w:r>
        <w:rPr>
          <w:rFonts w:ascii="仿宋" w:hAnsi="仿宋" w:eastAsia="仿宋" w:cs="仿宋"/>
          <w:b/>
        </w:rPr>
        <w:t>：</w:t>
      </w:r>
      <w:r>
        <w:rPr>
          <w:rFonts w:hint="eastAsia" w:ascii="仿宋" w:hAnsi="仿宋" w:eastAsia="仿宋" w:cs="仿宋"/>
        </w:rPr>
        <w:t>反映除上述项目以外其他不能划分到具体功能科目中的支出项目。</w:t>
      </w:r>
    </w:p>
    <w:sectPr>
      <w:pgSz w:w="11906" w:h="16838"/>
      <w:pgMar w:top="1440" w:right="1080" w:bottom="1440" w:left="108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MHl++S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irS3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1Trgj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Ect/k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jPXmN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B/qTai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HCLh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SZdde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DdfFQLgBAABX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0n7qEL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HswWoe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江苏省民政厅（机关）</w:t>
    </w:r>
    <w:r>
      <w:t>2021年度单位决算公开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789"/>
    <w:rsid w:val="000F12AB"/>
    <w:rsid w:val="001C31F9"/>
    <w:rsid w:val="002E63B1"/>
    <w:rsid w:val="00407CA7"/>
    <w:rsid w:val="00413AD8"/>
    <w:rsid w:val="004C0647"/>
    <w:rsid w:val="00671ED7"/>
    <w:rsid w:val="00672164"/>
    <w:rsid w:val="006732F1"/>
    <w:rsid w:val="008322BB"/>
    <w:rsid w:val="00867423"/>
    <w:rsid w:val="008B5B05"/>
    <w:rsid w:val="009965EA"/>
    <w:rsid w:val="00A6752E"/>
    <w:rsid w:val="00B92181"/>
    <w:rsid w:val="00BD7F33"/>
    <w:rsid w:val="00C15920"/>
    <w:rsid w:val="00C82582"/>
    <w:rsid w:val="00FA3233"/>
    <w:rsid w:val="010F1E77"/>
    <w:rsid w:val="01536131"/>
    <w:rsid w:val="01657C13"/>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461F7D"/>
    <w:rsid w:val="044E689B"/>
    <w:rsid w:val="0458580D"/>
    <w:rsid w:val="045E5FB7"/>
    <w:rsid w:val="049256F0"/>
    <w:rsid w:val="0495610D"/>
    <w:rsid w:val="04C730A4"/>
    <w:rsid w:val="04DA4474"/>
    <w:rsid w:val="04DF580C"/>
    <w:rsid w:val="04E946A2"/>
    <w:rsid w:val="04EA46EB"/>
    <w:rsid w:val="05185546"/>
    <w:rsid w:val="052126A9"/>
    <w:rsid w:val="05247FC3"/>
    <w:rsid w:val="05346113"/>
    <w:rsid w:val="05423E9C"/>
    <w:rsid w:val="05600A24"/>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A6451"/>
    <w:rsid w:val="064C13A1"/>
    <w:rsid w:val="06542957"/>
    <w:rsid w:val="0681129C"/>
    <w:rsid w:val="06824DC3"/>
    <w:rsid w:val="0695552F"/>
    <w:rsid w:val="069B5E85"/>
    <w:rsid w:val="06C87B62"/>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DA70C2"/>
    <w:rsid w:val="0AFD463B"/>
    <w:rsid w:val="0B05614C"/>
    <w:rsid w:val="0B134992"/>
    <w:rsid w:val="0B160131"/>
    <w:rsid w:val="0B2B4189"/>
    <w:rsid w:val="0B392278"/>
    <w:rsid w:val="0B675A6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F345D"/>
    <w:rsid w:val="0D991370"/>
    <w:rsid w:val="0DAC0D2B"/>
    <w:rsid w:val="0DAD6BC9"/>
    <w:rsid w:val="0DBA3094"/>
    <w:rsid w:val="0DD06A00"/>
    <w:rsid w:val="0DDF0D4D"/>
    <w:rsid w:val="0DFC3CDF"/>
    <w:rsid w:val="0DFD772C"/>
    <w:rsid w:val="0DFF5826"/>
    <w:rsid w:val="0E0A51F9"/>
    <w:rsid w:val="0E1F1C4F"/>
    <w:rsid w:val="0E27451D"/>
    <w:rsid w:val="0E4806AD"/>
    <w:rsid w:val="0E5E7568"/>
    <w:rsid w:val="0E662847"/>
    <w:rsid w:val="0E854C8B"/>
    <w:rsid w:val="0E94230E"/>
    <w:rsid w:val="0E946F22"/>
    <w:rsid w:val="0EA37FCC"/>
    <w:rsid w:val="0EE7610B"/>
    <w:rsid w:val="0EF65551"/>
    <w:rsid w:val="0EFE25F0"/>
    <w:rsid w:val="0F135152"/>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5A4782"/>
    <w:rsid w:val="1D623037"/>
    <w:rsid w:val="1D660B43"/>
    <w:rsid w:val="1D672CB3"/>
    <w:rsid w:val="1D7C0925"/>
    <w:rsid w:val="1D817975"/>
    <w:rsid w:val="1D951979"/>
    <w:rsid w:val="1DAF110E"/>
    <w:rsid w:val="1DB61054"/>
    <w:rsid w:val="1DC835AB"/>
    <w:rsid w:val="1DC94431"/>
    <w:rsid w:val="1DD41F50"/>
    <w:rsid w:val="1DF7725D"/>
    <w:rsid w:val="1DFC3255"/>
    <w:rsid w:val="1DFD14A7"/>
    <w:rsid w:val="1E107489"/>
    <w:rsid w:val="1E120047"/>
    <w:rsid w:val="1E2456FC"/>
    <w:rsid w:val="1E387717"/>
    <w:rsid w:val="1E426EBA"/>
    <w:rsid w:val="1E5227F5"/>
    <w:rsid w:val="1E5B1486"/>
    <w:rsid w:val="1E6037E4"/>
    <w:rsid w:val="1E6C2CB1"/>
    <w:rsid w:val="1E86604F"/>
    <w:rsid w:val="1E8B2478"/>
    <w:rsid w:val="1EA55F87"/>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655593"/>
    <w:rsid w:val="23873CA0"/>
    <w:rsid w:val="23A668C2"/>
    <w:rsid w:val="23B5012E"/>
    <w:rsid w:val="23C6058D"/>
    <w:rsid w:val="23CC2CE3"/>
    <w:rsid w:val="23E97DD8"/>
    <w:rsid w:val="23F81D1C"/>
    <w:rsid w:val="24004EF0"/>
    <w:rsid w:val="242552B4"/>
    <w:rsid w:val="242D23BA"/>
    <w:rsid w:val="24361C71"/>
    <w:rsid w:val="245222E6"/>
    <w:rsid w:val="2455798C"/>
    <w:rsid w:val="246851A0"/>
    <w:rsid w:val="246E4FE1"/>
    <w:rsid w:val="247771B1"/>
    <w:rsid w:val="24797436"/>
    <w:rsid w:val="24893698"/>
    <w:rsid w:val="248A0DA1"/>
    <w:rsid w:val="248B0DC9"/>
    <w:rsid w:val="24AC7248"/>
    <w:rsid w:val="24B228BF"/>
    <w:rsid w:val="24DE364C"/>
    <w:rsid w:val="24EF440E"/>
    <w:rsid w:val="25007ACF"/>
    <w:rsid w:val="25076767"/>
    <w:rsid w:val="25191A92"/>
    <w:rsid w:val="25290357"/>
    <w:rsid w:val="253C3B25"/>
    <w:rsid w:val="25513E86"/>
    <w:rsid w:val="255F5B0A"/>
    <w:rsid w:val="25664EB1"/>
    <w:rsid w:val="257302A1"/>
    <w:rsid w:val="2573629D"/>
    <w:rsid w:val="257B7E43"/>
    <w:rsid w:val="25A7022D"/>
    <w:rsid w:val="25C32FD6"/>
    <w:rsid w:val="25C603D0"/>
    <w:rsid w:val="25E1520A"/>
    <w:rsid w:val="25E2513A"/>
    <w:rsid w:val="25F45922"/>
    <w:rsid w:val="25FD2F48"/>
    <w:rsid w:val="261E645E"/>
    <w:rsid w:val="262E21CA"/>
    <w:rsid w:val="26713F63"/>
    <w:rsid w:val="26753166"/>
    <w:rsid w:val="267B561B"/>
    <w:rsid w:val="267C5A99"/>
    <w:rsid w:val="2682148D"/>
    <w:rsid w:val="268D22B5"/>
    <w:rsid w:val="269240CC"/>
    <w:rsid w:val="269A47B4"/>
    <w:rsid w:val="269E759F"/>
    <w:rsid w:val="26A526DC"/>
    <w:rsid w:val="26A5448A"/>
    <w:rsid w:val="26BF5BA2"/>
    <w:rsid w:val="26CB1A16"/>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1B36C2"/>
    <w:rsid w:val="2B3C1AAA"/>
    <w:rsid w:val="2B77216D"/>
    <w:rsid w:val="2B7A42C1"/>
    <w:rsid w:val="2B82668D"/>
    <w:rsid w:val="2B8C19B3"/>
    <w:rsid w:val="2B9A7EB4"/>
    <w:rsid w:val="2BB8407D"/>
    <w:rsid w:val="2BBE24DE"/>
    <w:rsid w:val="2BBF0C02"/>
    <w:rsid w:val="2BDD28EB"/>
    <w:rsid w:val="2BE5357A"/>
    <w:rsid w:val="2BEC66B7"/>
    <w:rsid w:val="2BF43094"/>
    <w:rsid w:val="2BF909AA"/>
    <w:rsid w:val="2BFC0D12"/>
    <w:rsid w:val="2C016606"/>
    <w:rsid w:val="2C0757B7"/>
    <w:rsid w:val="2C153E60"/>
    <w:rsid w:val="2C1E422F"/>
    <w:rsid w:val="2C3818FC"/>
    <w:rsid w:val="2C5950A4"/>
    <w:rsid w:val="2C660130"/>
    <w:rsid w:val="2C73502A"/>
    <w:rsid w:val="2CB9711D"/>
    <w:rsid w:val="2CEA52EC"/>
    <w:rsid w:val="2CF3363A"/>
    <w:rsid w:val="2D000C25"/>
    <w:rsid w:val="2D0F4DB4"/>
    <w:rsid w:val="2D2D36A5"/>
    <w:rsid w:val="2D365B16"/>
    <w:rsid w:val="2D4B38B1"/>
    <w:rsid w:val="2D5646DC"/>
    <w:rsid w:val="2D584691"/>
    <w:rsid w:val="2D6D2070"/>
    <w:rsid w:val="2D9D0838"/>
    <w:rsid w:val="2D9E1C33"/>
    <w:rsid w:val="2DB652A4"/>
    <w:rsid w:val="2DB943B8"/>
    <w:rsid w:val="2DBB2419"/>
    <w:rsid w:val="2DBF7001"/>
    <w:rsid w:val="2DC26166"/>
    <w:rsid w:val="2DD13DB6"/>
    <w:rsid w:val="2DD903A8"/>
    <w:rsid w:val="2DEA2F76"/>
    <w:rsid w:val="2DF041FF"/>
    <w:rsid w:val="2DF76E1B"/>
    <w:rsid w:val="2DFD2DFD"/>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7BE"/>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820BF8"/>
    <w:rsid w:val="3C9A772E"/>
    <w:rsid w:val="3CB974FB"/>
    <w:rsid w:val="3CD16A6C"/>
    <w:rsid w:val="3CFF2A56"/>
    <w:rsid w:val="3D083C3D"/>
    <w:rsid w:val="3D0F0BF5"/>
    <w:rsid w:val="3D254DA7"/>
    <w:rsid w:val="3D31435C"/>
    <w:rsid w:val="3D367754"/>
    <w:rsid w:val="3D4D01FD"/>
    <w:rsid w:val="3D8116F1"/>
    <w:rsid w:val="3D842DB5"/>
    <w:rsid w:val="3D927E3F"/>
    <w:rsid w:val="3DB41B96"/>
    <w:rsid w:val="3DD76D85"/>
    <w:rsid w:val="3DD83ABF"/>
    <w:rsid w:val="3DD86A9B"/>
    <w:rsid w:val="3DDA437C"/>
    <w:rsid w:val="3DEE4511"/>
    <w:rsid w:val="3DF461A3"/>
    <w:rsid w:val="3E03072B"/>
    <w:rsid w:val="3E0B6234"/>
    <w:rsid w:val="3E0C499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ED50AE"/>
    <w:rsid w:val="45FD0891"/>
    <w:rsid w:val="46185D52"/>
    <w:rsid w:val="46192347"/>
    <w:rsid w:val="46252A99"/>
    <w:rsid w:val="462C285E"/>
    <w:rsid w:val="4639249F"/>
    <w:rsid w:val="463A0304"/>
    <w:rsid w:val="464A4975"/>
    <w:rsid w:val="465670F7"/>
    <w:rsid w:val="4665558C"/>
    <w:rsid w:val="467C2D95"/>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B2726"/>
    <w:rsid w:val="4F8B4457"/>
    <w:rsid w:val="4FA41146"/>
    <w:rsid w:val="4FA90297"/>
    <w:rsid w:val="4FD80B7D"/>
    <w:rsid w:val="4FDA01F8"/>
    <w:rsid w:val="4FE561E5"/>
    <w:rsid w:val="4FF221C3"/>
    <w:rsid w:val="4FF5172F"/>
    <w:rsid w:val="4FFA0634"/>
    <w:rsid w:val="500032A2"/>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1024103"/>
    <w:rsid w:val="51025571"/>
    <w:rsid w:val="51071719"/>
    <w:rsid w:val="510819A0"/>
    <w:rsid w:val="51200E5F"/>
    <w:rsid w:val="5123009E"/>
    <w:rsid w:val="512C2CA7"/>
    <w:rsid w:val="512D289E"/>
    <w:rsid w:val="514152FB"/>
    <w:rsid w:val="51434ED1"/>
    <w:rsid w:val="514D0397"/>
    <w:rsid w:val="51595CED"/>
    <w:rsid w:val="516445A0"/>
    <w:rsid w:val="518956A9"/>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852ECF"/>
    <w:rsid w:val="5A9C1659"/>
    <w:rsid w:val="5AA026B8"/>
    <w:rsid w:val="5AA116D7"/>
    <w:rsid w:val="5AAC7C87"/>
    <w:rsid w:val="5ADA1FF9"/>
    <w:rsid w:val="5AE821DA"/>
    <w:rsid w:val="5AED557F"/>
    <w:rsid w:val="5AF20641"/>
    <w:rsid w:val="5AFD1904"/>
    <w:rsid w:val="5B1552F3"/>
    <w:rsid w:val="5B2B4256"/>
    <w:rsid w:val="5B2C0607"/>
    <w:rsid w:val="5B3034F1"/>
    <w:rsid w:val="5B424CC5"/>
    <w:rsid w:val="5B4672E2"/>
    <w:rsid w:val="5B57504B"/>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D1281"/>
    <w:rsid w:val="63921C8F"/>
    <w:rsid w:val="63974B7F"/>
    <w:rsid w:val="639F7B81"/>
    <w:rsid w:val="63A252D2"/>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29477F"/>
    <w:rsid w:val="682F4FA9"/>
    <w:rsid w:val="68310698"/>
    <w:rsid w:val="68323C50"/>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423186"/>
    <w:rsid w:val="69432BE1"/>
    <w:rsid w:val="694D728A"/>
    <w:rsid w:val="69594684"/>
    <w:rsid w:val="6988057F"/>
    <w:rsid w:val="699906A2"/>
    <w:rsid w:val="69A973BA"/>
    <w:rsid w:val="69AC12C2"/>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60074"/>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D6E36"/>
    <w:rsid w:val="6DEC1C21"/>
    <w:rsid w:val="6E152319"/>
    <w:rsid w:val="6E3B0BAF"/>
    <w:rsid w:val="6E3E0629"/>
    <w:rsid w:val="6E45554E"/>
    <w:rsid w:val="6E501AEB"/>
    <w:rsid w:val="6E7C11B5"/>
    <w:rsid w:val="6E7C32EF"/>
    <w:rsid w:val="6E7F556F"/>
    <w:rsid w:val="6E997C25"/>
    <w:rsid w:val="6E9F07E1"/>
    <w:rsid w:val="6EA14A30"/>
    <w:rsid w:val="6EA42846"/>
    <w:rsid w:val="6EB6105A"/>
    <w:rsid w:val="6EBA00D3"/>
    <w:rsid w:val="6EBD1212"/>
    <w:rsid w:val="6EC629FF"/>
    <w:rsid w:val="6EC7282F"/>
    <w:rsid w:val="6EC922AC"/>
    <w:rsid w:val="6ED21161"/>
    <w:rsid w:val="6F1C104C"/>
    <w:rsid w:val="6F255735"/>
    <w:rsid w:val="6F26499B"/>
    <w:rsid w:val="6F2F3282"/>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456F6D"/>
    <w:rsid w:val="7A5F16CA"/>
    <w:rsid w:val="7A710D8E"/>
    <w:rsid w:val="7AAA2F92"/>
    <w:rsid w:val="7AB1300F"/>
    <w:rsid w:val="7AB64E52"/>
    <w:rsid w:val="7ADA0EA4"/>
    <w:rsid w:val="7AE75FBC"/>
    <w:rsid w:val="7AFC56D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A73F44"/>
    <w:rsid w:val="7FAD2052"/>
    <w:rsid w:val="7FB0411E"/>
    <w:rsid w:val="7FCA5021"/>
    <w:rsid w:val="7FEA3B6F"/>
    <w:rsid w:val="7FEE5147"/>
    <w:rsid w:val="7FF32CE5"/>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2754</Words>
  <Characters>7511</Characters>
  <Lines>0</Lines>
  <Paragraphs>501</Paragraphs>
  <ScaleCrop>false</ScaleCrop>
  <LinksUpToDate>false</LinksUpToDate>
  <CharactersWithSpaces>7532</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2022-09-08T09:53:14Z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2052-10.8.0.5715</vt:lpwstr>
  </property>
  <property fmtid="{D5CDD505-2E9C-101B-9397-08002B2CF9AE}" pid="6" name="LastSaved">
    <vt:filetime>2021-04-15T00:00:00Z</vt:filetime>
  </property>
</Properties>
</file>