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14"/>
        <w:tblW w:w="1040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40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054" w:hRule="atLeast"/>
        </w:trPr>
        <w:tc>
          <w:tcPr>
            <w:tcW w:w="10402" w:type="dxa"/>
            <w:tcBorders>
              <w:top w:val="nil"/>
              <w:left w:val="nil"/>
              <w:bottom w:val="nil"/>
              <w:right w:val="nil"/>
            </w:tcBorders>
          </w:tcPr>
          <w:p>
            <w:pPr>
              <w:pStyle w:val="8"/>
              <w:spacing w:line="550" w:lineRule="exact"/>
              <w:rPr>
                <w:rFonts w:hint="eastAsia" w:ascii="仿宋" w:hAnsi="仿宋" w:eastAsia="仿宋" w:cs="仿宋"/>
                <w:b/>
                <w:bCs/>
                <w:color w:val="FF0000"/>
                <w:sz w:val="22"/>
                <w:szCs w:val="22"/>
                <w:vertAlign w:val="baseline"/>
              </w:rPr>
            </w:pPr>
            <w:bookmarkStart w:id="0" w:name="_GoBack"/>
            <w:bookmarkEnd w:id="0"/>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45" w:hRule="atLeast"/>
        </w:trPr>
        <w:tc>
          <w:tcPr>
            <w:tcW w:w="10402" w:type="dxa"/>
            <w:tcBorders>
              <w:top w:val="nil"/>
              <w:left w:val="nil"/>
              <w:bottom w:val="nil"/>
              <w:right w:val="nil"/>
            </w:tcBorders>
            <w:vAlign w:val="center"/>
          </w:tcPr>
          <w:p>
            <w:pPr>
              <w:ind w:right="284" w:rightChars="129"/>
              <w:jc w:val="center"/>
              <w:rPr>
                <w:rFonts w:hint="eastAsia" w:ascii="仿宋" w:hAnsi="仿宋" w:eastAsia="仿宋" w:cs="仿宋"/>
                <w:b/>
                <w:bCs/>
                <w:color w:val="FF0000"/>
                <w:sz w:val="22"/>
                <w:szCs w:val="22"/>
                <w:vertAlign w:val="baseline"/>
              </w:rPr>
            </w:pPr>
            <w:r>
              <w:rPr>
                <w:rFonts w:ascii="宋体" w:hAnsi="宋体" w:eastAsia="宋体" w:cs="宋体"/>
                <w:b/>
                <w:sz w:val="52"/>
              </w:rPr>
              <w:t>2020年度江苏省立新农场单位决算公开</w:t>
            </w:r>
          </w:p>
        </w:tc>
      </w:tr>
    </w:tbl>
    <w:p>
      <w:pPr>
        <w:ind w:right="284" w:rightChars="129"/>
        <w:jc w:val="both"/>
        <w:rPr>
          <w:rFonts w:hint="eastAsia" w:ascii="宋体" w:hAnsi="宋体" w:eastAsia="宋体" w:cs="宋体"/>
          <w:b/>
          <w:bCs/>
          <w:sz w:val="52"/>
          <w:szCs w:val="52"/>
        </w:rPr>
        <w:sectPr>
          <w:headerReference r:id="rId4" w:type="first"/>
          <w:headerReference r:id="rId3" w:type="default"/>
          <w:pgSz w:w="11906" w:h="16838"/>
          <w:pgMar w:top="1580" w:right="700" w:bottom="770" w:left="1020" w:header="170" w:footer="280" w:gutter="0"/>
          <w:pgBorders>
            <w:top w:val="none" w:color="auto" w:sz="0" w:space="0"/>
            <w:left w:val="none" w:color="auto" w:sz="0" w:space="0"/>
            <w:bottom w:val="none" w:color="auto" w:sz="0" w:space="0"/>
            <w:right w:val="none" w:color="auto" w:sz="0" w:space="0"/>
          </w:pgBorders>
          <w:pgNumType w:fmt="decimal"/>
          <w:cols w:space="720" w:num="1"/>
          <w:formProt w:val="0"/>
          <w:titlePg/>
          <w:docGrid w:linePitch="100" w:charSpace="0"/>
        </w:sectPr>
      </w:pPr>
    </w:p>
    <w:p>
      <w:pPr>
        <w:pStyle w:val="8"/>
        <w:spacing w:before="4" w:after="0"/>
        <w:rPr>
          <w:rFonts w:ascii="华文仿宋" w:hAnsi="华文仿宋" w:eastAsia="华文仿宋" w:cs="仿宋"/>
          <w:sz w:val="10"/>
        </w:rPr>
      </w:pPr>
    </w:p>
    <w:p>
      <w:pPr>
        <w:pStyle w:val="3"/>
        <w:tabs>
          <w:tab w:val="left" w:pos="880"/>
        </w:tabs>
        <w:spacing w:line="718" w:lineRule="exact"/>
        <w:ind w:right="313" w:firstLine="0"/>
        <w:rPr>
          <w:rFonts w:hint="eastAsia" w:ascii="仿宋" w:hAnsi="仿宋" w:eastAsia="仿宋" w:cs="仿宋"/>
        </w:rPr>
      </w:pPr>
      <w:r>
        <w:rPr>
          <w:rFonts w:hint="eastAsia" w:ascii="仿宋" w:hAnsi="仿宋" w:eastAsia="仿宋" w:cs="仿宋"/>
          <w:b/>
          <w:bCs/>
        </w:rPr>
        <w:t>目</w:t>
      </w:r>
      <w:r>
        <w:rPr>
          <w:rFonts w:hint="eastAsia" w:ascii="仿宋" w:hAnsi="仿宋" w:eastAsia="仿宋" w:cs="仿宋"/>
          <w:b/>
          <w:bCs/>
        </w:rPr>
        <w:tab/>
      </w:r>
      <w:r>
        <w:rPr>
          <w:rFonts w:hint="eastAsia" w:ascii="仿宋" w:hAnsi="仿宋" w:eastAsia="仿宋" w:cs="仿宋"/>
          <w:b/>
          <w:bCs/>
        </w:rPr>
        <w:t>录</w:t>
      </w:r>
    </w:p>
    <w:p>
      <w:pPr>
        <w:pStyle w:val="8"/>
        <w:spacing w:before="7" w:after="0"/>
        <w:rPr>
          <w:rFonts w:hint="eastAsia" w:ascii="仿宋" w:hAnsi="仿宋" w:eastAsia="仿宋" w:cs="仿宋"/>
          <w:sz w:val="27"/>
        </w:rPr>
      </w:pP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b/>
          <w:bCs/>
        </w:rPr>
        <w:t xml:space="preserve">第一部分 </w:t>
      </w:r>
      <w:r>
        <w:rPr>
          <w:rFonts w:hint="eastAsia" w:ascii="仿宋" w:hAnsi="仿宋" w:eastAsia="仿宋" w:cs="仿宋"/>
          <w:b/>
          <w:bCs/>
          <w:lang w:val="en-US" w:eastAsia="zh-CN"/>
        </w:rPr>
        <w:t>单位</w:t>
      </w:r>
      <w:r>
        <w:rPr>
          <w:rFonts w:hint="eastAsia" w:ascii="仿宋" w:hAnsi="仿宋" w:eastAsia="仿宋" w:cs="仿宋"/>
          <w:b/>
          <w:bCs/>
        </w:rPr>
        <w:t>概况</w:t>
      </w:r>
    </w:p>
    <w:p>
      <w:pPr>
        <w:pStyle w:val="8"/>
        <w:keepNext w:val="0"/>
        <w:keepLines w:val="0"/>
        <w:pageBreakBefore w:val="0"/>
        <w:widowControl w:val="0"/>
        <w:tabs>
          <w:tab w:val="left" w:pos="2249"/>
        </w:tabs>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一、主要职能</w:t>
      </w:r>
    </w:p>
    <w:p>
      <w:pPr>
        <w:pStyle w:val="8"/>
        <w:keepNext w:val="0"/>
        <w:keepLines w:val="0"/>
        <w:pageBreakBefore w:val="0"/>
        <w:widowControl w:val="0"/>
        <w:tabs>
          <w:tab w:val="left" w:pos="2249"/>
        </w:tabs>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二、</w:t>
      </w:r>
      <w:r>
        <w:rPr>
          <w:rFonts w:hint="eastAsia" w:ascii="仿宋" w:hAnsi="仿宋" w:eastAsia="仿宋" w:cs="仿宋"/>
          <w:lang w:val="en-US" w:eastAsia="zh-CN"/>
        </w:rPr>
        <w:t>单位</w:t>
      </w:r>
      <w:r>
        <w:rPr>
          <w:rFonts w:hint="eastAsia" w:ascii="仿宋" w:hAnsi="仿宋" w:eastAsia="仿宋" w:cs="仿宋"/>
        </w:rPr>
        <w:t>机构设置及决算单位构成情况</w:t>
      </w:r>
    </w:p>
    <w:p>
      <w:pPr>
        <w:pStyle w:val="8"/>
        <w:keepNext w:val="0"/>
        <w:keepLines w:val="0"/>
        <w:pageBreakBefore w:val="0"/>
        <w:widowControl w:val="0"/>
        <w:tabs>
          <w:tab w:val="left" w:pos="2249"/>
        </w:tabs>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三、2020年度主要工作完成情况</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b/>
          <w:bCs/>
        </w:rPr>
      </w:pPr>
      <w:r>
        <w:rPr>
          <w:rFonts w:hint="eastAsia" w:ascii="仿宋" w:hAnsi="仿宋" w:eastAsia="仿宋" w:cs="仿宋"/>
          <w:b/>
          <w:bCs/>
          <w:lang w:val="en-US" w:eastAsia="zh-CN"/>
        </w:rPr>
        <w:t xml:space="preserve">第二部分 </w:t>
      </w:r>
      <w:r>
        <w:rPr>
          <w:rFonts w:hint="eastAsia" w:ascii="仿宋" w:hAnsi="仿宋" w:eastAsia="仿宋" w:cs="仿宋"/>
          <w:b/>
          <w:bCs/>
          <w:color w:val="000000"/>
          <w:sz w:val="30"/>
          <w:szCs w:val="30"/>
          <w:lang w:val="en-US" w:eastAsia="zh-CN" w:bidi="ar"/>
        </w:rPr>
        <w:t>2020</w:t>
      </w:r>
      <w:r>
        <w:rPr>
          <w:rFonts w:hint="eastAsia" w:ascii="仿宋" w:hAnsi="仿宋" w:eastAsia="仿宋" w:cs="仿宋"/>
          <w:b/>
          <w:bCs/>
          <w:lang w:val="en-US" w:eastAsia="zh-CN"/>
        </w:rPr>
        <w:t>年度</w:t>
      </w:r>
      <w:r>
        <w:rPr>
          <w:rFonts w:ascii="仿宋" w:hAnsi="仿宋" w:eastAsia="仿宋" w:cs="仿宋"/>
          <w:b/>
        </w:rPr>
        <w:t>单位决算表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5774" w:hanging="11" w:firstLineChars="0"/>
        <w:jc w:val="both"/>
        <w:textAlignment w:val="auto"/>
        <w:rPr>
          <w:rFonts w:hint="eastAsia" w:ascii="仿宋" w:hAnsi="仿宋" w:eastAsia="仿宋" w:cs="仿宋"/>
        </w:rPr>
      </w:pPr>
      <w:r>
        <w:rPr>
          <w:rFonts w:hint="eastAsia" w:ascii="仿宋" w:hAnsi="仿宋" w:eastAsia="仿宋" w:cs="仿宋"/>
          <w:spacing w:val="-2"/>
        </w:rPr>
        <w:t>一、收入支出决算总表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5774" w:hanging="11" w:firstLineChars="0"/>
        <w:jc w:val="both"/>
        <w:textAlignment w:val="auto"/>
        <w:rPr>
          <w:rFonts w:hint="eastAsia" w:ascii="仿宋" w:hAnsi="仿宋" w:eastAsia="仿宋" w:cs="仿宋"/>
        </w:rPr>
      </w:pPr>
      <w:r>
        <w:rPr>
          <w:rFonts w:hint="eastAsia" w:ascii="仿宋" w:hAnsi="仿宋" w:eastAsia="仿宋" w:cs="仿宋"/>
        </w:rPr>
        <w:t>二、收入决算表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w w:val="95"/>
        </w:rPr>
        <w:t>三、支出决算表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四、财政拨款收入支出决算总表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五、财政拨款支出决算表（功能科目）</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894" w:hanging="11" w:firstLineChars="0"/>
        <w:jc w:val="both"/>
        <w:textAlignment w:val="auto"/>
        <w:rPr>
          <w:rFonts w:hint="eastAsia" w:ascii="仿宋" w:hAnsi="仿宋" w:eastAsia="仿宋" w:cs="仿宋"/>
        </w:rPr>
      </w:pPr>
      <w:r>
        <w:rPr>
          <w:rFonts w:hint="eastAsia" w:ascii="仿宋" w:hAnsi="仿宋" w:eastAsia="仿宋" w:cs="仿宋"/>
        </w:rPr>
        <w:t>六、财政拨款基本支出决算表（经济科目） 七、一般公共预算支出决算表（功能科目）</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八、一般公共预算基本支出决算表（经济科目）</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九、一般公共预算“三公”经费、会议费、培训费支出决算表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十、政府性基金预算收入支出决算表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575" w:hanging="11" w:firstLineChars="0"/>
        <w:jc w:val="both"/>
        <w:textAlignment w:val="auto"/>
        <w:rPr>
          <w:rFonts w:hint="eastAsia" w:ascii="仿宋" w:hAnsi="仿宋" w:eastAsia="仿宋" w:cs="仿宋"/>
        </w:rPr>
      </w:pPr>
      <w:r>
        <w:rPr>
          <w:rFonts w:hint="eastAsia" w:ascii="仿宋" w:hAnsi="仿宋" w:eastAsia="仿宋" w:cs="仿宋"/>
        </w:rPr>
        <w:t>十一、一般公共预算机关运行经费支出决算表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575" w:hanging="11" w:firstLineChars="0"/>
        <w:jc w:val="both"/>
        <w:textAlignment w:val="auto"/>
        <w:rPr>
          <w:rFonts w:hint="eastAsia" w:ascii="仿宋" w:hAnsi="仿宋" w:eastAsia="仿宋" w:cs="仿宋"/>
        </w:rPr>
      </w:pPr>
      <w:r>
        <w:rPr>
          <w:rFonts w:hint="eastAsia" w:ascii="仿宋" w:hAnsi="仿宋" w:eastAsia="仿宋" w:cs="仿宋"/>
        </w:rPr>
        <w:t>十二、政府采购支出决算表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575" w:hanging="11" w:firstLineChars="0"/>
        <w:jc w:val="both"/>
        <w:textAlignment w:val="auto"/>
        <w:rPr>
          <w:rFonts w:hint="eastAsia" w:ascii="仿宋" w:hAnsi="仿宋" w:eastAsia="仿宋" w:cs="仿宋"/>
          <w:b/>
          <w:bCs/>
          <w:color w:val="000000"/>
          <w:sz w:val="30"/>
          <w:szCs w:val="30"/>
          <w:lang w:val="en-US" w:bidi="ar"/>
        </w:rPr>
      </w:pPr>
      <w:r>
        <w:rPr>
          <w:rFonts w:hint="eastAsia" w:ascii="仿宋" w:hAnsi="仿宋" w:eastAsia="仿宋" w:cs="仿宋"/>
          <w:b/>
          <w:bCs/>
          <w:lang w:val="en-US"/>
        </w:rPr>
        <w:t xml:space="preserve">第三部分 </w:t>
      </w:r>
      <w:r>
        <w:rPr>
          <w:rFonts w:hint="eastAsia" w:ascii="仿宋" w:hAnsi="仿宋" w:eastAsia="仿宋" w:cs="仿宋"/>
          <w:b/>
          <w:bCs/>
          <w:color w:val="000000"/>
          <w:sz w:val="30"/>
          <w:szCs w:val="30"/>
          <w:lang w:val="en-US" w:bidi="ar"/>
        </w:rPr>
        <w:t>2020年度</w:t>
      </w:r>
      <w:r>
        <w:rPr>
          <w:rFonts w:ascii="仿宋" w:hAnsi="仿宋" w:eastAsia="仿宋" w:cs="仿宋"/>
          <w:b/>
          <w:color w:val="000000"/>
          <w:sz w:val="30"/>
        </w:rPr>
        <w:t>单位</w:t>
      </w:r>
      <w:r>
        <w:rPr>
          <w:rFonts w:hint="eastAsia" w:ascii="仿宋" w:hAnsi="仿宋" w:eastAsia="仿宋" w:cs="仿宋"/>
          <w:b/>
          <w:bCs/>
          <w:color w:val="000000"/>
          <w:sz w:val="30"/>
          <w:szCs w:val="30"/>
          <w:lang w:val="en-US" w:bidi="ar"/>
        </w:rPr>
        <w:t>决算情况说明</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575" w:hanging="11" w:firstLineChars="0"/>
        <w:jc w:val="both"/>
        <w:textAlignment w:val="auto"/>
        <w:rPr>
          <w:rFonts w:hint="default" w:ascii="仿宋" w:hAnsi="仿宋" w:eastAsia="仿宋" w:cs="仿宋"/>
          <w:b/>
          <w:bCs/>
          <w:color w:val="000000"/>
          <w:sz w:val="30"/>
          <w:szCs w:val="30"/>
          <w:lang w:val="en-US" w:eastAsia="zh-CN" w:bidi="ar"/>
        </w:rPr>
      </w:pPr>
      <w:r>
        <w:rPr>
          <w:rFonts w:hint="eastAsia" w:ascii="仿宋" w:hAnsi="仿宋" w:eastAsia="仿宋" w:cs="仿宋"/>
          <w:b/>
          <w:bCs/>
          <w:lang w:val="en-US"/>
        </w:rPr>
        <w:t>第</w:t>
      </w:r>
      <w:r>
        <w:rPr>
          <w:rFonts w:hint="eastAsia" w:ascii="仿宋" w:hAnsi="仿宋" w:eastAsia="仿宋" w:cs="仿宋"/>
          <w:b/>
          <w:bCs/>
          <w:lang w:val="en-US" w:eastAsia="zh-CN"/>
        </w:rPr>
        <w:t>四</w:t>
      </w:r>
      <w:r>
        <w:rPr>
          <w:rFonts w:hint="eastAsia" w:ascii="仿宋" w:hAnsi="仿宋" w:eastAsia="仿宋" w:cs="仿宋"/>
          <w:b/>
          <w:bCs/>
          <w:lang w:val="en-US"/>
        </w:rPr>
        <w:t xml:space="preserve">部分 </w:t>
      </w:r>
      <w:r>
        <w:rPr>
          <w:rFonts w:hint="eastAsia" w:ascii="仿宋" w:hAnsi="仿宋" w:eastAsia="仿宋" w:cs="仿宋"/>
          <w:b/>
          <w:bCs/>
          <w:lang w:val="en-US" w:eastAsia="zh-CN"/>
        </w:rPr>
        <w:t>名词解释</w:t>
      </w:r>
    </w:p>
    <w:p>
      <w:pPr>
        <w:pStyle w:val="8"/>
        <w:spacing w:line="235" w:lineRule="auto"/>
        <w:ind w:left="669" w:leftChars="300" w:right="2414" w:hanging="9" w:firstLineChars="0"/>
        <w:jc w:val="both"/>
        <w:rPr>
          <w:rFonts w:hint="eastAsia" w:ascii="仿宋" w:hAnsi="仿宋" w:eastAsia="仿宋" w:cs="仿宋"/>
        </w:rPr>
        <w:sectPr>
          <w:footerReference r:id="rId5" w:type="default"/>
          <w:pgSz w:w="11906" w:h="16838"/>
          <w:pgMar w:top="1580" w:right="700" w:bottom="770" w:left="1020" w:header="283" w:footer="280" w:gutter="0"/>
          <w:pgBorders>
            <w:top w:val="none" w:color="auto" w:sz="0" w:space="0"/>
            <w:left w:val="none" w:color="auto" w:sz="0" w:space="0"/>
            <w:bottom w:val="none" w:color="auto" w:sz="0" w:space="0"/>
            <w:right w:val="none" w:color="auto" w:sz="0" w:space="0"/>
          </w:pgBorders>
          <w:pgNumType w:fmt="numberInDash" w:start="1"/>
          <w:cols w:space="720" w:num="1"/>
          <w:formProt w:val="0"/>
          <w:docGrid w:linePitch="100" w:charSpace="0"/>
        </w:sectPr>
      </w:pPr>
    </w:p>
    <w:p>
      <w:pPr>
        <w:pStyle w:val="8"/>
        <w:spacing w:before="1" w:after="0"/>
        <w:rPr>
          <w:rFonts w:ascii="华文仿宋" w:hAnsi="华文仿宋" w:eastAsia="华文仿宋" w:cs="仿宋"/>
          <w:sz w:val="14"/>
        </w:rPr>
      </w:pPr>
    </w:p>
    <w:p>
      <w:pPr>
        <w:pStyle w:val="5"/>
        <w:tabs>
          <w:tab w:val="left" w:pos="4395"/>
        </w:tabs>
        <w:spacing w:line="606" w:lineRule="exact"/>
        <w:ind w:right="504" w:rightChars="229"/>
        <w:jc w:val="center"/>
        <w:rPr>
          <w:rFonts w:hint="eastAsia" w:ascii="仿宋" w:hAnsi="仿宋" w:eastAsia="仿宋" w:cs="仿宋"/>
          <w:b/>
          <w:bCs/>
        </w:rPr>
      </w:pPr>
      <w:r>
        <w:rPr>
          <w:rFonts w:hint="eastAsia" w:ascii="仿宋" w:hAnsi="仿宋" w:eastAsia="仿宋" w:cs="仿宋"/>
          <w:b/>
          <w:bCs/>
        </w:rPr>
        <w:t>第一部分</w:t>
      </w:r>
      <w:r>
        <w:rPr>
          <w:rFonts w:hint="eastAsia" w:ascii="仿宋" w:hAnsi="仿宋" w:eastAsia="仿宋" w:cs="仿宋"/>
          <w:b/>
          <w:bCs/>
          <w:lang w:val="en-US" w:eastAsia="zh-CN"/>
        </w:rPr>
        <w:t xml:space="preserve"> </w:t>
      </w:r>
      <w:r>
        <w:rPr>
          <w:rFonts w:hint="eastAsia" w:ascii="仿宋" w:hAnsi="仿宋" w:eastAsia="仿宋" w:cs="仿宋"/>
          <w:b/>
          <w:bCs/>
        </w:rPr>
        <w:t>单位概况</w:t>
      </w:r>
    </w:p>
    <w:p>
      <w:pPr>
        <w:ind w:right="504" w:rightChars="229"/>
        <w:jc w:val="both"/>
        <w:rPr>
          <w:rFonts w:hint="eastAsia"/>
        </w:rPr>
      </w:pP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b/>
          <w:bCs/>
        </w:rPr>
      </w:pPr>
      <w:r>
        <w:rPr>
          <w:rFonts w:hint="eastAsia" w:ascii="仿宋" w:hAnsi="仿宋" w:eastAsia="仿宋" w:cs="仿宋"/>
          <w:b/>
          <w:bCs/>
        </w:rPr>
        <w:t>一、主要职能</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 一）负责安置全省长期流浪人员。对其负责思想教育转化，提供就业技能培训和劳动生产岗位。</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 二）负责安置全省民政系统儿童福利院大龄残疾人员。对其负责教育培养，提供就业技能培训和力所能及的劳动生产岗位。</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 三）履行保障民政服务对象的职能。对场内高龄孤寡老人和失能孤残人员，提供养老和助残服务。</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 四）完成省民政厅交办的其他任务。</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b/>
          <w:bCs/>
        </w:rPr>
      </w:pPr>
      <w:r>
        <w:rPr>
          <w:rFonts w:hint="eastAsia" w:ascii="仿宋" w:hAnsi="仿宋" w:eastAsia="仿宋" w:cs="仿宋"/>
          <w:b/>
          <w:bCs/>
        </w:rPr>
        <w:t>二、</w:t>
      </w:r>
      <w:r>
        <w:rPr>
          <w:rFonts w:ascii="仿宋" w:hAnsi="仿宋" w:eastAsia="仿宋" w:cs="仿宋"/>
          <w:b/>
        </w:rPr>
        <w:t>单位</w:t>
      </w:r>
      <w:r>
        <w:rPr>
          <w:rFonts w:hint="eastAsia" w:ascii="仿宋" w:hAnsi="仿宋" w:eastAsia="仿宋" w:cs="仿宋"/>
          <w:b/>
          <w:bCs/>
        </w:rPr>
        <w:t>机构设置及决算单位构成情况</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rPr>
      </w:pPr>
      <w:r>
        <w:rPr>
          <w:rFonts w:hint="eastAsia" w:ascii="仿宋" w:hAnsi="仿宋" w:eastAsia="仿宋" w:cs="仿宋"/>
          <w:lang w:val="en-US" w:eastAsia="zh-CN"/>
        </w:rPr>
        <w:t>1.</w:t>
      </w:r>
      <w:r>
        <w:rPr>
          <w:rFonts w:hint="eastAsia" w:ascii="仿宋" w:hAnsi="仿宋" w:eastAsia="仿宋" w:cs="仿宋"/>
        </w:rPr>
        <w:t>根据</w:t>
      </w:r>
      <w:r>
        <w:rPr>
          <w:rFonts w:hint="eastAsia" w:ascii="仿宋" w:hAnsi="仿宋" w:eastAsia="仿宋" w:cs="仿宋"/>
          <w:lang w:val="en-US" w:eastAsia="zh-CN"/>
        </w:rPr>
        <w:t>单位</w:t>
      </w:r>
      <w:r>
        <w:rPr>
          <w:rFonts w:hint="eastAsia" w:ascii="仿宋" w:hAnsi="仿宋" w:eastAsia="仿宋" w:cs="仿宋"/>
        </w:rPr>
        <w:t>职责分工，本</w:t>
      </w:r>
      <w:r>
        <w:rPr>
          <w:rFonts w:hint="eastAsia" w:ascii="仿宋" w:hAnsi="仿宋" w:eastAsia="仿宋" w:cs="仿宋"/>
          <w:lang w:val="en-US" w:eastAsia="zh-CN"/>
        </w:rPr>
        <w:t>单位</w:t>
      </w:r>
      <w:r>
        <w:rPr>
          <w:rFonts w:hint="eastAsia" w:ascii="仿宋" w:hAnsi="仿宋" w:eastAsia="仿宋" w:cs="仿宋"/>
        </w:rPr>
        <w:t>内设机构包括</w:t>
      </w:r>
      <w:r>
        <w:rPr>
          <w:rFonts w:hint="eastAsia" w:ascii="仿宋" w:hAnsi="仿宋" w:eastAsia="仿宋" w:cs="仿宋"/>
          <w:lang w:eastAsia="zh-CN"/>
        </w:rPr>
        <w:t>：</w:t>
      </w:r>
      <w:r>
        <w:rPr>
          <w:rFonts w:ascii="仿宋" w:hAnsi="仿宋" w:eastAsia="仿宋" w:cs="仿宋"/>
        </w:rPr>
        <w:t>（ 一）办公室。负责全场事务性工作，接收和发送各种文件，准备好各种会务活动、材料，做好外来人员的接待工作。管理职工医院、食堂、电力通讯等部门的日常工作。（ 二）计财科。主要负责拟订全场事业发展计划和资金使用计划、年度预算、决算编制工作、全场的财务管理工作、全场国有资产管理、全场内部审计工作、指导监督全场设施建设项目管理，负责全场财务队伍建设工作及全场财务申报统计工作。（ 三）人事科。负责全场人事调配、工资调整、职称晋升、人员招聘、聘用、职务任免、人事档案规范管理及党建工作等。（ 四）工业科。制定全场年度工作计划，宏观管理、协调监督服务工作，新产品开发、安全生产管理等工作。指导监督管理立新五金文体厂。（ 五）农业科。负责全场农业生产新技术、推广应用、农田水利建设的规划、实施和管理，指导全场农业产业结构的调整等。管理苏民公司、河东队、中心队。（ 六）老龄办公室。主管全场老龄事业的发展，维护老年人的合法权益不受侵犯，切实解决一些需要解决的问题，组织开展各种适合老年人身心健康的有益活动。本单位无下属单位。</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rPr>
      </w:pPr>
      <w:r>
        <w:rPr>
          <w:rFonts w:hint="eastAsia" w:ascii="仿宋" w:hAnsi="仿宋" w:eastAsia="仿宋" w:cs="仿宋"/>
          <w:lang w:val="en-US" w:eastAsia="zh-CN"/>
        </w:rPr>
        <w:t>2.</w:t>
      </w:r>
      <w:r>
        <w:rPr>
          <w:rFonts w:hint="eastAsia" w:ascii="仿宋" w:hAnsi="仿宋" w:eastAsia="仿宋" w:cs="仿宋"/>
        </w:rPr>
        <w:t>从决算单位构成看，纳入本</w:t>
      </w:r>
      <w:r>
        <w:rPr>
          <w:rFonts w:hint="eastAsia" w:ascii="仿宋" w:hAnsi="仿宋" w:eastAsia="仿宋" w:cs="仿宋"/>
          <w:lang w:val="en-US" w:eastAsia="zh-CN"/>
        </w:rPr>
        <w:t>单位</w:t>
      </w:r>
      <w:r>
        <w:rPr>
          <w:rFonts w:hint="eastAsia" w:ascii="仿宋" w:hAnsi="仿宋" w:eastAsia="仿宋" w:cs="仿宋"/>
        </w:rPr>
        <w:t>2020年</w:t>
      </w:r>
      <w:r>
        <w:rPr>
          <w:rFonts w:hint="eastAsia" w:ascii="仿宋" w:hAnsi="仿宋" w:eastAsia="仿宋" w:cs="仿宋"/>
          <w:lang w:val="en-US" w:eastAsia="zh-CN"/>
        </w:rPr>
        <w:t>单位</w:t>
      </w:r>
      <w:r>
        <w:rPr>
          <w:rFonts w:hint="eastAsia" w:ascii="仿宋" w:hAnsi="仿宋" w:eastAsia="仿宋" w:cs="仿宋"/>
        </w:rPr>
        <w:t>汇总决算编制范围的预算单位共计</w:t>
      </w:r>
      <w:r>
        <w:rPr>
          <w:rFonts w:ascii="仿宋" w:hAnsi="仿宋" w:eastAsia="仿宋" w:cs="仿宋"/>
        </w:rPr>
        <w:t>1</w:t>
      </w:r>
      <w:r>
        <w:rPr>
          <w:rFonts w:hint="eastAsia" w:ascii="仿宋" w:hAnsi="仿宋" w:eastAsia="仿宋" w:cs="仿宋"/>
        </w:rPr>
        <w:t>家，具体包括：</w:t>
      </w:r>
      <w:r>
        <w:rPr>
          <w:rFonts w:ascii="仿宋" w:hAnsi="仿宋" w:eastAsia="仿宋" w:cs="仿宋"/>
        </w:rPr>
        <w:t>江苏省立新农场。</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b/>
          <w:bCs/>
        </w:rPr>
      </w:pPr>
      <w:r>
        <w:rPr>
          <w:rFonts w:hint="eastAsia" w:ascii="仿宋" w:hAnsi="仿宋" w:eastAsia="仿宋" w:cs="仿宋"/>
          <w:b/>
          <w:bCs/>
        </w:rPr>
        <w:t>三、2020年度主要工作完成情况</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2020年，面对严峻复杂的宏观经济形势和前所未有的疫情冲击，全场上下深入学习贯彻党的十九大、十九届四中、五中全会精神，以习近平新时代中国特色社会主义思想为指导。按照厅党组的决策部署，紧紧围绕“两个责任书”的要求和抓党建、强基础；抓增收、创效益；抓调研、储厚力；抓安全、保稳定的总体工作目标，扎实开展各项工作。全面推进了全场经济和各项事业平稳发展，现将本年度工作情况总结如下：</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（一）抓党建、强基础，发挥支部堡垒作用。</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加强立新农场党支部建设是深化改革、促进发展，确保全场和谐稳定的基础和关键。为此，我们牢固树立“以党建促发展、以发展求实效”的工作理念，按照厅党组和驻地上级党委对党建工作的决策部署和要求，全面压实党建工作责任，不断强化党的领导。</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1.加强党的政治建设，不断深化思想理论武装。</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场党支部坚持把政治建设摆在首位，以政治建设为统领，加强政治纪律教育，积极引导全体党员干部进一步提高政治站位和政治能力，坚决执行党的政治路线，严格遵守政治规矩，在政治立场、政治方向、政治原则、政治道路上同党中央保持高度一致。牢牢掌握意识形态的领导权和主动权，围绕学懂弄通新思想、鼓舞士气聚人心、塑造农场新形象的目标任务，加强宣传引导、深化理论武装。一是领导带头，提高思想教育质量。制定了《省立新农场党支部2020年度党建工作计划》，按照党支部学习计划安排，支委会成员以身作则读原著、学原文、悟原理，带头学习习近平新时代中国特色社会主义思想、党的十九届四中、五中全会精神、全国“两会”精神以及省委、省政府、厅党组和驻地地方党委各项决策部署，并通过各种形式的学习教育活动平台，开展专题研讨、专题宣传，不断提高思想教育的质量。二是党员跟进，掀起理论学习热潮。坚持常态化“三会一课”制度，以集中学习和实践学习相结合的方式，引导全体党员适应新时代、新形势，贯彻新任务、新要求。全年场党支部向全场党员干部下发了《党员应知应会手册》、《场党支部党员组织生活指南》、《习近平谈治国理政》第三卷、《中国共产党第十九届中央委员会第五次全体会议文件汇编》、《党的十九届五中全会建议学习辅导百问》等学习读本，并且全场党员在“学习强国”参学率已达到100%。全年度共组织召开学习辅导讲座4场，分四个党小组组织政治理论学习会9场，集中组织全体党员召开学习会6场，组织党员干部前往句容茅山新四军纪念馆开展“忠诚核心、勇担使命”主题党日活动，缅怀先烈、接受洗礼，感悟“铁军”精神，重温入党誓词，全面掀起了理论学习热潮，促进了政治理论学习往实里走、往深里去。</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2.加强党的组织建设，不断夯实党建工作基础。</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我们始终坚持把党建工作纳入全局通盘考虑，坚持一手抓业务不放松，一手抓党建不动摇，紧紧围绕巡察整改工作，以提升组织力为重点，完善党组织建设，夯实党支部工作基础。一是制度建设不留空白。按照新时代党的基层组织工作要求，进一步完善了《立新农场党的组织生活制度》，其中内容含盖场党支部议事规则、党支部组织生活会制度、民主评议党员、“三会一课”、党组织换届选举、党费收缴管理、发展党员和党建工作台账等工作制度和规定。二是加大关爱力度，加强职工队伍建设。场党支部坚持以感情凝聚人，以事业激励人的导向，注重关心爱护每名干部职工，开展了经常性的济贫纾困工作，如遇干部职工住院治疗，党组织都会安排人员探望慰问，如遇职工家庭发生变故或出现家庭矛盾，党组织都会第一时间派人介入进行帮扶或调解，逢年过节都会组织开展走访慰问活动，向全场干部送上党组织的关怀与温暖。主动关心每名干部职工的成长，鼓励职工参加各类专业技能培训或学习深造，对待人才都能合理安排岗位，发挥他们的专长。三是坚持党性锤炼，加强党员队伍建设。自疫情发生以来，场党支部第一时间成立了疫情防控工作组。党员干部全部向党组织递交承诺书，主动请战到防控一线开展疫情防控、政策宣传、组织物资采购发放、路口防控点值守巡防，全场每名党员都积极响应党组织的号召，主动向党组织缴纳了特殊党费。为群众展示了党员的先锋模范作用，筑起了生命健康防线。四是根据省民政厅《关于开展“忠诚核心、勇担使命”主题实践活动方案》的通知要求，制定了《省立新农场党支部关于开展“忠诚核心、勇担使命”主题实践活动计划》。按照主题实践活动计划安排围绕“忠诚核心、勇担使命”主题，场党支部开展了主题党日活动，专题组织生活会与年度组织生活会正按《2020年度省立新农场领导班子组织生活会方案》进行之中。</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3.加强党风廉政建设，全面落实从严治党责任。</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不断加强党风廉政建设和反腐倡廉工作是做好党建工作的重要抓手。按照党风廉政建设领导体制和工作要求，场党支部始终坚持“两手抓，两手都要硬”的工作方针。认真抓好责任范围内的党风廉政建设和反腐工作的落实。一是突出抓党支部主体责任的落实。明确细化党支部书记第一责任和分管领导、各科室、各单位主要负责人的具体责任，签订了《2020年度省立新农场全面落实从严治党责任书》。二是加强反腐倡廉宣传教育。不断强化腐败案件的反面警示作用，在复工复产的第一时间，为筑牢思想防线，提振工作斗志，支委会成员参加了由樊川镇纪委组织的赴扬州市廉政教育基地开展警示教育。并即时将上级查处违法违纪案件的通报加入到党员学习内容，使党员干部在潜移默化中把廉政教育入心入脑。三是全面推行党务、政务公开。对涉及干部选拔任用、重大经费使用、工程项目，相关人事工资政策以及职工关心的热点问题，事关职工群众利益的重大事项等内容，都要利用召开会议通报或在公示栏中予以公示，扩大干部职工的知情权和监督权。四是加大了工程建设项目。较大物资采购以及较大固定资产处置监督。严格执行相关制度，坚决按照程序办事。五是强化两个责任的落实。推进党建工作与业务工作深度融合，坚持把党建工作与业务工作同部署、同落实、同考核与各科室单位签订了《2020年度业务管理目标责任书》和《2020年度安全生产管理目标责任书》。六是做到以上率下，带头严格执行中央“八项”规定。尤其在重要节日时都要开会提醒加强监督检查，严格执行各项规定反对铺张浪费。七是认真严肃地开展巡察问题整改工作。对照整改问题清单，场党支部及时分四个党小组，分别组织党员召开了专题组织生活会，开展批评与自我批评，认真查摆存在于班子成员身上的问题，能做到即知即改、毫不马虎立即整改。已按时完成巡察整改任务。八是对重点业务工作领域开展了廉政风险点排查整治工作。对排查出的风险点建章立制，全面防控，为全场转型发展营造了风清气正的良好环境。</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（二）抓增收创效益，促进经济平稳增长。</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2020年，我们以全面推进转型发展为主线，以优化产业结构调整为抓手，凝心聚力，开拓求进，取得了预期成效，全场经济保持了平稳向上的良好发展态势，全年实现事业收入210.75万元，与上年相比增长1.91%。一年来我场在实现创收方面取得的成效主要表现在：一是积极引导场办企业调整思路、加强经营管理，增项扩量。在五金文体厂干部职工的共同努力下，与高邮威高集团横向联合更加紧密，发展的后劲明显增强。二是农业以优化产业各项经营承包管理模式为重点。在巩固传统稻麦粮食生产的基础上，实现亩产超吨粮的目标。三是积极引导后勤服务单位。紧紧围绕加强管理，拓展对外经营这个中心，服务质量有了较好的提升，增收节支工作成效显著，取得了较好的社会效益和经济效益。</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（三）抓调研、储厚力，推动持续健康发展。</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2020年初，场部分别组成工业、农业和后勤三产三个调研组，立足工作实际，有针对性的设定课题，广泛开展大讨论、大设想、大调研活动。按照年度工作计划安排，各项发展课题调研工作已取得实效。一是工业围绕在培植经济增长点上做文章。取得了新成效，已有效扭转了下行趋势，据统计年度经济指标任务已超额圆满完成。二是农业以调整产业结构为突破口。在做大拉长传统产业链，加快开发特色项目上做文章，已形成了《对当前我场农业转型发展的调查与思考》调研报告，为下一步全场农业项目的发展提供了决策依据。三是后勤三产从彻底转变管理运营模式入手开展调查研究。取得了较为显著的成果。已分步骤对没有创收能力的后勤单位实行了撤并整合，人员全部转岗分流到一线创收单位。</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（四）抓安全、保稳定，营造平安和谐环境。</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一是全方位落实维稳工作责任制。积极排查处理社会矛盾，着力解决群众的实际困难，按照解决问题的要求，把矛盾解决在初始阶段。进一步加强了社会治安综合治理的工作力度，以依法治场创建活动为突破口，实现了全场社会环境平安和谐。</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二是安全生产工作始终坚持“安全第一、预防为主、综合治理”的方针。及时传达学习上级部门关于安全生产的会议和文件精神，充分利用橱窗、标语等方式，开展安全宣传教育，组织开展消防器材操作演练，建立健全各项管理制度，全方位签订了年度安全生产管理目标责任书。</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三是按照省安全生产专项整治行动领导小组《关于印发省养老等社会服务机构安全专项整治实施方案的通知》和扬州市安全生产委员会《关于开展安全生产事故隐患全面排查整治行动的通告》的精神。我场召开了全场安全生产事故隐患排查整治工作动员会，成立《场安全生产事故隐患排查整治工作组》，结合本场工作实际情况制定了《省立新农场安全生产事故隐患排查整治工作实施方案》。广泛开展宣传发动，在场区范围张贴宣传标语、横幅、通告等，全年度共检查各类安全隐患43项，完成整改43项。</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四是落实新冠病毒肺炎疫情防控责任。成立了以场主要领导为组长，各科室、单位主要负责人为成员的疫情防控工作组，全方位对全场疫情防控工作加强领导、落实责任，研究防控措施、堵塞防控漏洞，保证了新冠肺炎疫情防控工作常态化、制度化推进。</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以上这些成绩的取得，是在厅党组的正确领导下，场党支部团结带领全场干部职工共同努力的结果。同时，我们也清醒地看到工作中存在的差距和不足，主要表现在经济发展的后力还较弱，整体经济实力不够强，资金和政策支撑不足，创新发展的能力还需要进一步提高。我们将高度重视这些问题，认真加以研究解决，确保各项工作保持平稳发展。</w:t>
      </w:r>
    </w:p>
    <w:p>
      <w:pPr>
        <w:pStyle w:val="8"/>
        <w:spacing w:line="235" w:lineRule="auto"/>
        <w:ind w:left="669" w:leftChars="300" w:right="2414" w:hanging="9" w:firstLineChars="0"/>
        <w:jc w:val="both"/>
        <w:rPr>
          <w:rFonts w:hint="eastAsia" w:ascii="仿宋" w:hAnsi="仿宋" w:eastAsia="仿宋" w:cs="仿宋"/>
        </w:rPr>
        <w:sectPr>
          <w:footerReference r:id="rId6" w:type="default"/>
          <w:pgSz w:w="11906" w:h="16838"/>
          <w:pgMar w:top="1580" w:right="700" w:bottom="770" w:left="1020" w:header="283"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r>
        <w:rPr>
          <w:rFonts w:hint="eastAsia" w:ascii="仿宋" w:hAnsi="仿宋" w:eastAsia="仿宋" w:cs="仿宋"/>
          <w:b/>
          <w:bCs/>
          <w:sz w:val="44"/>
          <w:szCs w:val="44"/>
        </w:rPr>
        <w:t>第二部分</w:t>
      </w: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r>
        <w:rPr>
          <w:rFonts w:hint="eastAsia" w:ascii="仿宋" w:hAnsi="仿宋" w:eastAsia="仿宋" w:cs="仿宋"/>
          <w:b/>
          <w:bCs/>
          <w:sz w:val="44"/>
          <w:szCs w:val="44"/>
          <w:u w:val="none"/>
        </w:rPr>
        <w:t>江苏省立新农场</w:t>
      </w: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r>
        <w:rPr>
          <w:rFonts w:hint="eastAsia" w:ascii="仿宋" w:hAnsi="仿宋" w:eastAsia="仿宋" w:cs="仿宋"/>
          <w:b/>
          <w:bCs/>
          <w:sz w:val="44"/>
          <w:szCs w:val="44"/>
        </w:rPr>
        <w:t>2020年度</w:t>
      </w:r>
    </w:p>
    <w:p>
      <w:pPr>
        <w:pStyle w:val="21"/>
        <w:widowControl w:val="0"/>
        <w:tabs>
          <w:tab w:val="left" w:pos="1609"/>
        </w:tabs>
        <w:suppressAutoHyphens/>
        <w:bidi w:val="0"/>
        <w:spacing w:before="12" w:after="0" w:line="300" w:lineRule="auto"/>
        <w:ind w:left="340" w:right="567" w:firstLine="0"/>
        <w:jc w:val="center"/>
        <w:rPr>
          <w:rFonts w:ascii="宋体" w:hAnsi="宋体" w:eastAsia="宋体" w:cs="仿宋"/>
          <w:b/>
          <w:bCs/>
          <w:sz w:val="44"/>
          <w:szCs w:val="44"/>
        </w:rPr>
      </w:pPr>
      <w:r>
        <w:rPr>
          <w:rFonts w:hint="eastAsia" w:ascii="仿宋" w:hAnsi="仿宋" w:eastAsia="仿宋" w:cs="仿宋"/>
          <w:b/>
          <w:bCs/>
          <w:sz w:val="44"/>
          <w:szCs w:val="44"/>
          <w:lang w:val="en-US" w:eastAsia="zh-CN"/>
        </w:rPr>
        <w:t>单位</w:t>
      </w:r>
      <w:r>
        <w:rPr>
          <w:rFonts w:ascii="仿宋" w:hAnsi="仿宋" w:eastAsia="仿宋" w:cs="仿宋"/>
          <w:b/>
          <w:sz w:val="44"/>
        </w:rPr>
        <w:t>决算表</w:t>
      </w:r>
    </w:p>
    <w:tbl>
      <w:tblPr>
        <w:tblStyle w:val="13"/>
        <w:tblW w:w="11331" w:type="dxa"/>
        <w:jc w:val="center"/>
        <w:tblInd w:w="0" w:type="dxa"/>
        <w:tblLayout w:type="fixed"/>
        <w:tblCellMar>
          <w:top w:w="0" w:type="dxa"/>
          <w:left w:w="108" w:type="dxa"/>
          <w:bottom w:w="0" w:type="dxa"/>
          <w:right w:w="108" w:type="dxa"/>
        </w:tblCellMar>
      </w:tblPr>
      <w:tblGrid>
        <w:gridCol w:w="3908"/>
        <w:gridCol w:w="1869"/>
        <w:gridCol w:w="3704"/>
        <w:gridCol w:w="67"/>
        <w:gridCol w:w="1781"/>
        <w:gridCol w:w="2"/>
      </w:tblGrid>
      <w:tr>
        <w:tblPrEx>
          <w:tblLayout w:type="fixed"/>
          <w:tblCellMar>
            <w:top w:w="0" w:type="dxa"/>
            <w:left w:w="108" w:type="dxa"/>
            <w:bottom w:w="0" w:type="dxa"/>
            <w:right w:w="108" w:type="dxa"/>
          </w:tblCellMar>
        </w:tblPrEx>
        <w:trPr>
          <w:trHeight w:val="544" w:hRule="atLeast"/>
          <w:jc w:val="center"/>
        </w:trPr>
        <w:tc>
          <w:tcPr>
            <w:tcW w:w="11329" w:type="dxa"/>
            <w:gridSpan w:val="5"/>
          </w:tcPr>
          <w:p>
            <w:pPr>
              <w:pageBreakBefore/>
              <w:widowControl w:val="0"/>
              <w:ind w:left="0" w:right="0" w:firstLine="0"/>
              <w:jc w:val="center"/>
              <w:textAlignment w:val="auto"/>
              <w:rPr>
                <w:rFonts w:hint="eastAsia" w:ascii="仿宋" w:hAnsi="仿宋" w:eastAsia="仿宋" w:cs="仿宋"/>
                <w:b/>
                <w:bCs/>
                <w:color w:val="000000"/>
              </w:rPr>
            </w:pPr>
            <w:r>
              <w:rPr>
                <w:rFonts w:hint="eastAsia" w:ascii="仿宋" w:hAnsi="仿宋" w:eastAsia="仿宋" w:cs="仿宋"/>
                <w:b/>
                <w:bCs/>
                <w:color w:val="000000"/>
                <w:sz w:val="44"/>
                <w:szCs w:val="44"/>
                <w:lang w:eastAsia="ar-SA"/>
              </w:rPr>
              <w:t>收入支出决算总表</w:t>
            </w: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8" w:hRule="atLeast"/>
          <w:jc w:val="center"/>
        </w:trPr>
        <w:tc>
          <w:tcPr>
            <w:tcW w:w="3908" w:type="dxa"/>
          </w:tcPr>
          <w:p>
            <w:pPr>
              <w:widowControl w:val="0"/>
              <w:ind w:left="0" w:right="0" w:firstLine="0"/>
              <w:jc w:val="left"/>
              <w:textAlignment w:val="auto"/>
              <w:rPr>
                <w:rFonts w:hint="eastAsia" w:ascii="仿宋" w:hAnsi="仿宋" w:eastAsia="仿宋" w:cs="仿宋"/>
                <w:color w:val="000000"/>
                <w:sz w:val="20"/>
              </w:rPr>
            </w:pPr>
          </w:p>
        </w:tc>
        <w:tc>
          <w:tcPr>
            <w:tcW w:w="1869" w:type="dxa"/>
          </w:tcPr>
          <w:p>
            <w:pPr>
              <w:widowControl w:val="0"/>
              <w:ind w:left="0" w:right="0" w:firstLine="0"/>
              <w:jc w:val="left"/>
              <w:textAlignment w:val="auto"/>
              <w:rPr>
                <w:rFonts w:hint="eastAsia" w:ascii="仿宋" w:hAnsi="仿宋" w:eastAsia="仿宋" w:cs="仿宋"/>
                <w:color w:val="000000"/>
                <w:sz w:val="20"/>
              </w:rPr>
            </w:pPr>
          </w:p>
        </w:tc>
        <w:tc>
          <w:tcPr>
            <w:tcW w:w="5552" w:type="dxa"/>
            <w:gridSpan w:val="3"/>
          </w:tcPr>
          <w:p>
            <w:pPr>
              <w:widowControl w:val="0"/>
              <w:ind w:left="0" w:right="0" w:firstLine="0"/>
              <w:jc w:val="right"/>
              <w:textAlignment w:val="auto"/>
              <w:rPr>
                <w:rFonts w:hint="eastAsia" w:ascii="仿宋" w:hAnsi="仿宋" w:eastAsia="仿宋" w:cs="仿宋"/>
                <w:color w:val="000000"/>
                <w:sz w:val="22"/>
              </w:rPr>
            </w:pPr>
            <w:r>
              <w:rPr>
                <w:rFonts w:hint="eastAsia" w:ascii="仿宋" w:hAnsi="仿宋" w:eastAsia="仿宋" w:cs="仿宋"/>
                <w:color w:val="000000"/>
                <w:sz w:val="22"/>
                <w:szCs w:val="22"/>
                <w:lang w:eastAsia="ar-SA"/>
              </w:rPr>
              <w:t>公开01表</w:t>
            </w: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33" w:hRule="atLeast"/>
          <w:jc w:val="center"/>
        </w:trPr>
        <w:tc>
          <w:tcPr>
            <w:tcW w:w="9481" w:type="dxa"/>
            <w:gridSpan w:val="3"/>
            <w:tcBorders>
              <w:bottom w:val="single" w:color="000000" w:sz="4" w:space="0"/>
            </w:tcBorders>
            <w:vAlign w:val="center"/>
          </w:tcPr>
          <w:p>
            <w:pPr>
              <w:widowControl w:val="0"/>
              <w:ind w:left="0" w:right="0" w:firstLine="0"/>
              <w:jc w:val="left"/>
              <w:textAlignment w:val="auto"/>
              <w:rPr>
                <w:rFonts w:hint="eastAsia" w:ascii="仿宋" w:hAnsi="仿宋" w:eastAsia="仿宋" w:cs="仿宋"/>
                <w:color w:val="000000"/>
                <w:sz w:val="22"/>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color w:val="000000"/>
                <w:sz w:val="22"/>
                <w:szCs w:val="22"/>
                <w:lang w:eastAsia="ar-SA"/>
              </w:rPr>
              <w:t>江苏省立新农场</w:t>
            </w:r>
          </w:p>
        </w:tc>
        <w:tc>
          <w:tcPr>
            <w:tcW w:w="1848" w:type="dxa"/>
            <w:gridSpan w:val="2"/>
            <w:tcBorders>
              <w:bottom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rPr>
            </w:pPr>
            <w:r>
              <w:rPr>
                <w:rFonts w:hint="eastAsia" w:ascii="仿宋" w:hAnsi="仿宋" w:eastAsia="仿宋" w:cs="仿宋"/>
                <w:color w:val="000000"/>
                <w:sz w:val="22"/>
              </w:rPr>
              <w:t>金额单位：万元</w:t>
            </w: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450" w:hRule="atLeast"/>
          <w:jc w:val="center"/>
        </w:trPr>
        <w:tc>
          <w:tcPr>
            <w:tcW w:w="5777"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收入</w:t>
            </w:r>
          </w:p>
        </w:tc>
        <w:tc>
          <w:tcPr>
            <w:tcW w:w="5552" w:type="dxa"/>
            <w:gridSpan w:val="3"/>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支出</w:t>
            </w: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9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ascii="仿宋" w:hAnsi="仿宋" w:eastAsia="仿宋" w:cs="仿宋"/>
                <w:color w:val="000000"/>
                <w:sz w:val="22"/>
              </w:rPr>
              <w:t>项目</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决算数</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按功能分类</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决算数</w:t>
            </w: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一、一般公共预算财政拨款收入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1,568.76</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一、一般公共服务支出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二、政府性基金预算财政拨款收入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二、外交支出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三、国有资本经营预算财政拨款收入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三、国防支出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四、上级补助收入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四、公共安全支出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五、事业收入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210.75</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五、教育支出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六、经营收入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六、科学技术支出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七、附属单位上缴收入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七、文化旅游体育与传媒支出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八、其他收入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八、社会保障和就业支出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1,641.96</w:t>
            </w: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九、卫生健康支出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十、节能环保支出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十一、城乡社区支出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十二、农林水支出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十三、交通运输支出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十四、资源勘探工业信息等支出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十五、商业服务业等支出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十六、金融支出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十七、援助其他地区支出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十八、自然资源海洋气象等支出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十九、住房保障支出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二十、粮油物资储备支出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二十一、国有资本经营预算支出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二十二、灾害防治及应急管理支出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二十三、其他支出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二十四、债务还本支出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二十五、债务付息支出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二十六、抗疫特别国债安排的支出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454" w:hRule="exac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bCs/>
                <w:color w:val="000000"/>
                <w:sz w:val="22"/>
                <w:szCs w:val="22"/>
                <w:lang w:eastAsia="ar-SA"/>
              </w:rPr>
              <w:t>本年收入合计</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1,779.51</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b/>
                <w:bCs/>
                <w:color w:val="000000"/>
                <w:sz w:val="22"/>
                <w:szCs w:val="22"/>
              </w:rPr>
            </w:pPr>
            <w:r>
              <w:rPr>
                <w:rFonts w:hint="eastAsia" w:ascii="仿宋" w:hAnsi="仿宋" w:eastAsia="仿宋" w:cs="仿宋"/>
                <w:b/>
                <w:bCs/>
                <w:color w:val="000000"/>
                <w:sz w:val="22"/>
                <w:szCs w:val="22"/>
                <w:lang w:eastAsia="ar-SA"/>
              </w:rPr>
              <w:t>本年支出合计</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1,641.96</w:t>
            </w: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413"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 xml:space="preserve">    使用非财政拨款结余</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 xml:space="preserve">    结余分配</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169.97</w:t>
            </w: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413"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 xml:space="preserve">    年初结转和结余</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64.36</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 xml:space="preserve">    年末结转和结余</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31.95</w:t>
            </w: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83" w:hRule="atLeast"/>
          <w:jc w:val="center"/>
        </w:trPr>
        <w:tc>
          <w:tcPr>
            <w:tcW w:w="3908" w:type="dxa"/>
            <w:tcBorders>
              <w:top w:val="single" w:color="000000" w:sz="4" w:space="0"/>
              <w:left w:val="single" w:color="000000" w:sz="4" w:space="0"/>
              <w:bottom w:val="single" w:color="000000" w:sz="4" w:space="0"/>
              <w:right w:val="single" w:color="000000" w:sz="4" w:space="0"/>
            </w:tcBorders>
          </w:tcPr>
          <w:p>
            <w:pPr>
              <w:widowControl w:val="0"/>
              <w:jc w:val="left"/>
              <w:rPr>
                <w:rFonts w:hint="eastAsia" w:ascii="仿宋" w:hAnsi="仿宋" w:eastAsia="仿宋" w:cs="仿宋"/>
                <w:color w:val="000000"/>
                <w:sz w:val="22"/>
                <w:szCs w:val="22"/>
              </w:rPr>
            </w:pPr>
          </w:p>
        </w:tc>
        <w:tc>
          <w:tcPr>
            <w:tcW w:w="1869" w:type="dxa"/>
            <w:tcBorders>
              <w:top w:val="single" w:color="000000" w:sz="4" w:space="0"/>
              <w:left w:val="single" w:color="000000" w:sz="4" w:space="0"/>
              <w:bottom w:val="single" w:color="000000" w:sz="4" w:space="0"/>
              <w:right w:val="single" w:color="000000" w:sz="4" w:space="0"/>
            </w:tcBorders>
          </w:tcPr>
          <w:p>
            <w:pPr>
              <w:widowControl w:val="0"/>
              <w:jc w:val="left"/>
              <w:rPr>
                <w:rFonts w:hint="eastAsia" w:ascii="仿宋" w:hAnsi="仿宋" w:eastAsia="仿宋" w:cs="仿宋"/>
                <w:color w:val="000000"/>
                <w:sz w:val="22"/>
                <w:szCs w:val="22"/>
              </w:rPr>
            </w:pPr>
          </w:p>
        </w:tc>
        <w:tc>
          <w:tcPr>
            <w:tcW w:w="3771" w:type="dxa"/>
            <w:gridSpan w:val="2"/>
            <w:tcBorders>
              <w:top w:val="single" w:color="000000" w:sz="4" w:space="0"/>
              <w:left w:val="single" w:color="000000" w:sz="4" w:space="0"/>
              <w:bottom w:val="single" w:color="000000" w:sz="4" w:space="0"/>
              <w:right w:val="single" w:color="000000" w:sz="4" w:space="0"/>
            </w:tcBorders>
          </w:tcPr>
          <w:p>
            <w:pPr>
              <w:widowControl w:val="0"/>
              <w:jc w:val="left"/>
              <w:rPr>
                <w:rFonts w:hint="eastAsia" w:ascii="仿宋" w:hAnsi="仿宋" w:eastAsia="仿宋" w:cs="仿宋"/>
                <w:color w:val="000000"/>
                <w:sz w:val="22"/>
                <w:szCs w:val="22"/>
              </w:rPr>
            </w:pPr>
          </w:p>
        </w:tc>
        <w:tc>
          <w:tcPr>
            <w:tcW w:w="1781" w:type="dxa"/>
            <w:tcBorders>
              <w:top w:val="single" w:color="000000" w:sz="4" w:space="0"/>
              <w:left w:val="single" w:color="000000" w:sz="4" w:space="0"/>
              <w:bottom w:val="single" w:color="000000" w:sz="4" w:space="0"/>
              <w:right w:val="single" w:color="000000" w:sz="4" w:space="0"/>
            </w:tcBorders>
          </w:tcPr>
          <w:p>
            <w:pPr>
              <w:widowControl w:val="0"/>
              <w:jc w:val="left"/>
              <w:rPr>
                <w:rFonts w:hint="eastAsia" w:ascii="仿宋" w:hAnsi="仿宋" w:eastAsia="仿宋" w:cs="仿宋"/>
                <w:color w:val="000000"/>
                <w:sz w:val="22"/>
                <w:szCs w:val="22"/>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cantSplit/>
          <w:trHeight w:val="454" w:hRule="exac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color w:val="000000"/>
                <w:sz w:val="22"/>
                <w:szCs w:val="22"/>
                <w:lang w:eastAsia="ar-SA"/>
              </w:rPr>
              <w:t>总计</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1,843.88</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color w:val="000000"/>
                <w:sz w:val="22"/>
                <w:szCs w:val="22"/>
                <w:lang w:eastAsia="ar-SA"/>
              </w:rPr>
              <w:t>总计</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1,843.88</w:t>
            </w:r>
          </w:p>
        </w:tc>
        <w:tc>
          <w:tcPr>
            <w:tcW w:w="2" w:type="dxa"/>
          </w:tcPr>
          <w:p>
            <w:pPr>
              <w:widowControl w:val="0"/>
              <w:jc w:val="left"/>
              <w:rPr>
                <w:rFonts w:hint="eastAsia" w:ascii="仿宋" w:hAnsi="仿宋" w:eastAsia="仿宋" w:cs="仿宋"/>
                <w:sz w:val="20"/>
              </w:rPr>
            </w:pPr>
          </w:p>
        </w:tc>
      </w:tr>
    </w:tbl>
    <w:p>
      <w:pPr>
        <w:widowControl w:val="0"/>
        <w:suppressAutoHyphens/>
        <w:bidi w:val="0"/>
        <w:spacing w:before="66" w:after="0"/>
        <w:ind w:left="-440" w:leftChars="-200" w:right="0" w:firstLine="0" w:firstLineChars="0"/>
        <w:jc w:val="left"/>
        <w:rPr>
          <w:rFonts w:hint="eastAsia" w:ascii="仿宋" w:hAnsi="仿宋" w:eastAsia="仿宋" w:cs="仿宋"/>
          <w:b/>
          <w:bCs/>
          <w:color w:val="000000"/>
          <w:sz w:val="22"/>
          <w:szCs w:val="22"/>
          <w:lang w:val="en-US" w:eastAsia="zh-CN"/>
        </w:rPr>
      </w:pPr>
      <w:r>
        <w:rPr>
          <w:rFonts w:hint="eastAsia" w:ascii="仿宋" w:hAnsi="仿宋" w:eastAsia="仿宋" w:cs="仿宋"/>
          <w:b/>
          <w:bCs/>
          <w:color w:val="000000"/>
          <w:sz w:val="22"/>
          <w:szCs w:val="22"/>
          <w:lang w:val="en-US" w:eastAsia="zh-CN"/>
        </w:rPr>
        <w:t>注：1.本表金额转换为万元时，因四舍五入可能存在尾差。</w:t>
      </w:r>
    </w:p>
    <w:p>
      <w:pPr>
        <w:widowControl w:val="0"/>
        <w:suppressAutoHyphens/>
        <w:bidi w:val="0"/>
        <w:spacing w:before="66" w:after="0"/>
        <w:ind w:right="0"/>
        <w:jc w:val="left"/>
        <w:rPr>
          <w:rFonts w:hint="eastAsia" w:ascii="仿宋" w:hAnsi="仿宋" w:eastAsia="仿宋" w:cs="仿宋"/>
          <w:b/>
          <w:bCs/>
          <w:color w:val="000000"/>
          <w:sz w:val="22"/>
          <w:szCs w:val="22"/>
        </w:rPr>
        <w:sectPr>
          <w:footerReference r:id="rId7" w:type="default"/>
          <w:pgSz w:w="11906" w:h="16838"/>
          <w:pgMar w:top="1580" w:right="700" w:bottom="770" w:left="10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6121" w:type="dxa"/>
        <w:jc w:val="center"/>
        <w:tblInd w:w="0" w:type="dxa"/>
        <w:tblLayout w:type="fixed"/>
        <w:tblCellMar>
          <w:top w:w="0" w:type="dxa"/>
          <w:left w:w="108" w:type="dxa"/>
          <w:bottom w:w="0" w:type="dxa"/>
          <w:right w:w="108" w:type="dxa"/>
        </w:tblCellMar>
      </w:tblPr>
      <w:tblGrid>
        <w:gridCol w:w="1599"/>
        <w:gridCol w:w="2236"/>
        <w:gridCol w:w="1680"/>
        <w:gridCol w:w="1646"/>
        <w:gridCol w:w="1354"/>
        <w:gridCol w:w="1646"/>
        <w:gridCol w:w="1543"/>
        <w:gridCol w:w="1457"/>
        <w:gridCol w:w="1509"/>
        <w:gridCol w:w="1451"/>
      </w:tblGrid>
      <w:tr>
        <w:tblPrEx>
          <w:tblLayout w:type="fixed"/>
          <w:tblCellMar>
            <w:top w:w="0" w:type="dxa"/>
            <w:left w:w="108" w:type="dxa"/>
            <w:bottom w:w="0" w:type="dxa"/>
            <w:right w:w="108" w:type="dxa"/>
          </w:tblCellMar>
        </w:tblPrEx>
        <w:trPr>
          <w:trHeight w:val="627" w:hRule="atLeast"/>
          <w:jc w:val="center"/>
        </w:trPr>
        <w:tc>
          <w:tcPr>
            <w:tcW w:w="16121" w:type="dxa"/>
            <w:gridSpan w:val="10"/>
            <w:vAlign w:val="center"/>
          </w:tcPr>
          <w:p>
            <w:pPr>
              <w:pStyle w:val="5"/>
              <w:widowControl w:val="0"/>
              <w:rPr>
                <w:rFonts w:hint="eastAsia" w:ascii="仿宋" w:hAnsi="仿宋" w:eastAsia="仿宋" w:cs="仿宋"/>
                <w:b/>
                <w:bCs/>
                <w:sz w:val="44"/>
                <w:szCs w:val="44"/>
                <w:lang w:val="en-US" w:eastAsia="zh-CN"/>
              </w:rPr>
            </w:pPr>
            <w:r>
              <w:rPr>
                <w:rFonts w:hint="eastAsia" w:ascii="仿宋" w:hAnsi="仿宋" w:eastAsia="仿宋" w:cs="仿宋"/>
                <w:b/>
                <w:bCs/>
                <w:sz w:val="44"/>
                <w:szCs w:val="44"/>
              </w:rPr>
              <w:t>收入决算表</w:t>
            </w:r>
          </w:p>
        </w:tc>
      </w:tr>
      <w:tr>
        <w:tblPrEx>
          <w:tblLayout w:type="fixed"/>
          <w:tblCellMar>
            <w:top w:w="0" w:type="dxa"/>
            <w:left w:w="108" w:type="dxa"/>
            <w:bottom w:w="0" w:type="dxa"/>
            <w:right w:w="108" w:type="dxa"/>
          </w:tblCellMar>
        </w:tblPrEx>
        <w:trPr>
          <w:trHeight w:val="314" w:hRule="atLeast"/>
          <w:jc w:val="center"/>
        </w:trPr>
        <w:tc>
          <w:tcPr>
            <w:tcW w:w="3835" w:type="dxa"/>
            <w:gridSpan w:val="2"/>
            <w:vAlign w:val="center"/>
          </w:tcPr>
          <w:p>
            <w:pPr>
              <w:pStyle w:val="22"/>
              <w:widowControl w:val="0"/>
              <w:jc w:val="center"/>
              <w:rPr>
                <w:rFonts w:hint="eastAsia" w:ascii="仿宋" w:hAnsi="仿宋" w:eastAsia="仿宋" w:cs="仿宋"/>
              </w:rPr>
            </w:pPr>
          </w:p>
        </w:tc>
        <w:tc>
          <w:tcPr>
            <w:tcW w:w="1680" w:type="dxa"/>
            <w:vAlign w:val="center"/>
          </w:tcPr>
          <w:p>
            <w:pPr>
              <w:pStyle w:val="22"/>
              <w:widowControl w:val="0"/>
              <w:jc w:val="center"/>
              <w:rPr>
                <w:rFonts w:hint="eastAsia" w:ascii="仿宋" w:hAnsi="仿宋" w:eastAsia="仿宋" w:cs="仿宋"/>
              </w:rPr>
            </w:pPr>
          </w:p>
        </w:tc>
        <w:tc>
          <w:tcPr>
            <w:tcW w:w="1646" w:type="dxa"/>
            <w:vAlign w:val="center"/>
          </w:tcPr>
          <w:p>
            <w:pPr>
              <w:pStyle w:val="22"/>
              <w:widowControl w:val="0"/>
              <w:jc w:val="center"/>
              <w:rPr>
                <w:rFonts w:hint="eastAsia" w:ascii="仿宋" w:hAnsi="仿宋" w:eastAsia="仿宋" w:cs="仿宋"/>
              </w:rPr>
            </w:pPr>
          </w:p>
        </w:tc>
        <w:tc>
          <w:tcPr>
            <w:tcW w:w="1354" w:type="dxa"/>
            <w:vAlign w:val="center"/>
          </w:tcPr>
          <w:p>
            <w:pPr>
              <w:pStyle w:val="22"/>
              <w:widowControl w:val="0"/>
              <w:jc w:val="center"/>
              <w:rPr>
                <w:rFonts w:hint="eastAsia" w:ascii="仿宋" w:hAnsi="仿宋" w:eastAsia="仿宋" w:cs="仿宋"/>
              </w:rPr>
            </w:pPr>
          </w:p>
        </w:tc>
        <w:tc>
          <w:tcPr>
            <w:tcW w:w="3189" w:type="dxa"/>
            <w:gridSpan w:val="2"/>
            <w:vAlign w:val="center"/>
          </w:tcPr>
          <w:p>
            <w:pPr>
              <w:pStyle w:val="22"/>
              <w:widowControl w:val="0"/>
              <w:jc w:val="center"/>
              <w:rPr>
                <w:rFonts w:hint="eastAsia" w:ascii="仿宋" w:hAnsi="仿宋" w:eastAsia="仿宋" w:cs="仿宋"/>
              </w:rPr>
            </w:pPr>
          </w:p>
        </w:tc>
        <w:tc>
          <w:tcPr>
            <w:tcW w:w="1457" w:type="dxa"/>
            <w:vAlign w:val="center"/>
          </w:tcPr>
          <w:p>
            <w:pPr>
              <w:pStyle w:val="22"/>
              <w:widowControl w:val="0"/>
              <w:jc w:val="center"/>
              <w:rPr>
                <w:rFonts w:hint="eastAsia" w:ascii="仿宋" w:hAnsi="仿宋" w:eastAsia="仿宋" w:cs="仿宋"/>
              </w:rPr>
            </w:pPr>
          </w:p>
        </w:tc>
        <w:tc>
          <w:tcPr>
            <w:tcW w:w="2960" w:type="dxa"/>
            <w:gridSpan w:val="2"/>
            <w:vAlign w:val="center"/>
          </w:tcPr>
          <w:p>
            <w:pPr>
              <w:pStyle w:val="22"/>
              <w:widowControl w:val="0"/>
              <w:jc w:val="right"/>
              <w:rPr>
                <w:rFonts w:hint="eastAsia" w:ascii="仿宋" w:hAnsi="仿宋" w:eastAsia="仿宋" w:cs="仿宋"/>
              </w:rPr>
            </w:pPr>
            <w:r>
              <w:rPr>
                <w:rFonts w:hint="eastAsia" w:ascii="仿宋" w:hAnsi="仿宋" w:eastAsia="仿宋" w:cs="仿宋"/>
              </w:rPr>
              <w:t>公开02表</w:t>
            </w:r>
          </w:p>
        </w:tc>
      </w:tr>
      <w:tr>
        <w:tblPrEx>
          <w:tblLayout w:type="fixed"/>
          <w:tblCellMar>
            <w:top w:w="0" w:type="dxa"/>
            <w:left w:w="108" w:type="dxa"/>
            <w:bottom w:w="0" w:type="dxa"/>
            <w:right w:w="108" w:type="dxa"/>
          </w:tblCellMar>
        </w:tblPrEx>
        <w:trPr>
          <w:trHeight w:val="376" w:hRule="atLeast"/>
          <w:jc w:val="center"/>
        </w:trPr>
        <w:tc>
          <w:tcPr>
            <w:tcW w:w="13161" w:type="dxa"/>
            <w:gridSpan w:val="8"/>
            <w:vAlign w:val="center"/>
          </w:tcPr>
          <w:p>
            <w:pPr>
              <w:pStyle w:val="22"/>
              <w:widowControl w:val="0"/>
              <w:jc w:val="left"/>
              <w:rPr>
                <w:rFonts w:hint="eastAsia" w:ascii="仿宋" w:hAnsi="仿宋" w:eastAsia="仿宋" w:cs="仿宋"/>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江苏省立新农场</w:t>
            </w:r>
          </w:p>
        </w:tc>
        <w:tc>
          <w:tcPr>
            <w:tcW w:w="2960" w:type="dxa"/>
            <w:gridSpan w:val="2"/>
            <w:vAlign w:val="center"/>
          </w:tcPr>
          <w:p>
            <w:pPr>
              <w:pStyle w:val="22"/>
              <w:widowControl w:val="0"/>
              <w:jc w:val="right"/>
              <w:rPr>
                <w:rFonts w:hint="eastAsia" w:ascii="仿宋" w:hAnsi="仿宋" w:eastAsia="仿宋" w:cs="仿宋"/>
              </w:rPr>
            </w:pPr>
            <w:r>
              <w:rPr>
                <w:rFonts w:hint="eastAsia" w:ascii="仿宋" w:hAnsi="仿宋" w:eastAsia="仿宋" w:cs="仿宋"/>
              </w:rPr>
              <w:t>金额单位：万元</w:t>
            </w:r>
          </w:p>
        </w:tc>
      </w:tr>
      <w:tr>
        <w:tblPrEx>
          <w:tblLayout w:type="fixed"/>
          <w:tblCellMar>
            <w:top w:w="0" w:type="dxa"/>
            <w:left w:w="108" w:type="dxa"/>
            <w:bottom w:w="0" w:type="dxa"/>
            <w:right w:w="108" w:type="dxa"/>
          </w:tblCellMar>
        </w:tblPrEx>
        <w:trPr>
          <w:cantSplit/>
          <w:trHeight w:val="312" w:hRule="atLeast"/>
          <w:jc w:val="center"/>
        </w:trPr>
        <w:tc>
          <w:tcPr>
            <w:tcW w:w="3835"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项目</w:t>
            </w:r>
          </w:p>
        </w:tc>
        <w:tc>
          <w:tcPr>
            <w:tcW w:w="1680"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本年收入合计</w:t>
            </w:r>
          </w:p>
        </w:tc>
        <w:tc>
          <w:tcPr>
            <w:tcW w:w="1646"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财政拨款收入</w:t>
            </w:r>
          </w:p>
        </w:tc>
        <w:tc>
          <w:tcPr>
            <w:tcW w:w="1354"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上级补助收入</w:t>
            </w:r>
          </w:p>
        </w:tc>
        <w:tc>
          <w:tcPr>
            <w:tcW w:w="3189"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事业收入</w:t>
            </w:r>
          </w:p>
        </w:tc>
        <w:tc>
          <w:tcPr>
            <w:tcW w:w="1457"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经营收入</w:t>
            </w:r>
          </w:p>
        </w:tc>
        <w:tc>
          <w:tcPr>
            <w:tcW w:w="1509"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附属单位上缴收入</w:t>
            </w:r>
          </w:p>
        </w:tc>
        <w:tc>
          <w:tcPr>
            <w:tcW w:w="1451" w:type="dxa"/>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其他收入</w:t>
            </w:r>
          </w:p>
        </w:tc>
      </w:tr>
      <w:tr>
        <w:tblPrEx>
          <w:tblLayout w:type="fixed"/>
          <w:tblCellMar>
            <w:top w:w="0" w:type="dxa"/>
            <w:left w:w="108" w:type="dxa"/>
            <w:bottom w:w="0" w:type="dxa"/>
            <w:right w:w="108" w:type="dxa"/>
          </w:tblCellMar>
        </w:tblPrEx>
        <w:trPr>
          <w:cantSplit/>
          <w:trHeight w:val="935" w:hRule="atLeast"/>
          <w:jc w:val="center"/>
        </w:trPr>
        <w:tc>
          <w:tcPr>
            <w:tcW w:w="1599"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功能分类</w:t>
            </w:r>
          </w:p>
          <w:p>
            <w:pPr>
              <w:pStyle w:val="22"/>
              <w:widowControl w:val="0"/>
              <w:jc w:val="center"/>
              <w:rPr>
                <w:rFonts w:hint="eastAsia" w:ascii="仿宋" w:hAnsi="仿宋" w:eastAsia="仿宋" w:cs="仿宋"/>
              </w:rPr>
            </w:pPr>
            <w:r>
              <w:rPr>
                <w:rFonts w:hint="eastAsia" w:ascii="仿宋" w:hAnsi="仿宋" w:eastAsia="仿宋" w:cs="仿宋"/>
              </w:rPr>
              <w:t>科目编码</w:t>
            </w:r>
          </w:p>
        </w:tc>
        <w:tc>
          <w:tcPr>
            <w:tcW w:w="223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1680"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646"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354"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64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小计</w:t>
            </w:r>
          </w:p>
        </w:tc>
        <w:tc>
          <w:tcPr>
            <w:tcW w:w="1543"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其中：教育收费</w:t>
            </w:r>
          </w:p>
        </w:tc>
        <w:tc>
          <w:tcPr>
            <w:tcW w:w="1457"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509"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451" w:type="dxa"/>
            <w:vMerge w:val="continue"/>
            <w:tcBorders>
              <w:left w:val="single" w:color="000000" w:sz="4" w:space="0"/>
              <w:bottom w:val="single" w:color="000000" w:sz="4" w:space="0"/>
              <w:right w:val="single" w:color="000000" w:sz="4" w:space="0"/>
            </w:tcBorders>
          </w:tcPr>
          <w:p>
            <w:pPr>
              <w:widowControl w:val="0"/>
              <w:jc w:val="lef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32" w:hRule="exact"/>
          <w:jc w:val="center"/>
        </w:trPr>
        <w:tc>
          <w:tcPr>
            <w:tcW w:w="3835"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ascii="仿宋" w:hAnsi="仿宋" w:eastAsia="仿宋" w:cs="仿宋"/>
                <w:sz w:val="22"/>
              </w:rPr>
              <w:t>合计</w:t>
            </w:r>
          </w:p>
        </w:tc>
        <w:tc>
          <w:tcPr>
            <w:tcW w:w="1680"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1,779.51</w:t>
            </w:r>
          </w:p>
        </w:tc>
        <w:tc>
          <w:tcPr>
            <w:tcW w:w="1646"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1,568.76</w:t>
            </w:r>
          </w:p>
        </w:tc>
        <w:tc>
          <w:tcPr>
            <w:tcW w:w="1354"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646"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210.75</w:t>
            </w:r>
          </w:p>
        </w:tc>
        <w:tc>
          <w:tcPr>
            <w:tcW w:w="1543"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457"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509"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451" w:type="dxa"/>
            <w:tcBorders>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208</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社会保障和就业支出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1,779.51</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1,568.76</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210.75</w:t>
            </w: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20810</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社会福利</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1,779.51</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1,568.76</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210.75</w:t>
            </w: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2081005</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社会福利事业单位</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1,779.51</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1,568.76</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210.75</w:t>
            </w: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bl>
    <w:p>
      <w:pPr>
        <w:widowControl w:val="0"/>
        <w:suppressAutoHyphens/>
        <w:bidi w:val="0"/>
        <w:spacing w:before="66" w:after="0"/>
        <w:ind w:left="-220" w:leftChars="0" w:right="0" w:firstLine="0" w:firstLineChars="0"/>
        <w:jc w:val="left"/>
        <w:rPr>
          <w:rFonts w:hint="eastAsia" w:ascii="仿宋" w:hAnsi="仿宋" w:eastAsia="仿宋" w:cs="仿宋"/>
          <w:b/>
          <w:bCs/>
          <w:sz w:val="22"/>
          <w:szCs w:val="22"/>
        </w:rPr>
      </w:pPr>
      <w:r>
        <w:rPr>
          <w:rFonts w:hint="eastAsia" w:ascii="仿宋" w:hAnsi="仿宋" w:eastAsia="仿宋" w:cs="仿宋"/>
          <w:b/>
          <w:bCs/>
          <w:color w:val="000000"/>
          <w:sz w:val="22"/>
          <w:szCs w:val="22"/>
        </w:rPr>
        <w:t>注：</w:t>
      </w:r>
      <w:r>
        <w:rPr>
          <w:rFonts w:hint="eastAsia" w:ascii="仿宋" w:hAnsi="仿宋" w:eastAsia="仿宋" w:cs="仿宋"/>
          <w:b/>
          <w:bCs/>
          <w:color w:val="000000"/>
          <w:sz w:val="22"/>
          <w:szCs w:val="22"/>
          <w:lang w:val="en-US" w:eastAsia="zh-CN"/>
        </w:rPr>
        <w:t>1.</w:t>
      </w:r>
      <w:r>
        <w:rPr>
          <w:rFonts w:hint="eastAsia" w:ascii="仿宋" w:hAnsi="仿宋" w:eastAsia="仿宋" w:cs="仿宋"/>
          <w:b/>
          <w:bCs/>
          <w:sz w:val="22"/>
          <w:szCs w:val="22"/>
        </w:rPr>
        <w:t>本表金额转换为万元时，因四舍五入可能存在尾差。</w:t>
      </w:r>
    </w:p>
    <w:p>
      <w:pPr>
        <w:widowControl w:val="0"/>
        <w:suppressAutoHyphens/>
        <w:bidi w:val="0"/>
        <w:spacing w:before="66" w:after="0"/>
        <w:ind w:left="57" w:right="0" w:firstLine="221" w:firstLineChars="100"/>
        <w:jc w:val="left"/>
        <w:rPr>
          <w:rFonts w:hint="eastAsia" w:ascii="仿宋" w:hAnsi="仿宋" w:eastAsia="仿宋" w:cs="仿宋"/>
          <w:b/>
          <w:bCs/>
          <w:sz w:val="22"/>
          <w:szCs w:val="22"/>
        </w:rPr>
        <w:sectPr>
          <w:footerReference r:id="rId8" w:type="default"/>
          <w:pgSz w:w="16838" w:h="11906" w:orient="landscape"/>
          <w:pgMar w:top="720" w:right="720" w:bottom="720" w:left="50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5347" w:type="dxa"/>
        <w:tblInd w:w="96" w:type="dxa"/>
        <w:tblLayout w:type="fixed"/>
        <w:tblCellMar>
          <w:top w:w="55" w:type="dxa"/>
          <w:left w:w="55" w:type="dxa"/>
          <w:bottom w:w="55" w:type="dxa"/>
          <w:right w:w="55" w:type="dxa"/>
        </w:tblCellMar>
      </w:tblPr>
      <w:tblGrid>
        <w:gridCol w:w="1556"/>
        <w:gridCol w:w="3223"/>
        <w:gridCol w:w="1920"/>
        <w:gridCol w:w="1714"/>
        <w:gridCol w:w="1749"/>
        <w:gridCol w:w="1868"/>
        <w:gridCol w:w="1680"/>
        <w:gridCol w:w="1637"/>
      </w:tblGrid>
      <w:tr>
        <w:tblPrEx>
          <w:tblLayout w:type="fixed"/>
          <w:tblCellMar>
            <w:top w:w="55" w:type="dxa"/>
            <w:left w:w="55" w:type="dxa"/>
            <w:bottom w:w="55" w:type="dxa"/>
            <w:right w:w="55" w:type="dxa"/>
          </w:tblCellMar>
        </w:tblPrEx>
        <w:trPr>
          <w:trHeight w:val="341" w:hRule="atLeast"/>
        </w:trPr>
        <w:tc>
          <w:tcPr>
            <w:tcW w:w="15347" w:type="dxa"/>
            <w:gridSpan w:val="8"/>
            <w:vAlign w:val="center"/>
          </w:tcPr>
          <w:p>
            <w:pPr>
              <w:pStyle w:val="5"/>
              <w:widowControl w:val="0"/>
              <w:rPr>
                <w:rFonts w:hint="eastAsia" w:ascii="仿宋" w:hAnsi="仿宋" w:eastAsia="仿宋" w:cs="仿宋"/>
                <w:b/>
                <w:bCs/>
                <w:sz w:val="44"/>
                <w:szCs w:val="44"/>
              </w:rPr>
            </w:pPr>
            <w:r>
              <w:rPr>
                <w:rFonts w:hint="eastAsia" w:ascii="仿宋" w:hAnsi="仿宋" w:eastAsia="仿宋" w:cs="仿宋"/>
                <w:b/>
                <w:bCs/>
                <w:sz w:val="44"/>
                <w:szCs w:val="44"/>
              </w:rPr>
              <w:t>支出决算表</w:t>
            </w:r>
          </w:p>
        </w:tc>
      </w:tr>
      <w:tr>
        <w:tblPrEx>
          <w:tblLayout w:type="fixed"/>
          <w:tblCellMar>
            <w:top w:w="55" w:type="dxa"/>
            <w:left w:w="55" w:type="dxa"/>
            <w:bottom w:w="55" w:type="dxa"/>
            <w:right w:w="55" w:type="dxa"/>
          </w:tblCellMar>
        </w:tblPrEx>
        <w:trPr>
          <w:trHeight w:val="321" w:hRule="atLeast"/>
        </w:trPr>
        <w:tc>
          <w:tcPr>
            <w:tcW w:w="4779" w:type="dxa"/>
            <w:gridSpan w:val="2"/>
            <w:vAlign w:val="center"/>
          </w:tcPr>
          <w:p>
            <w:pPr>
              <w:pStyle w:val="22"/>
              <w:widowControl w:val="0"/>
              <w:jc w:val="center"/>
              <w:rPr>
                <w:rFonts w:hint="eastAsia" w:ascii="仿宋" w:hAnsi="仿宋" w:eastAsia="仿宋" w:cs="仿宋"/>
              </w:rPr>
            </w:pPr>
          </w:p>
        </w:tc>
        <w:tc>
          <w:tcPr>
            <w:tcW w:w="1920" w:type="dxa"/>
            <w:vAlign w:val="center"/>
          </w:tcPr>
          <w:p>
            <w:pPr>
              <w:pStyle w:val="22"/>
              <w:widowControl w:val="0"/>
              <w:spacing w:before="0" w:after="0"/>
              <w:ind w:firstLine="0"/>
              <w:jc w:val="center"/>
              <w:rPr>
                <w:rFonts w:hint="eastAsia" w:ascii="仿宋" w:hAnsi="仿宋" w:eastAsia="仿宋" w:cs="仿宋"/>
                <w:sz w:val="20"/>
              </w:rPr>
            </w:pPr>
          </w:p>
        </w:tc>
        <w:tc>
          <w:tcPr>
            <w:tcW w:w="1714" w:type="dxa"/>
            <w:vAlign w:val="center"/>
          </w:tcPr>
          <w:p>
            <w:pPr>
              <w:pStyle w:val="22"/>
              <w:widowControl w:val="0"/>
              <w:spacing w:before="0" w:after="0"/>
              <w:ind w:firstLine="0"/>
              <w:jc w:val="center"/>
              <w:rPr>
                <w:rFonts w:hint="eastAsia" w:ascii="仿宋" w:hAnsi="仿宋" w:eastAsia="仿宋" w:cs="仿宋"/>
                <w:sz w:val="20"/>
              </w:rPr>
            </w:pPr>
          </w:p>
        </w:tc>
        <w:tc>
          <w:tcPr>
            <w:tcW w:w="1749" w:type="dxa"/>
            <w:vAlign w:val="center"/>
          </w:tcPr>
          <w:p>
            <w:pPr>
              <w:pStyle w:val="22"/>
              <w:widowControl w:val="0"/>
              <w:spacing w:before="0" w:after="0"/>
              <w:ind w:firstLine="0"/>
              <w:jc w:val="center"/>
              <w:rPr>
                <w:rFonts w:hint="eastAsia" w:ascii="仿宋" w:hAnsi="仿宋" w:eastAsia="仿宋" w:cs="仿宋"/>
                <w:sz w:val="20"/>
              </w:rPr>
            </w:pPr>
          </w:p>
        </w:tc>
        <w:tc>
          <w:tcPr>
            <w:tcW w:w="1868" w:type="dxa"/>
            <w:vAlign w:val="center"/>
          </w:tcPr>
          <w:p>
            <w:pPr>
              <w:pStyle w:val="22"/>
              <w:widowControl w:val="0"/>
              <w:spacing w:before="0" w:after="0"/>
              <w:ind w:firstLine="0"/>
              <w:jc w:val="center"/>
              <w:rPr>
                <w:rFonts w:hint="eastAsia" w:ascii="仿宋" w:hAnsi="仿宋" w:eastAsia="仿宋" w:cs="仿宋"/>
                <w:sz w:val="20"/>
              </w:rPr>
            </w:pPr>
          </w:p>
        </w:tc>
        <w:tc>
          <w:tcPr>
            <w:tcW w:w="3317" w:type="dxa"/>
            <w:gridSpan w:val="2"/>
            <w:vAlign w:val="center"/>
          </w:tcPr>
          <w:p>
            <w:pPr>
              <w:pStyle w:val="22"/>
              <w:widowControl w:val="0"/>
              <w:spacing w:before="0" w:after="0"/>
              <w:ind w:firstLine="0"/>
              <w:jc w:val="right"/>
              <w:rPr>
                <w:rFonts w:hint="eastAsia" w:ascii="仿宋" w:hAnsi="仿宋" w:eastAsia="仿宋" w:cs="仿宋"/>
                <w:sz w:val="22"/>
                <w:szCs w:val="22"/>
              </w:rPr>
            </w:pPr>
            <w:r>
              <w:rPr>
                <w:rFonts w:hint="eastAsia" w:ascii="仿宋" w:hAnsi="仿宋" w:eastAsia="仿宋" w:cs="仿宋"/>
                <w:sz w:val="22"/>
                <w:szCs w:val="22"/>
              </w:rPr>
              <w:t>公开03表</w:t>
            </w:r>
          </w:p>
        </w:tc>
      </w:tr>
      <w:tr>
        <w:tblPrEx>
          <w:tblLayout w:type="fixed"/>
          <w:tblCellMar>
            <w:top w:w="55" w:type="dxa"/>
            <w:left w:w="55" w:type="dxa"/>
            <w:bottom w:w="55" w:type="dxa"/>
            <w:right w:w="55" w:type="dxa"/>
          </w:tblCellMar>
        </w:tblPrEx>
        <w:trPr>
          <w:trHeight w:val="321" w:hRule="atLeast"/>
        </w:trPr>
        <w:tc>
          <w:tcPr>
            <w:tcW w:w="12030" w:type="dxa"/>
            <w:gridSpan w:val="6"/>
            <w:vAlign w:val="center"/>
          </w:tcPr>
          <w:p>
            <w:pPr>
              <w:pStyle w:val="22"/>
              <w:widowControl w:val="0"/>
              <w:jc w:val="left"/>
              <w:rPr>
                <w:rFonts w:hint="eastAsia" w:ascii="仿宋" w:hAnsi="仿宋" w:eastAsia="仿宋" w:cs="仿宋"/>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江苏省立新农场</w:t>
            </w:r>
          </w:p>
        </w:tc>
        <w:tc>
          <w:tcPr>
            <w:tcW w:w="3317" w:type="dxa"/>
            <w:gridSpan w:val="2"/>
            <w:vAlign w:val="center"/>
          </w:tcPr>
          <w:p>
            <w:pPr>
              <w:pStyle w:val="22"/>
              <w:widowControl w:val="0"/>
              <w:spacing w:before="0" w:after="0"/>
              <w:ind w:firstLine="0"/>
              <w:jc w:val="right"/>
              <w:rPr>
                <w:rFonts w:hint="eastAsia" w:ascii="仿宋" w:hAnsi="仿宋" w:eastAsia="仿宋" w:cs="仿宋"/>
                <w:sz w:val="22"/>
                <w:szCs w:val="22"/>
              </w:rPr>
            </w:pPr>
            <w:r>
              <w:rPr>
                <w:rFonts w:hint="eastAsia" w:ascii="仿宋" w:hAnsi="仿宋" w:eastAsia="仿宋" w:cs="仿宋"/>
                <w:sz w:val="22"/>
                <w:szCs w:val="22"/>
              </w:rPr>
              <w:t>金额单位：万元</w:t>
            </w:r>
          </w:p>
        </w:tc>
      </w:tr>
      <w:tr>
        <w:tblPrEx>
          <w:tblLayout w:type="fixed"/>
          <w:tblCellMar>
            <w:top w:w="55" w:type="dxa"/>
            <w:left w:w="55" w:type="dxa"/>
            <w:bottom w:w="55" w:type="dxa"/>
            <w:right w:w="55" w:type="dxa"/>
          </w:tblCellMar>
        </w:tblPrEx>
        <w:trPr>
          <w:trHeight w:val="321" w:hRule="atLeast"/>
        </w:trPr>
        <w:tc>
          <w:tcPr>
            <w:tcW w:w="4779"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kern w:val="0"/>
                <w:sz w:val="22"/>
                <w:szCs w:val="22"/>
              </w:rPr>
              <w:t>项目</w:t>
            </w:r>
          </w:p>
        </w:tc>
        <w:tc>
          <w:tcPr>
            <w:tcW w:w="1920"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本年支出合计</w:t>
            </w:r>
          </w:p>
        </w:tc>
        <w:tc>
          <w:tcPr>
            <w:tcW w:w="1714"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基本支出</w:t>
            </w:r>
          </w:p>
        </w:tc>
        <w:tc>
          <w:tcPr>
            <w:tcW w:w="1749"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项目支出</w:t>
            </w:r>
          </w:p>
        </w:tc>
        <w:tc>
          <w:tcPr>
            <w:tcW w:w="1868"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上缴上级支出</w:t>
            </w:r>
          </w:p>
        </w:tc>
        <w:tc>
          <w:tcPr>
            <w:tcW w:w="1680"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经营支出</w:t>
            </w:r>
          </w:p>
        </w:tc>
        <w:tc>
          <w:tcPr>
            <w:tcW w:w="1637" w:type="dxa"/>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对附属单位补助支出</w:t>
            </w:r>
          </w:p>
        </w:tc>
      </w:tr>
      <w:tr>
        <w:tblPrEx>
          <w:tblLayout w:type="fixed"/>
          <w:tblCellMar>
            <w:top w:w="55" w:type="dxa"/>
            <w:left w:w="55" w:type="dxa"/>
            <w:bottom w:w="55" w:type="dxa"/>
            <w:right w:w="55" w:type="dxa"/>
          </w:tblCellMar>
        </w:tblPrEx>
        <w:trPr>
          <w:trHeight w:val="640" w:hRule="atLeast"/>
        </w:trPr>
        <w:tc>
          <w:tcPr>
            <w:tcW w:w="1556" w:type="dxa"/>
            <w:tcBorders>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kern w:val="0"/>
                <w:sz w:val="22"/>
                <w:szCs w:val="22"/>
              </w:rPr>
            </w:pPr>
            <w:r>
              <w:rPr>
                <w:rFonts w:hint="eastAsia" w:ascii="仿宋" w:hAnsi="仿宋" w:eastAsia="仿宋" w:cs="仿宋"/>
                <w:kern w:val="0"/>
                <w:sz w:val="22"/>
                <w:szCs w:val="22"/>
              </w:rPr>
              <w:t>功能分类</w:t>
            </w:r>
          </w:p>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科目编码</w:t>
            </w:r>
          </w:p>
        </w:tc>
        <w:tc>
          <w:tcPr>
            <w:tcW w:w="3223" w:type="dxa"/>
            <w:tcBorders>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科目名称</w:t>
            </w:r>
          </w:p>
        </w:tc>
        <w:tc>
          <w:tcPr>
            <w:tcW w:w="1920"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714"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749"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868"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680"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637" w:type="dxa"/>
            <w:vMerge w:val="continue"/>
            <w:tcBorders>
              <w:left w:val="single" w:color="000000" w:sz="4" w:space="0"/>
              <w:bottom w:val="single" w:color="000000" w:sz="4" w:space="0"/>
              <w:right w:val="single" w:color="000000" w:sz="4" w:space="0"/>
            </w:tcBorders>
          </w:tcPr>
          <w:p>
            <w:pPr>
              <w:widowControl w:val="0"/>
              <w:spacing w:before="0" w:after="0"/>
              <w:jc w:val="lef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403" w:hRule="exact"/>
        </w:trPr>
        <w:tc>
          <w:tcPr>
            <w:tcW w:w="4779"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ascii="仿宋" w:hAnsi="仿宋" w:eastAsia="仿宋" w:cs="仿宋"/>
                <w:sz w:val="22"/>
              </w:rPr>
              <w:t>合计</w:t>
            </w:r>
          </w:p>
        </w:tc>
        <w:tc>
          <w:tcPr>
            <w:tcW w:w="1920"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1,641.96</w:t>
            </w:r>
          </w:p>
        </w:tc>
        <w:tc>
          <w:tcPr>
            <w:tcW w:w="1714"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1,620.31</w:t>
            </w:r>
          </w:p>
        </w:tc>
        <w:tc>
          <w:tcPr>
            <w:tcW w:w="1749"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21.65</w:t>
            </w:r>
          </w:p>
        </w:tc>
        <w:tc>
          <w:tcPr>
            <w:tcW w:w="1868"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680"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637" w:type="dxa"/>
            <w:tcBorders>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208</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社会保障和就业支出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1,641.96</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1,620.31</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21.65</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20810</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社会福利</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1,641.96</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1,620.31</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21.65</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2081005</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社会福利事业单位</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1,641.96</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1,620.31</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21.65</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bl>
    <w:p>
      <w:pPr>
        <w:widowControl w:val="0"/>
        <w:suppressAutoHyphens/>
        <w:bidi w:val="0"/>
        <w:spacing w:before="59" w:after="0"/>
        <w:ind w:left="57" w:right="0" w:firstLine="0"/>
        <w:jc w:val="left"/>
        <w:rPr>
          <w:rFonts w:hint="eastAsia" w:ascii="仿宋" w:hAnsi="仿宋" w:eastAsia="仿宋" w:cs="仿宋"/>
          <w:b/>
          <w:bCs/>
          <w:sz w:val="22"/>
          <w:szCs w:val="22"/>
        </w:rPr>
      </w:pPr>
      <w:r>
        <w:rPr>
          <w:rFonts w:hint="eastAsia" w:ascii="仿宋" w:hAnsi="仿宋" w:eastAsia="仿宋" w:cs="仿宋"/>
          <w:b/>
          <w:bCs/>
          <w:sz w:val="22"/>
          <w:szCs w:val="22"/>
        </w:rPr>
        <w:t>注：</w:t>
      </w:r>
      <w:r>
        <w:rPr>
          <w:rFonts w:hint="eastAsia" w:ascii="仿宋" w:hAnsi="仿宋" w:eastAsia="仿宋" w:cs="仿宋"/>
          <w:b/>
          <w:bCs/>
          <w:sz w:val="22"/>
          <w:szCs w:val="22"/>
          <w:lang w:val="en-US" w:eastAsia="zh-CN"/>
        </w:rPr>
        <w:t>1.</w:t>
      </w:r>
      <w:r>
        <w:rPr>
          <w:rFonts w:hint="eastAsia" w:ascii="仿宋" w:hAnsi="仿宋" w:eastAsia="仿宋" w:cs="仿宋"/>
          <w:b/>
          <w:bCs/>
          <w:sz w:val="22"/>
          <w:szCs w:val="22"/>
        </w:rPr>
        <w:t>本表金额转换为万元时，因四舍五入可能存在尾差。</w:t>
      </w:r>
    </w:p>
    <w:p>
      <w:pPr>
        <w:widowControl w:val="0"/>
        <w:suppressAutoHyphens/>
        <w:bidi w:val="0"/>
        <w:spacing w:before="59" w:after="0"/>
        <w:ind w:left="57" w:right="0" w:firstLine="0"/>
        <w:jc w:val="left"/>
        <w:rPr>
          <w:rFonts w:hint="eastAsia" w:ascii="仿宋" w:hAnsi="仿宋" w:eastAsia="仿宋" w:cs="仿宋"/>
          <w:b/>
          <w:bCs/>
          <w:sz w:val="22"/>
          <w:szCs w:val="22"/>
        </w:rPr>
        <w:sectPr>
          <w:footerReference r:id="rId9" w:type="default"/>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5789" w:type="dxa"/>
        <w:tblInd w:w="-123" w:type="dxa"/>
        <w:tblLayout w:type="fixed"/>
        <w:tblCellMar>
          <w:top w:w="55" w:type="dxa"/>
          <w:left w:w="55" w:type="dxa"/>
          <w:bottom w:w="55" w:type="dxa"/>
          <w:right w:w="55" w:type="dxa"/>
        </w:tblCellMar>
      </w:tblPr>
      <w:tblGrid>
        <w:gridCol w:w="3669"/>
        <w:gridCol w:w="2091"/>
        <w:gridCol w:w="847"/>
        <w:gridCol w:w="1913"/>
        <w:gridCol w:w="754"/>
        <w:gridCol w:w="1800"/>
        <w:gridCol w:w="1275"/>
        <w:gridCol w:w="320"/>
        <w:gridCol w:w="1474"/>
        <w:gridCol w:w="1646"/>
      </w:tblGrid>
      <w:tr>
        <w:tblPrEx>
          <w:tblLayout w:type="fixed"/>
          <w:tblCellMar>
            <w:top w:w="55" w:type="dxa"/>
            <w:left w:w="55" w:type="dxa"/>
            <w:bottom w:w="55" w:type="dxa"/>
            <w:right w:w="55" w:type="dxa"/>
          </w:tblCellMar>
        </w:tblPrEx>
        <w:trPr>
          <w:trHeight w:val="319" w:hRule="atLeast"/>
        </w:trPr>
        <w:tc>
          <w:tcPr>
            <w:tcW w:w="15789" w:type="dxa"/>
            <w:gridSpan w:val="10"/>
          </w:tcPr>
          <w:p>
            <w:pPr>
              <w:pStyle w:val="22"/>
              <w:widowControl w:val="0"/>
              <w:jc w:val="center"/>
              <w:rPr>
                <w:rFonts w:hint="eastAsia" w:ascii="仿宋" w:hAnsi="仿宋" w:eastAsia="仿宋" w:cs="仿宋"/>
                <w:b/>
                <w:bCs/>
                <w:sz w:val="44"/>
                <w:szCs w:val="44"/>
              </w:rPr>
            </w:pPr>
            <w:r>
              <w:rPr>
                <w:rFonts w:hint="eastAsia" w:ascii="仿宋" w:hAnsi="仿宋" w:eastAsia="仿宋" w:cs="仿宋"/>
                <w:b/>
                <w:bCs/>
                <w:sz w:val="44"/>
                <w:szCs w:val="44"/>
              </w:rPr>
              <w:t>财政拨款收入支出决算总表</w:t>
            </w:r>
          </w:p>
        </w:tc>
      </w:tr>
      <w:tr>
        <w:tblPrEx>
          <w:tblLayout w:type="fixed"/>
          <w:tblCellMar>
            <w:top w:w="55" w:type="dxa"/>
            <w:left w:w="55" w:type="dxa"/>
            <w:bottom w:w="55" w:type="dxa"/>
            <w:right w:w="55" w:type="dxa"/>
          </w:tblCellMar>
        </w:tblPrEx>
        <w:trPr>
          <w:trHeight w:val="319" w:hRule="atLeast"/>
        </w:trPr>
        <w:tc>
          <w:tcPr>
            <w:tcW w:w="5760" w:type="dxa"/>
            <w:gridSpan w:val="2"/>
          </w:tcPr>
          <w:p>
            <w:pPr>
              <w:pStyle w:val="22"/>
              <w:widowControl w:val="0"/>
              <w:rPr>
                <w:rFonts w:hint="eastAsia" w:ascii="仿宋" w:hAnsi="仿宋" w:eastAsia="仿宋" w:cs="仿宋"/>
                <w:sz w:val="20"/>
              </w:rPr>
            </w:pPr>
          </w:p>
        </w:tc>
        <w:tc>
          <w:tcPr>
            <w:tcW w:w="847" w:type="dxa"/>
          </w:tcPr>
          <w:p>
            <w:pPr>
              <w:pStyle w:val="22"/>
              <w:widowControl w:val="0"/>
              <w:rPr>
                <w:rFonts w:hint="eastAsia" w:ascii="仿宋" w:hAnsi="仿宋" w:eastAsia="仿宋" w:cs="仿宋"/>
                <w:sz w:val="20"/>
              </w:rPr>
            </w:pPr>
          </w:p>
        </w:tc>
        <w:tc>
          <w:tcPr>
            <w:tcW w:w="1913" w:type="dxa"/>
          </w:tcPr>
          <w:p>
            <w:pPr>
              <w:pStyle w:val="22"/>
              <w:widowControl w:val="0"/>
              <w:rPr>
                <w:rFonts w:hint="eastAsia" w:ascii="仿宋" w:hAnsi="仿宋" w:eastAsia="仿宋" w:cs="仿宋"/>
                <w:sz w:val="20"/>
              </w:rPr>
            </w:pPr>
          </w:p>
        </w:tc>
        <w:tc>
          <w:tcPr>
            <w:tcW w:w="2554" w:type="dxa"/>
            <w:gridSpan w:val="2"/>
          </w:tcPr>
          <w:p>
            <w:pPr>
              <w:pStyle w:val="22"/>
              <w:widowControl w:val="0"/>
              <w:rPr>
                <w:rFonts w:hint="eastAsia" w:ascii="仿宋" w:hAnsi="仿宋" w:eastAsia="仿宋" w:cs="仿宋"/>
                <w:sz w:val="20"/>
              </w:rPr>
            </w:pPr>
          </w:p>
        </w:tc>
        <w:tc>
          <w:tcPr>
            <w:tcW w:w="1275" w:type="dxa"/>
          </w:tcPr>
          <w:p>
            <w:pPr>
              <w:pStyle w:val="22"/>
              <w:widowControl w:val="0"/>
              <w:rPr>
                <w:rFonts w:hint="eastAsia" w:ascii="仿宋" w:hAnsi="仿宋" w:eastAsia="仿宋" w:cs="仿宋"/>
                <w:sz w:val="20"/>
              </w:rPr>
            </w:pPr>
          </w:p>
        </w:tc>
        <w:tc>
          <w:tcPr>
            <w:tcW w:w="3440" w:type="dxa"/>
            <w:gridSpan w:val="3"/>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公开04表</w:t>
            </w:r>
          </w:p>
        </w:tc>
      </w:tr>
      <w:tr>
        <w:tblPrEx>
          <w:tblLayout w:type="fixed"/>
          <w:tblCellMar>
            <w:top w:w="55" w:type="dxa"/>
            <w:left w:w="55" w:type="dxa"/>
            <w:bottom w:w="55" w:type="dxa"/>
            <w:right w:w="55" w:type="dxa"/>
          </w:tblCellMar>
        </w:tblPrEx>
        <w:trPr>
          <w:trHeight w:val="319" w:hRule="atLeast"/>
        </w:trPr>
        <w:tc>
          <w:tcPr>
            <w:tcW w:w="12349" w:type="dxa"/>
            <w:gridSpan w:val="7"/>
          </w:tcPr>
          <w:p>
            <w:pPr>
              <w:pStyle w:val="22"/>
              <w:widowControl w:val="0"/>
              <w:jc w:val="left"/>
              <w:rPr>
                <w:rFonts w:hint="eastAsia" w:ascii="仿宋" w:hAnsi="仿宋" w:eastAsia="仿宋" w:cs="仿宋"/>
                <w:sz w:val="22"/>
                <w:szCs w:val="22"/>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sz w:val="22"/>
                <w:szCs w:val="22"/>
              </w:rPr>
              <w:t>江苏省立新农场</w:t>
            </w:r>
          </w:p>
        </w:tc>
        <w:tc>
          <w:tcPr>
            <w:tcW w:w="3440" w:type="dxa"/>
            <w:gridSpan w:val="3"/>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金额单位：万元</w:t>
            </w:r>
          </w:p>
        </w:tc>
      </w:tr>
      <w:tr>
        <w:tblPrEx>
          <w:tblLayout w:type="fixed"/>
          <w:tblCellMar>
            <w:top w:w="55" w:type="dxa"/>
            <w:left w:w="55" w:type="dxa"/>
            <w:bottom w:w="55" w:type="dxa"/>
            <w:right w:w="55" w:type="dxa"/>
          </w:tblCellMar>
        </w:tblPrEx>
        <w:trPr>
          <w:trHeight w:val="319" w:hRule="atLeast"/>
        </w:trPr>
        <w:tc>
          <w:tcPr>
            <w:tcW w:w="5760" w:type="dxa"/>
            <w:gridSpan w:val="2"/>
            <w:tcBorders>
              <w:top w:val="single" w:color="000000" w:sz="4" w:space="0"/>
              <w:left w:val="single" w:color="000000" w:sz="4" w:space="0"/>
              <w:bottom w:val="single" w:color="000000" w:sz="4" w:space="0"/>
            </w:tcBorders>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收</w:t>
            </w:r>
            <w:r>
              <w:rPr>
                <w:rFonts w:hint="eastAsia" w:ascii="仿宋" w:hAnsi="仿宋" w:eastAsia="仿宋" w:cs="仿宋"/>
                <w:sz w:val="22"/>
                <w:szCs w:val="22"/>
              </w:rPr>
              <w:tab/>
            </w:r>
            <w:r>
              <w:rPr>
                <w:rFonts w:hint="eastAsia" w:ascii="仿宋" w:hAnsi="仿宋" w:eastAsia="仿宋" w:cs="仿宋"/>
                <w:sz w:val="22"/>
                <w:szCs w:val="22"/>
              </w:rPr>
              <w:t>入</w:t>
            </w:r>
          </w:p>
        </w:tc>
        <w:tc>
          <w:tcPr>
            <w:tcW w:w="10029" w:type="dxa"/>
            <w:gridSpan w:val="8"/>
            <w:tcBorders>
              <w:top w:val="single" w:color="000000" w:sz="4" w:space="0"/>
              <w:left w:val="single" w:color="000000" w:sz="4" w:space="0"/>
              <w:bottom w:val="single" w:color="000000" w:sz="4" w:space="0"/>
              <w:right w:val="single" w:color="000000" w:sz="4" w:space="0"/>
            </w:tcBorders>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支</w:t>
            </w:r>
            <w:r>
              <w:rPr>
                <w:rFonts w:hint="eastAsia" w:ascii="仿宋" w:hAnsi="仿宋" w:eastAsia="仿宋" w:cs="仿宋"/>
                <w:sz w:val="22"/>
                <w:szCs w:val="22"/>
              </w:rPr>
              <w:tab/>
            </w:r>
            <w:r>
              <w:rPr>
                <w:rFonts w:hint="eastAsia" w:ascii="仿宋" w:hAnsi="仿宋" w:eastAsia="仿宋" w:cs="仿宋"/>
                <w:sz w:val="22"/>
                <w:szCs w:val="22"/>
              </w:rPr>
              <w:t>出</w:t>
            </w:r>
          </w:p>
        </w:tc>
      </w:tr>
      <w:tr>
        <w:tblPrEx>
          <w:tblLayout w:type="fixed"/>
          <w:tblCellMar>
            <w:top w:w="55" w:type="dxa"/>
            <w:left w:w="55" w:type="dxa"/>
            <w:bottom w:w="55" w:type="dxa"/>
            <w:right w:w="55" w:type="dxa"/>
          </w:tblCellMar>
        </w:tblPrEx>
        <w:trPr>
          <w:trHeight w:val="159" w:hRule="atLeast"/>
        </w:trPr>
        <w:tc>
          <w:tcPr>
            <w:tcW w:w="3669"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项</w:t>
            </w:r>
            <w:r>
              <w:rPr>
                <w:rFonts w:hint="eastAsia" w:ascii="仿宋" w:hAnsi="仿宋" w:eastAsia="仿宋" w:cs="仿宋"/>
                <w:sz w:val="22"/>
                <w:szCs w:val="22"/>
              </w:rPr>
              <w:tab/>
            </w:r>
            <w:r>
              <w:rPr>
                <w:rFonts w:hint="eastAsia" w:ascii="仿宋" w:hAnsi="仿宋" w:eastAsia="仿宋" w:cs="仿宋"/>
                <w:sz w:val="22"/>
                <w:szCs w:val="22"/>
              </w:rPr>
              <w:t>目</w:t>
            </w:r>
          </w:p>
        </w:tc>
        <w:tc>
          <w:tcPr>
            <w:tcW w:w="2091"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决算数</w:t>
            </w:r>
          </w:p>
        </w:tc>
        <w:tc>
          <w:tcPr>
            <w:tcW w:w="3514" w:type="dxa"/>
            <w:gridSpan w:val="3"/>
            <w:vMerge w:val="restart"/>
            <w:tcBorders>
              <w:left w:val="single" w:color="000000" w:sz="4" w:space="0"/>
              <w:bottom w:val="single" w:color="000000" w:sz="4" w:space="0"/>
            </w:tcBorders>
            <w:vAlign w:val="center"/>
          </w:tcPr>
          <w:p>
            <w:pPr>
              <w:widowControl w:val="0"/>
              <w:jc w:val="center"/>
              <w:rPr>
                <w:rFonts w:hint="eastAsia" w:ascii="仿宋" w:hAnsi="仿宋" w:eastAsia="仿宋" w:cs="仿宋"/>
                <w:sz w:val="22"/>
                <w:szCs w:val="22"/>
              </w:rPr>
            </w:pPr>
            <w:r>
              <w:rPr>
                <w:rFonts w:hint="eastAsia" w:ascii="仿宋" w:hAnsi="仿宋" w:eastAsia="仿宋" w:cs="仿宋"/>
                <w:sz w:val="22"/>
                <w:szCs w:val="22"/>
              </w:rPr>
              <w:t>按功能分类</w:t>
            </w:r>
          </w:p>
        </w:tc>
        <w:tc>
          <w:tcPr>
            <w:tcW w:w="6515" w:type="dxa"/>
            <w:gridSpan w:val="5"/>
            <w:tcBorders>
              <w:left w:val="single" w:color="000000" w:sz="4" w:space="0"/>
              <w:bottom w:val="single" w:color="000000" w:sz="4" w:space="0"/>
              <w:right w:val="single" w:color="000000" w:sz="4" w:space="0"/>
            </w:tcBorders>
            <w:vAlign w:val="center"/>
          </w:tcPr>
          <w:p>
            <w:pPr>
              <w:widowControl w:val="0"/>
              <w:jc w:val="center"/>
              <w:rPr>
                <w:rFonts w:hint="eastAsia" w:ascii="仿宋" w:hAnsi="仿宋" w:eastAsia="仿宋" w:cs="仿宋"/>
                <w:sz w:val="22"/>
                <w:szCs w:val="22"/>
              </w:rPr>
            </w:pPr>
            <w:r>
              <w:rPr>
                <w:rFonts w:hint="eastAsia" w:ascii="仿宋" w:hAnsi="仿宋" w:eastAsia="仿宋" w:cs="仿宋"/>
                <w:sz w:val="22"/>
                <w:szCs w:val="22"/>
              </w:rPr>
              <w:t>决算数</w:t>
            </w:r>
          </w:p>
        </w:tc>
      </w:tr>
      <w:tr>
        <w:tblPrEx>
          <w:tblLayout w:type="fixed"/>
          <w:tblCellMar>
            <w:top w:w="55" w:type="dxa"/>
            <w:left w:w="55" w:type="dxa"/>
            <w:bottom w:w="55" w:type="dxa"/>
            <w:right w:w="55" w:type="dxa"/>
          </w:tblCellMar>
        </w:tblPrEx>
        <w:trPr>
          <w:trHeight w:val="635" w:hRule="atLeast"/>
        </w:trPr>
        <w:tc>
          <w:tcPr>
            <w:tcW w:w="3669" w:type="dxa"/>
            <w:vMerge w:val="continue"/>
            <w:tcBorders>
              <w:left w:val="single" w:color="000000" w:sz="4" w:space="0"/>
              <w:bottom w:val="single" w:color="000000" w:sz="4" w:space="0"/>
            </w:tcBorders>
          </w:tcPr>
          <w:p>
            <w:pPr>
              <w:pStyle w:val="22"/>
              <w:widowControl w:val="0"/>
              <w:rPr>
                <w:rFonts w:hint="eastAsia" w:ascii="仿宋" w:hAnsi="仿宋" w:eastAsia="仿宋" w:cs="仿宋"/>
                <w:sz w:val="22"/>
                <w:szCs w:val="22"/>
              </w:rPr>
            </w:pPr>
          </w:p>
        </w:tc>
        <w:tc>
          <w:tcPr>
            <w:tcW w:w="2091" w:type="dxa"/>
            <w:vMerge w:val="continue"/>
            <w:tcBorders>
              <w:left w:val="single" w:color="000000" w:sz="4" w:space="0"/>
              <w:bottom w:val="single" w:color="000000" w:sz="4" w:space="0"/>
            </w:tcBorders>
          </w:tcPr>
          <w:p>
            <w:pPr>
              <w:pStyle w:val="22"/>
              <w:widowControl w:val="0"/>
              <w:rPr>
                <w:rFonts w:hint="eastAsia" w:ascii="仿宋" w:hAnsi="仿宋" w:eastAsia="仿宋" w:cs="仿宋"/>
                <w:sz w:val="22"/>
                <w:szCs w:val="22"/>
              </w:rPr>
            </w:pPr>
          </w:p>
        </w:tc>
        <w:tc>
          <w:tcPr>
            <w:tcW w:w="3514" w:type="dxa"/>
            <w:gridSpan w:val="3"/>
            <w:vMerge w:val="continue"/>
            <w:tcBorders>
              <w:left w:val="single" w:color="000000" w:sz="4" w:space="0"/>
              <w:bottom w:val="single" w:color="000000" w:sz="4" w:space="0"/>
            </w:tcBorders>
          </w:tcPr>
          <w:p>
            <w:pPr>
              <w:pStyle w:val="22"/>
              <w:widowControl w:val="0"/>
              <w:rPr>
                <w:rFonts w:hint="eastAsia" w:ascii="仿宋" w:hAnsi="仿宋" w:eastAsia="仿宋" w:cs="仿宋"/>
                <w:sz w:val="22"/>
                <w:szCs w:val="22"/>
              </w:rPr>
            </w:pPr>
          </w:p>
        </w:tc>
        <w:tc>
          <w:tcPr>
            <w:tcW w:w="180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ascii="仿宋" w:hAnsi="仿宋" w:eastAsia="仿宋" w:cs="仿宋"/>
                <w:sz w:val="22"/>
              </w:rPr>
              <w:t>小计</w:t>
            </w:r>
          </w:p>
        </w:tc>
        <w:tc>
          <w:tcPr>
            <w:tcW w:w="1595"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一般公共预算财政拨款</w:t>
            </w:r>
          </w:p>
        </w:tc>
        <w:tc>
          <w:tcPr>
            <w:tcW w:w="1474"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政府性基金预算财政拨款</w:t>
            </w:r>
          </w:p>
        </w:tc>
        <w:tc>
          <w:tcPr>
            <w:tcW w:w="1646"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国有资本经营预算财政拨款</w:t>
            </w: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一、一般公共预算财政拨款收入</w:t>
            </w: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1,568.76</w:t>
            </w: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一、一般公共服务支出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二、政府性基金预算财政拨款收入</w:t>
            </w: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二、外交支出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三、国有资本经营预算财政拨款收入</w:t>
            </w: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三、国防支出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四、公共安全支出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五、教育支出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六、科学技术支出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七、文化旅游体育与传媒支出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八、社会保障和就业支出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1,601.18</w:t>
            </w: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1,601.18</w:t>
            </w: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九、卫生健康支出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十、节能环保支出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十一、城乡社区支出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十二、农林水支出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十三、交通运输支出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十四、资源勘探工业信息等支出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十五、商业服务业等支出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十六、金融支出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十七、援助其他地区支出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十八、自然资源海洋气象等支出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十九、住房保障支出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二十、粮油物资储备支出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二十一、国有资本经营预算支出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二十二、灾害防治及应急管理支出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二十三、其他支出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二十四、债务还本支出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二十五、债务付息支出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二十六、抗疫特别国债安排的支出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567" w:hRule="exact"/>
        </w:trPr>
        <w:tc>
          <w:tcPr>
            <w:tcW w:w="3669" w:type="dxa"/>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ascii="仿宋" w:hAnsi="仿宋" w:eastAsia="仿宋" w:cs="仿宋"/>
                <w:sz w:val="22"/>
              </w:rPr>
              <w:t>本年收入合计</w:t>
            </w:r>
          </w:p>
        </w:tc>
        <w:tc>
          <w:tcPr>
            <w:tcW w:w="2091" w:type="dxa"/>
            <w:tcBorders>
              <w:top w:val="single" w:color="000000" w:sz="4" w:space="0"/>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1,568.76</w:t>
            </w:r>
          </w:p>
        </w:tc>
        <w:tc>
          <w:tcPr>
            <w:tcW w:w="3514" w:type="dxa"/>
            <w:gridSpan w:val="3"/>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本年支出合计</w:t>
            </w:r>
          </w:p>
        </w:tc>
        <w:tc>
          <w:tcPr>
            <w:tcW w:w="1800" w:type="dxa"/>
            <w:tcBorders>
              <w:top w:val="single" w:color="000000" w:sz="4" w:space="0"/>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1,601.18</w:t>
            </w:r>
          </w:p>
        </w:tc>
        <w:tc>
          <w:tcPr>
            <w:tcW w:w="1595" w:type="dxa"/>
            <w:gridSpan w:val="2"/>
            <w:tcBorders>
              <w:top w:val="single" w:color="000000" w:sz="4" w:space="0"/>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1,601.18</w:t>
            </w:r>
          </w:p>
        </w:tc>
        <w:tc>
          <w:tcPr>
            <w:tcW w:w="1474" w:type="dxa"/>
            <w:tcBorders>
              <w:top w:val="single" w:color="000000" w:sz="4" w:space="0"/>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18" w:hRule="atLeast"/>
        </w:trPr>
        <w:tc>
          <w:tcPr>
            <w:tcW w:w="3669" w:type="dxa"/>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年初财政拨款结转和结余</w:t>
            </w:r>
          </w:p>
        </w:tc>
        <w:tc>
          <w:tcPr>
            <w:tcW w:w="2091"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64.36</w:t>
            </w:r>
          </w:p>
        </w:tc>
        <w:tc>
          <w:tcPr>
            <w:tcW w:w="3514" w:type="dxa"/>
            <w:gridSpan w:val="3"/>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年末财政拨款结转和结余</w:t>
            </w:r>
          </w:p>
        </w:tc>
        <w:tc>
          <w:tcPr>
            <w:tcW w:w="180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31.95</w:t>
            </w:r>
          </w:p>
        </w:tc>
        <w:tc>
          <w:tcPr>
            <w:tcW w:w="1595" w:type="dxa"/>
            <w:gridSpan w:val="2"/>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31.95</w:t>
            </w:r>
          </w:p>
        </w:tc>
        <w:tc>
          <w:tcPr>
            <w:tcW w:w="1474"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18" w:hRule="atLeast"/>
        </w:trPr>
        <w:tc>
          <w:tcPr>
            <w:tcW w:w="3669" w:type="dxa"/>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一、一般公共预算财政拨款</w:t>
            </w:r>
          </w:p>
        </w:tc>
        <w:tc>
          <w:tcPr>
            <w:tcW w:w="2091"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64.36</w:t>
            </w:r>
          </w:p>
        </w:tc>
        <w:tc>
          <w:tcPr>
            <w:tcW w:w="3514" w:type="dxa"/>
            <w:gridSpan w:val="3"/>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p>
        </w:tc>
        <w:tc>
          <w:tcPr>
            <w:tcW w:w="180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18" w:hRule="atLeast"/>
        </w:trPr>
        <w:tc>
          <w:tcPr>
            <w:tcW w:w="3669" w:type="dxa"/>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二、政府性基金预算财政拨款</w:t>
            </w:r>
          </w:p>
        </w:tc>
        <w:tc>
          <w:tcPr>
            <w:tcW w:w="2091"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p>
        </w:tc>
        <w:tc>
          <w:tcPr>
            <w:tcW w:w="180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18" w:hRule="atLeast"/>
        </w:trPr>
        <w:tc>
          <w:tcPr>
            <w:tcW w:w="3669" w:type="dxa"/>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三、国有资本经营预算财政拨款</w:t>
            </w:r>
          </w:p>
        </w:tc>
        <w:tc>
          <w:tcPr>
            <w:tcW w:w="2091"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p>
        </w:tc>
        <w:tc>
          <w:tcPr>
            <w:tcW w:w="180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567" w:hRule="exact"/>
        </w:trPr>
        <w:tc>
          <w:tcPr>
            <w:tcW w:w="3669"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总计</w:t>
            </w:r>
          </w:p>
        </w:tc>
        <w:tc>
          <w:tcPr>
            <w:tcW w:w="2091"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1,633.12</w:t>
            </w:r>
          </w:p>
        </w:tc>
        <w:tc>
          <w:tcPr>
            <w:tcW w:w="3514" w:type="dxa"/>
            <w:gridSpan w:val="3"/>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总计</w:t>
            </w:r>
          </w:p>
        </w:tc>
        <w:tc>
          <w:tcPr>
            <w:tcW w:w="1800"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1,633.12</w:t>
            </w:r>
          </w:p>
        </w:tc>
        <w:tc>
          <w:tcPr>
            <w:tcW w:w="1595" w:type="dxa"/>
            <w:gridSpan w:val="2"/>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1,633.12</w:t>
            </w:r>
          </w:p>
        </w:tc>
        <w:tc>
          <w:tcPr>
            <w:tcW w:w="1474"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646" w:type="dxa"/>
            <w:tcBorders>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bl>
    <w:p>
      <w:pPr>
        <w:rPr>
          <w:rFonts w:hint="eastAsia" w:ascii="仿宋" w:hAnsi="仿宋" w:eastAsia="仿宋" w:cs="仿宋"/>
          <w:b/>
          <w:bCs/>
        </w:rPr>
      </w:pPr>
      <w:r>
        <w:rPr>
          <w:rFonts w:hint="eastAsia" w:ascii="仿宋" w:hAnsi="仿宋" w:eastAsia="仿宋" w:cs="仿宋"/>
          <w:b/>
          <w:bCs/>
          <w:lang w:val="en-US" w:eastAsia="zh-CN"/>
        </w:rPr>
        <w:t>注：1.</w:t>
      </w:r>
      <w:r>
        <w:rPr>
          <w:rFonts w:hint="eastAsia" w:ascii="仿宋" w:hAnsi="仿宋" w:eastAsia="仿宋" w:cs="仿宋"/>
          <w:b/>
          <w:bCs/>
        </w:rPr>
        <w:t>本表金额转换为万元时，因四舍五入可能存在尾差。</w:t>
      </w:r>
    </w:p>
    <w:p>
      <w:pPr>
        <w:rPr>
          <w:rFonts w:hint="eastAsia" w:ascii="仿宋" w:hAnsi="仿宋" w:eastAsia="仿宋" w:cs="仿宋"/>
          <w:b/>
          <w:bCs/>
        </w:rPr>
        <w:sectPr>
          <w:footerReference r:id="rId10" w:type="default"/>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5216" w:type="dxa"/>
        <w:tblInd w:w="175" w:type="dxa"/>
        <w:tblLayout w:type="fixed"/>
        <w:tblCellMar>
          <w:top w:w="55" w:type="dxa"/>
          <w:left w:w="55" w:type="dxa"/>
          <w:bottom w:w="55" w:type="dxa"/>
          <w:right w:w="55" w:type="dxa"/>
        </w:tblCellMar>
      </w:tblPr>
      <w:tblGrid>
        <w:gridCol w:w="2045"/>
        <w:gridCol w:w="4137"/>
        <w:gridCol w:w="3171"/>
        <w:gridCol w:w="2778"/>
        <w:gridCol w:w="3085"/>
      </w:tblGrid>
      <w:tr>
        <w:tblPrEx>
          <w:tblLayout w:type="fixed"/>
          <w:tblCellMar>
            <w:top w:w="55" w:type="dxa"/>
            <w:left w:w="55" w:type="dxa"/>
            <w:bottom w:w="55" w:type="dxa"/>
            <w:right w:w="55" w:type="dxa"/>
          </w:tblCellMar>
        </w:tblPrEx>
        <w:trPr>
          <w:trHeight w:val="321" w:hRule="atLeast"/>
        </w:trPr>
        <w:tc>
          <w:tcPr>
            <w:tcW w:w="15216" w:type="dxa"/>
            <w:gridSpan w:val="5"/>
            <w:vAlign w:val="center"/>
          </w:tcPr>
          <w:p>
            <w:pPr>
              <w:pStyle w:val="22"/>
              <w:widowControl w:val="0"/>
              <w:jc w:val="center"/>
              <w:rPr>
                <w:rFonts w:hint="eastAsia" w:ascii="仿宋" w:hAnsi="仿宋" w:eastAsia="仿宋" w:cs="仿宋"/>
                <w:b/>
                <w:bCs/>
                <w:sz w:val="44"/>
                <w:szCs w:val="44"/>
              </w:rPr>
            </w:pPr>
            <w:r>
              <w:rPr>
                <w:rFonts w:hint="eastAsia" w:ascii="仿宋" w:hAnsi="仿宋" w:eastAsia="仿宋" w:cs="仿宋"/>
                <w:b/>
                <w:bCs/>
                <w:sz w:val="44"/>
                <w:szCs w:val="44"/>
              </w:rPr>
              <w:t>财政拨款支出决算表（功能科目）</w:t>
            </w:r>
          </w:p>
        </w:tc>
      </w:tr>
      <w:tr>
        <w:tblPrEx>
          <w:tblLayout w:type="fixed"/>
          <w:tblCellMar>
            <w:top w:w="55" w:type="dxa"/>
            <w:left w:w="55" w:type="dxa"/>
            <w:bottom w:w="55" w:type="dxa"/>
            <w:right w:w="55" w:type="dxa"/>
          </w:tblCellMar>
        </w:tblPrEx>
        <w:trPr>
          <w:trHeight w:val="321" w:hRule="atLeast"/>
        </w:trPr>
        <w:tc>
          <w:tcPr>
            <w:tcW w:w="6182" w:type="dxa"/>
            <w:gridSpan w:val="2"/>
          </w:tcPr>
          <w:p>
            <w:pPr>
              <w:pStyle w:val="22"/>
              <w:widowControl w:val="0"/>
              <w:rPr>
                <w:rFonts w:hint="eastAsia" w:ascii="仿宋" w:hAnsi="仿宋" w:eastAsia="仿宋" w:cs="仿宋"/>
                <w:sz w:val="20"/>
              </w:rPr>
            </w:pPr>
          </w:p>
        </w:tc>
        <w:tc>
          <w:tcPr>
            <w:tcW w:w="3171" w:type="dxa"/>
          </w:tcPr>
          <w:p>
            <w:pPr>
              <w:pStyle w:val="22"/>
              <w:widowControl w:val="0"/>
              <w:rPr>
                <w:rFonts w:hint="eastAsia" w:ascii="仿宋" w:hAnsi="仿宋" w:eastAsia="仿宋" w:cs="仿宋"/>
                <w:sz w:val="27"/>
              </w:rPr>
            </w:pPr>
          </w:p>
        </w:tc>
        <w:tc>
          <w:tcPr>
            <w:tcW w:w="5863" w:type="dxa"/>
            <w:gridSpan w:val="2"/>
            <w:vAlign w:val="center"/>
          </w:tcPr>
          <w:p>
            <w:pPr>
              <w:pStyle w:val="22"/>
              <w:widowControl w:val="0"/>
              <w:jc w:val="right"/>
              <w:rPr>
                <w:rFonts w:hint="eastAsia" w:ascii="仿宋" w:hAnsi="仿宋" w:eastAsia="仿宋" w:cs="仿宋"/>
                <w:sz w:val="27"/>
              </w:rPr>
            </w:pPr>
            <w:r>
              <w:rPr>
                <w:rFonts w:hint="eastAsia" w:ascii="仿宋" w:hAnsi="仿宋" w:eastAsia="仿宋" w:cs="仿宋"/>
              </w:rPr>
              <w:t>公开05表</w:t>
            </w:r>
          </w:p>
        </w:tc>
      </w:tr>
      <w:tr>
        <w:tblPrEx>
          <w:tblLayout w:type="fixed"/>
          <w:tblCellMar>
            <w:top w:w="55" w:type="dxa"/>
            <w:left w:w="55" w:type="dxa"/>
            <w:bottom w:w="55" w:type="dxa"/>
            <w:right w:w="55" w:type="dxa"/>
          </w:tblCellMar>
        </w:tblPrEx>
        <w:trPr>
          <w:trHeight w:val="288" w:hRule="atLeast"/>
        </w:trPr>
        <w:tc>
          <w:tcPr>
            <w:tcW w:w="6182" w:type="dxa"/>
            <w:gridSpan w:val="2"/>
          </w:tcPr>
          <w:p>
            <w:pPr>
              <w:pStyle w:val="22"/>
              <w:widowControl w:val="0"/>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江苏省立新农场</w:t>
            </w:r>
          </w:p>
        </w:tc>
        <w:tc>
          <w:tcPr>
            <w:tcW w:w="3171" w:type="dxa"/>
          </w:tcPr>
          <w:p>
            <w:pPr>
              <w:pStyle w:val="22"/>
              <w:widowControl w:val="0"/>
              <w:rPr>
                <w:rFonts w:hint="eastAsia" w:ascii="仿宋" w:hAnsi="仿宋" w:eastAsia="仿宋" w:cs="仿宋"/>
                <w:sz w:val="27"/>
              </w:rPr>
            </w:pPr>
          </w:p>
        </w:tc>
        <w:tc>
          <w:tcPr>
            <w:tcW w:w="2778" w:type="dxa"/>
            <w:vAlign w:val="center"/>
          </w:tcPr>
          <w:p>
            <w:pPr>
              <w:pStyle w:val="22"/>
              <w:widowControl w:val="0"/>
              <w:jc w:val="right"/>
              <w:rPr>
                <w:rFonts w:hint="eastAsia" w:ascii="仿宋" w:hAnsi="仿宋" w:eastAsia="仿宋" w:cs="仿宋"/>
                <w:sz w:val="27"/>
              </w:rPr>
            </w:pPr>
          </w:p>
        </w:tc>
        <w:tc>
          <w:tcPr>
            <w:tcW w:w="3085" w:type="dxa"/>
            <w:vAlign w:val="center"/>
          </w:tcPr>
          <w:p>
            <w:pPr>
              <w:pStyle w:val="22"/>
              <w:widowControl w:val="0"/>
              <w:jc w:val="right"/>
              <w:rPr>
                <w:rFonts w:hint="eastAsia" w:ascii="仿宋" w:hAnsi="仿宋" w:eastAsia="仿宋" w:cs="仿宋"/>
                <w:sz w:val="27"/>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319" w:hRule="atLeast"/>
        </w:trPr>
        <w:tc>
          <w:tcPr>
            <w:tcW w:w="6182" w:type="dxa"/>
            <w:gridSpan w:val="2"/>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项</w:t>
            </w:r>
            <w:r>
              <w:rPr>
                <w:rFonts w:hint="eastAsia" w:ascii="仿宋" w:hAnsi="仿宋" w:eastAsia="仿宋" w:cs="仿宋"/>
                <w:sz w:val="22"/>
                <w:szCs w:val="22"/>
              </w:rPr>
              <w:tab/>
            </w:r>
            <w:r>
              <w:rPr>
                <w:rFonts w:hint="eastAsia" w:ascii="仿宋" w:hAnsi="仿宋" w:eastAsia="仿宋" w:cs="仿宋"/>
                <w:sz w:val="22"/>
                <w:szCs w:val="22"/>
              </w:rPr>
              <w:t>目</w:t>
            </w:r>
          </w:p>
        </w:tc>
        <w:tc>
          <w:tcPr>
            <w:tcW w:w="3171" w:type="dxa"/>
            <w:vMerge w:val="restart"/>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本年支出合计</w:t>
            </w:r>
          </w:p>
        </w:tc>
        <w:tc>
          <w:tcPr>
            <w:tcW w:w="2778" w:type="dxa"/>
            <w:vMerge w:val="restart"/>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基本支出</w:t>
            </w:r>
          </w:p>
        </w:tc>
        <w:tc>
          <w:tcPr>
            <w:tcW w:w="3085" w:type="dxa"/>
            <w:vMerge w:val="restart"/>
            <w:tcBorders>
              <w:top w:val="single" w:color="000000" w:sz="6" w:space="0"/>
              <w:left w:val="single" w:color="000000" w:sz="6" w:space="0"/>
              <w:bottom w:val="single" w:color="000000" w:sz="6" w:space="0"/>
              <w:right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项目支出</w:t>
            </w:r>
          </w:p>
        </w:tc>
      </w:tr>
      <w:tr>
        <w:tblPrEx>
          <w:tblLayout w:type="fixed"/>
          <w:tblCellMar>
            <w:top w:w="55" w:type="dxa"/>
            <w:left w:w="55" w:type="dxa"/>
            <w:bottom w:w="55" w:type="dxa"/>
            <w:right w:w="55" w:type="dxa"/>
          </w:tblCellMar>
        </w:tblPrEx>
        <w:trPr>
          <w:trHeight w:val="341" w:hRule="atLeast"/>
        </w:trPr>
        <w:tc>
          <w:tcPr>
            <w:tcW w:w="2045"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功能分类科目编码</w:t>
            </w:r>
          </w:p>
        </w:tc>
        <w:tc>
          <w:tcPr>
            <w:tcW w:w="4137"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科目名称</w:t>
            </w:r>
          </w:p>
        </w:tc>
        <w:tc>
          <w:tcPr>
            <w:tcW w:w="3171" w:type="dxa"/>
            <w:vMerge w:val="continue"/>
            <w:tcBorders>
              <w:left w:val="single" w:color="000000" w:sz="6" w:space="0"/>
              <w:bottom w:val="single" w:color="000000" w:sz="6" w:space="0"/>
            </w:tcBorders>
          </w:tcPr>
          <w:p>
            <w:pPr>
              <w:widowControl w:val="0"/>
              <w:jc w:val="left"/>
              <w:rPr>
                <w:rFonts w:hint="eastAsia" w:ascii="仿宋" w:hAnsi="仿宋" w:eastAsia="仿宋" w:cs="仿宋"/>
                <w:sz w:val="22"/>
                <w:szCs w:val="22"/>
              </w:rPr>
            </w:pPr>
          </w:p>
        </w:tc>
        <w:tc>
          <w:tcPr>
            <w:tcW w:w="2778" w:type="dxa"/>
            <w:vMerge w:val="continue"/>
            <w:tcBorders>
              <w:left w:val="single" w:color="000000" w:sz="6" w:space="0"/>
              <w:bottom w:val="single" w:color="000000" w:sz="6" w:space="0"/>
            </w:tcBorders>
          </w:tcPr>
          <w:p>
            <w:pPr>
              <w:widowControl w:val="0"/>
              <w:jc w:val="left"/>
              <w:rPr>
                <w:rFonts w:hint="eastAsia" w:ascii="仿宋" w:hAnsi="仿宋" w:eastAsia="仿宋" w:cs="仿宋"/>
                <w:sz w:val="22"/>
                <w:szCs w:val="22"/>
              </w:rPr>
            </w:pPr>
          </w:p>
        </w:tc>
        <w:tc>
          <w:tcPr>
            <w:tcW w:w="3085" w:type="dxa"/>
            <w:vMerge w:val="continue"/>
            <w:tcBorders>
              <w:left w:val="single" w:color="000000" w:sz="6" w:space="0"/>
              <w:bottom w:val="single" w:color="000000" w:sz="6" w:space="0"/>
              <w:right w:val="single" w:color="000000" w:sz="6" w:space="0"/>
            </w:tcBorders>
          </w:tcPr>
          <w:p>
            <w:pPr>
              <w:widowControl w:val="0"/>
              <w:jc w:val="lef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275" w:hRule="atLeast"/>
        </w:trPr>
        <w:tc>
          <w:tcPr>
            <w:tcW w:w="6182" w:type="dxa"/>
            <w:gridSpan w:val="2"/>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栏次</w:t>
            </w:r>
          </w:p>
        </w:tc>
        <w:tc>
          <w:tcPr>
            <w:tcW w:w="3171"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1</w:t>
            </w:r>
          </w:p>
        </w:tc>
        <w:tc>
          <w:tcPr>
            <w:tcW w:w="2778"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2</w:t>
            </w:r>
          </w:p>
        </w:tc>
        <w:tc>
          <w:tcPr>
            <w:tcW w:w="3085" w:type="dxa"/>
            <w:tcBorders>
              <w:left w:val="single" w:color="000000" w:sz="6" w:space="0"/>
              <w:bottom w:val="single" w:color="000000" w:sz="6" w:space="0"/>
              <w:right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3</w:t>
            </w:r>
          </w:p>
        </w:tc>
      </w:tr>
      <w:tr>
        <w:tblPrEx>
          <w:tblLayout w:type="fixed"/>
          <w:tblCellMar>
            <w:top w:w="55" w:type="dxa"/>
            <w:left w:w="55" w:type="dxa"/>
            <w:bottom w:w="55" w:type="dxa"/>
            <w:right w:w="55" w:type="dxa"/>
          </w:tblCellMar>
        </w:tblPrEx>
        <w:trPr>
          <w:trHeight w:val="374" w:hRule="exact"/>
        </w:trPr>
        <w:tc>
          <w:tcPr>
            <w:tcW w:w="6182" w:type="dxa"/>
            <w:gridSpan w:val="2"/>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合计</w:t>
            </w:r>
          </w:p>
        </w:tc>
        <w:tc>
          <w:tcPr>
            <w:tcW w:w="3171" w:type="dxa"/>
            <w:tcBorders>
              <w:left w:val="single" w:color="000000" w:sz="6" w:space="0"/>
              <w:bottom w:val="single" w:color="000000" w:sz="6"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1,601.18</w:t>
            </w:r>
          </w:p>
        </w:tc>
        <w:tc>
          <w:tcPr>
            <w:tcW w:w="2778" w:type="dxa"/>
            <w:tcBorders>
              <w:left w:val="single" w:color="000000" w:sz="6" w:space="0"/>
              <w:bottom w:val="single" w:color="000000" w:sz="6" w:space="0"/>
            </w:tcBorders>
          </w:tcPr>
          <w:p>
            <w:pPr>
              <w:pStyle w:val="22"/>
              <w:widowControl w:val="0"/>
              <w:jc w:val="right"/>
              <w:rPr>
                <w:rFonts w:hint="eastAsia" w:ascii="仿宋" w:hAnsi="仿宋" w:eastAsia="仿宋" w:cs="仿宋"/>
                <w:sz w:val="22"/>
                <w:szCs w:val="22"/>
              </w:rPr>
            </w:pPr>
            <w:r>
              <w:rPr>
                <w:rFonts w:hint="eastAsia" w:ascii="仿宋" w:hAnsi="仿宋" w:eastAsia="仿宋" w:cs="仿宋"/>
              </w:rPr>
              <w:t>1,579.53</w:t>
            </w:r>
          </w:p>
        </w:tc>
        <w:tc>
          <w:tcPr>
            <w:tcW w:w="3085" w:type="dxa"/>
            <w:tcBorders>
              <w:left w:val="single" w:color="000000" w:sz="6" w:space="0"/>
              <w:bottom w:val="single" w:color="000000" w:sz="6" w:space="0"/>
              <w:right w:val="single" w:color="000000" w:sz="6"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21.65</w:t>
            </w: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208</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社会保障和就业支出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1,601.18</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1,579.53</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21.65</w:t>
            </w: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20810</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社会福利</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1,601.18</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1,579.53</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21.65</w:t>
            </w: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2081005</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社会福利事业单位</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1,601.18</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1,579.53</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21.65</w:t>
            </w:r>
          </w:p>
        </w:tc>
      </w:tr>
    </w:tbl>
    <w:p>
      <w:pPr>
        <w:widowControl w:val="0"/>
        <w:tabs>
          <w:tab w:val="left" w:pos="220"/>
        </w:tabs>
        <w:suppressAutoHyphens/>
        <w:bidi w:val="0"/>
        <w:spacing w:before="0" w:after="0"/>
        <w:ind w:left="220" w:leftChars="100" w:right="0" w:firstLine="0" w:firstLineChars="0"/>
        <w:jc w:val="both"/>
        <w:rPr>
          <w:rFonts w:hint="eastAsia" w:ascii="仿宋" w:hAnsi="仿宋" w:eastAsia="仿宋" w:cs="仿宋"/>
          <w:b/>
          <w:bCs/>
        </w:rPr>
      </w:pPr>
      <w:r>
        <w:rPr>
          <w:rFonts w:hint="eastAsia" w:ascii="仿宋" w:hAnsi="仿宋" w:eastAsia="仿宋" w:cs="仿宋"/>
          <w:b/>
          <w:bCs/>
        </w:rPr>
        <w:t>注：1.本表反映部门本年度按功能分类财政拨款实际支出情况。财政拨款指一般公共预算财政拨款、政府性基金预算财政拨款和国有资本经营预</w:t>
      </w:r>
    </w:p>
    <w:p>
      <w:pPr>
        <w:widowControl w:val="0"/>
        <w:tabs>
          <w:tab w:val="left" w:pos="55"/>
        </w:tabs>
        <w:suppressAutoHyphens/>
        <w:bidi w:val="0"/>
        <w:spacing w:before="0" w:after="0"/>
        <w:ind w:right="0" w:firstLine="663" w:firstLineChars="300"/>
        <w:jc w:val="both"/>
        <w:rPr>
          <w:rFonts w:hint="eastAsia" w:ascii="仿宋" w:hAnsi="仿宋" w:eastAsia="仿宋" w:cs="仿宋"/>
          <w:b/>
          <w:bCs/>
        </w:rPr>
      </w:pPr>
      <w:r>
        <w:rPr>
          <w:rFonts w:hint="eastAsia" w:ascii="仿宋" w:hAnsi="仿宋" w:eastAsia="仿宋" w:cs="仿宋"/>
          <w:b/>
          <w:bCs/>
        </w:rPr>
        <w:t>算财政拨款。</w:t>
      </w:r>
    </w:p>
    <w:p>
      <w:pPr>
        <w:widowControl w:val="0"/>
        <w:numPr>
          <w:ilvl w:val="0"/>
          <w:numId w:val="1"/>
        </w:numPr>
        <w:tabs>
          <w:tab w:val="left" w:pos="55"/>
          <w:tab w:val="clear" w:pos="312"/>
        </w:tabs>
        <w:suppressAutoHyphens/>
        <w:bidi w:val="0"/>
        <w:spacing w:before="0" w:after="0"/>
        <w:ind w:left="660" w:leftChars="0" w:right="0" w:firstLine="0" w:firstLineChars="0"/>
        <w:jc w:val="both"/>
        <w:rPr>
          <w:rFonts w:hint="eastAsia" w:ascii="仿宋" w:hAnsi="仿宋" w:eastAsia="仿宋" w:cs="仿宋"/>
          <w:b/>
          <w:bCs/>
        </w:rPr>
      </w:pPr>
      <w:r>
        <w:rPr>
          <w:rFonts w:hint="eastAsia" w:ascii="仿宋" w:hAnsi="仿宋" w:eastAsia="仿宋" w:cs="仿宋"/>
          <w:b/>
          <w:bCs/>
        </w:rPr>
        <w:t>本表金额转换为万元时，因四舍五入可能存在尾差。</w:t>
      </w:r>
    </w:p>
    <w:p>
      <w:pPr>
        <w:widowControl w:val="0"/>
        <w:numPr>
          <w:ilvl w:val="0"/>
          <w:numId w:val="0"/>
        </w:numPr>
        <w:tabs>
          <w:tab w:val="left" w:pos="55"/>
        </w:tabs>
        <w:suppressAutoHyphens/>
        <w:bidi w:val="0"/>
        <w:spacing w:before="0" w:after="0"/>
        <w:ind w:right="0" w:rightChars="0"/>
        <w:jc w:val="both"/>
        <w:rPr>
          <w:rFonts w:hint="eastAsia" w:ascii="仿宋" w:hAnsi="仿宋" w:eastAsia="仿宋" w:cs="仿宋"/>
          <w:b/>
          <w:bCs/>
        </w:rPr>
        <w:sectPr>
          <w:footerReference r:id="rId11" w:type="default"/>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p>
      <w:pPr>
        <w:rPr>
          <w:rFonts w:hint="eastAsia" w:ascii="仿宋" w:hAnsi="仿宋" w:eastAsia="仿宋" w:cs="仿宋"/>
          <w:sz w:val="20"/>
        </w:rPr>
      </w:pPr>
    </w:p>
    <w:tbl>
      <w:tblPr>
        <w:tblStyle w:val="13"/>
        <w:tblW w:w="10817" w:type="dxa"/>
        <w:tblInd w:w="-103" w:type="dxa"/>
        <w:tblLayout w:type="fixed"/>
        <w:tblCellMar>
          <w:top w:w="55" w:type="dxa"/>
          <w:left w:w="55" w:type="dxa"/>
          <w:bottom w:w="55" w:type="dxa"/>
          <w:right w:w="55" w:type="dxa"/>
        </w:tblCellMar>
      </w:tblPr>
      <w:tblGrid>
        <w:gridCol w:w="1131"/>
        <w:gridCol w:w="3542"/>
        <w:gridCol w:w="2047"/>
        <w:gridCol w:w="2040"/>
        <w:gridCol w:w="2057"/>
      </w:tblGrid>
      <w:tr>
        <w:tblPrEx>
          <w:tblLayout w:type="fixed"/>
          <w:tblCellMar>
            <w:top w:w="55" w:type="dxa"/>
            <w:left w:w="55" w:type="dxa"/>
            <w:bottom w:w="55" w:type="dxa"/>
            <w:right w:w="55" w:type="dxa"/>
          </w:tblCellMar>
        </w:tblPrEx>
        <w:trPr>
          <w:trHeight w:val="319" w:hRule="atLeast"/>
        </w:trPr>
        <w:tc>
          <w:tcPr>
            <w:tcW w:w="10817" w:type="dxa"/>
            <w:gridSpan w:val="5"/>
            <w:vAlign w:val="center"/>
          </w:tcPr>
          <w:p>
            <w:pPr>
              <w:pStyle w:val="22"/>
              <w:widowControl w:val="0"/>
              <w:jc w:val="center"/>
              <w:rPr>
                <w:rFonts w:hint="eastAsia" w:ascii="仿宋" w:hAnsi="仿宋" w:eastAsia="仿宋" w:cs="仿宋"/>
                <w:b/>
                <w:bCs/>
                <w:sz w:val="44"/>
                <w:szCs w:val="44"/>
              </w:rPr>
            </w:pPr>
            <w:r>
              <w:rPr>
                <w:rFonts w:hint="eastAsia" w:ascii="仿宋" w:hAnsi="仿宋" w:eastAsia="仿宋" w:cs="仿宋"/>
                <w:b/>
                <w:bCs/>
                <w:sz w:val="44"/>
                <w:szCs w:val="44"/>
              </w:rPr>
              <w:t>财政拨款基本支出决算表（经济科目）</w:t>
            </w:r>
          </w:p>
        </w:tc>
      </w:tr>
      <w:tr>
        <w:tblPrEx>
          <w:tblLayout w:type="fixed"/>
          <w:tblCellMar>
            <w:top w:w="55" w:type="dxa"/>
            <w:left w:w="55" w:type="dxa"/>
            <w:bottom w:w="55" w:type="dxa"/>
            <w:right w:w="55" w:type="dxa"/>
          </w:tblCellMar>
        </w:tblPrEx>
        <w:trPr>
          <w:trHeight w:val="319" w:hRule="atLeast"/>
        </w:trPr>
        <w:tc>
          <w:tcPr>
            <w:tcW w:w="4673" w:type="dxa"/>
            <w:gridSpan w:val="2"/>
          </w:tcPr>
          <w:p>
            <w:pPr>
              <w:pStyle w:val="22"/>
              <w:widowControl w:val="0"/>
              <w:rPr>
                <w:rFonts w:hint="eastAsia" w:ascii="仿宋" w:hAnsi="仿宋" w:eastAsia="仿宋" w:cs="仿宋"/>
                <w:sz w:val="20"/>
              </w:rPr>
            </w:pPr>
          </w:p>
        </w:tc>
        <w:tc>
          <w:tcPr>
            <w:tcW w:w="2047" w:type="dxa"/>
          </w:tcPr>
          <w:p>
            <w:pPr>
              <w:pStyle w:val="22"/>
              <w:widowControl w:val="0"/>
              <w:rPr>
                <w:rFonts w:hint="eastAsia" w:ascii="仿宋" w:hAnsi="仿宋" w:eastAsia="仿宋" w:cs="仿宋"/>
                <w:sz w:val="20"/>
              </w:rPr>
            </w:pPr>
          </w:p>
        </w:tc>
        <w:tc>
          <w:tcPr>
            <w:tcW w:w="2040" w:type="dxa"/>
          </w:tcPr>
          <w:p>
            <w:pPr>
              <w:pStyle w:val="22"/>
              <w:widowControl w:val="0"/>
              <w:rPr>
                <w:rFonts w:hint="eastAsia" w:ascii="仿宋" w:hAnsi="仿宋" w:eastAsia="仿宋" w:cs="仿宋"/>
                <w:sz w:val="20"/>
              </w:rPr>
            </w:pPr>
          </w:p>
        </w:tc>
        <w:tc>
          <w:tcPr>
            <w:tcW w:w="2057" w:type="dxa"/>
            <w:vAlign w:val="center"/>
          </w:tcPr>
          <w:p>
            <w:pPr>
              <w:pStyle w:val="22"/>
              <w:widowControl w:val="0"/>
              <w:jc w:val="right"/>
              <w:rPr>
                <w:rFonts w:hint="eastAsia" w:ascii="仿宋" w:hAnsi="仿宋" w:eastAsia="仿宋" w:cs="仿宋"/>
                <w:sz w:val="20"/>
              </w:rPr>
            </w:pPr>
            <w:r>
              <w:rPr>
                <w:rFonts w:hint="eastAsia" w:ascii="仿宋" w:hAnsi="仿宋" w:eastAsia="仿宋" w:cs="仿宋"/>
              </w:rPr>
              <w:t>公开06表</w:t>
            </w:r>
          </w:p>
        </w:tc>
      </w:tr>
      <w:tr>
        <w:tblPrEx>
          <w:tblLayout w:type="fixed"/>
          <w:tblCellMar>
            <w:top w:w="55" w:type="dxa"/>
            <w:left w:w="55" w:type="dxa"/>
            <w:bottom w:w="55" w:type="dxa"/>
            <w:right w:w="55" w:type="dxa"/>
          </w:tblCellMar>
        </w:tblPrEx>
        <w:trPr>
          <w:trHeight w:val="319" w:hRule="atLeast"/>
        </w:trPr>
        <w:tc>
          <w:tcPr>
            <w:tcW w:w="8760" w:type="dxa"/>
            <w:gridSpan w:val="4"/>
          </w:tcPr>
          <w:p>
            <w:pPr>
              <w:pStyle w:val="22"/>
              <w:widowControl w:val="0"/>
              <w:rPr>
                <w:rFonts w:hint="eastAsia" w:ascii="仿宋" w:hAnsi="仿宋" w:eastAsia="仿宋" w:cs="仿宋"/>
                <w:sz w:val="22"/>
                <w:szCs w:val="22"/>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sz w:val="22"/>
                <w:szCs w:val="22"/>
              </w:rPr>
              <w:t>江苏省立新农场</w:t>
            </w:r>
          </w:p>
        </w:tc>
        <w:tc>
          <w:tcPr>
            <w:tcW w:w="2057" w:type="dxa"/>
            <w:vAlign w:val="center"/>
          </w:tcPr>
          <w:p>
            <w:pPr>
              <w:pStyle w:val="22"/>
              <w:widowControl w:val="0"/>
              <w:jc w:val="right"/>
              <w:rPr>
                <w:rFonts w:hint="eastAsia" w:ascii="仿宋" w:hAnsi="仿宋" w:eastAsia="仿宋" w:cs="仿宋"/>
                <w:sz w:val="20"/>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243" w:hRule="atLeast"/>
        </w:trPr>
        <w:tc>
          <w:tcPr>
            <w:tcW w:w="4673"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614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财政拨款基本支出</w:t>
            </w:r>
          </w:p>
        </w:tc>
      </w:tr>
      <w:tr>
        <w:tblPrEx>
          <w:tblLayout w:type="fixed"/>
          <w:tblCellMar>
            <w:top w:w="55" w:type="dxa"/>
            <w:left w:w="55" w:type="dxa"/>
            <w:bottom w:w="55" w:type="dxa"/>
            <w:right w:w="55" w:type="dxa"/>
          </w:tblCellMar>
        </w:tblPrEx>
        <w:trPr>
          <w:trHeight w:val="483" w:hRule="atLeast"/>
        </w:trPr>
        <w:tc>
          <w:tcPr>
            <w:tcW w:w="1131"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经济分类科目编码</w:t>
            </w:r>
          </w:p>
        </w:tc>
        <w:tc>
          <w:tcPr>
            <w:tcW w:w="3542"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204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204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人员经费</w:t>
            </w:r>
          </w:p>
        </w:tc>
        <w:tc>
          <w:tcPr>
            <w:tcW w:w="2057"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公用经费</w:t>
            </w:r>
          </w:p>
        </w:tc>
      </w:tr>
      <w:tr>
        <w:tblPrEx>
          <w:tblLayout w:type="fixed"/>
          <w:tblCellMar>
            <w:top w:w="55" w:type="dxa"/>
            <w:left w:w="55" w:type="dxa"/>
            <w:bottom w:w="55" w:type="dxa"/>
            <w:right w:w="55" w:type="dxa"/>
          </w:tblCellMar>
        </w:tblPrEx>
        <w:trPr>
          <w:trHeight w:val="409" w:hRule="exact"/>
        </w:trPr>
        <w:tc>
          <w:tcPr>
            <w:tcW w:w="4673"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ascii="仿宋" w:hAnsi="仿宋" w:eastAsia="仿宋" w:cs="仿宋"/>
              </w:rPr>
              <w:t>合计</w:t>
            </w:r>
          </w:p>
        </w:tc>
        <w:tc>
          <w:tcPr>
            <w:tcW w:w="204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1,579.53</w:t>
            </w:r>
          </w:p>
        </w:tc>
        <w:tc>
          <w:tcPr>
            <w:tcW w:w="204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1,458.69</w:t>
            </w:r>
          </w:p>
        </w:tc>
        <w:tc>
          <w:tcPr>
            <w:tcW w:w="2057"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120.84</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工资福利支出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946.73</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946.73</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基本工资</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169.75</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169.75</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津贴补贴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103.10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103.10</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奖金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伙食补助费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绩效工资</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402.68</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402.68</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机关事业单位基本养老保险缴费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59.98</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59.98</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职业年金缴费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29.99</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29.99</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职工基本医疗保险缴费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公务员医疗补助缴费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其他社会保障缴费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11.93</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11.93</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住房公积金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48.47</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48.47</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医疗费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89.17</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89.17</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其他工资福利支出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31.66</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31.66</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商品和服务支出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120.84</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120.84</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办公费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21.21</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21.21</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印刷费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咨询费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手续费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0.13</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0.13</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3.61</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3.61</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电费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17.11</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17.11</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邮电费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6.06</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6.06</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取暖费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物业管理费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5.18</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5.18</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差旅费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2.07</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2.07</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因公出国（境）费用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维修（护）费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租赁费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会议费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培训费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公务接待费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专用材料费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被装购置费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专用燃料费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劳务费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委托业务费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5.79</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5.79</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工会经费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50.46</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50.46</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福利费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30231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公务用车运行维护费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30239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其他交通费用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30240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税金及附加费用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0.81</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0.81</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其他商品和服务支出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8.41</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8.41</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对个人和家庭的补助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511.96</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511.96</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离休费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退休费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461.34</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461.34</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退职（役）费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抚恤金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44.13</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44.13</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生活补助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5.88</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5.88</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救济费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医疗费补助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助学金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奖励金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0.02</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0.02</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个人农业生产补贴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代缴社会保险费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其他对个人和家庭的补助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0.60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0.60</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债务利息及费用支出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国内债务付息</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国外债务付息</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国内债务发行费用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国外债务发行费用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资本性支出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房屋建筑物购建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办公设备购置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专用设备购置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基础设施建设</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大型修缮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信息网络及软件购置更新</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物资储备</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土地补偿</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安置补助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地上附着物和青苗补偿</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拆迁补偿</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公务用车购置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其他交通工具购置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31021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文物和陈列品购置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31022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无形资产购置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其他资本性支出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对企业补助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资本金注入</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政府投资基金股权投资</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费用补贴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利息补贴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其他对企业补助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赠与</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国家赔偿费用支出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对民间非营利组织和群众性自治组织补贴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bl>
    <w:p>
      <w:pPr>
        <w:widowControl w:val="0"/>
        <w:tabs>
          <w:tab w:val="left" w:pos="660"/>
        </w:tabs>
        <w:suppressAutoHyphens/>
        <w:bidi w:val="0"/>
        <w:spacing w:before="25" w:after="0" w:line="290" w:lineRule="auto"/>
        <w:ind w:left="220" w:leftChars="0" w:right="397" w:hanging="460" w:firstLineChars="0"/>
        <w:jc w:val="left"/>
        <w:rPr>
          <w:rFonts w:hint="eastAsia" w:ascii="仿宋" w:hAnsi="仿宋" w:eastAsia="仿宋" w:cs="仿宋"/>
          <w:b/>
          <w:bCs/>
          <w:sz w:val="22"/>
          <w:szCs w:val="22"/>
        </w:rPr>
      </w:pPr>
      <w:r>
        <w:rPr>
          <w:rFonts w:hint="eastAsia" w:ascii="仿宋" w:hAnsi="仿宋" w:eastAsia="仿宋" w:cs="仿宋"/>
          <w:b/>
          <w:bCs/>
          <w:sz w:val="22"/>
          <w:szCs w:val="22"/>
        </w:rPr>
        <w:t>注：1.本表反映部门本年度按经济分类财政拨款基本支出明细情况。财政拨款指一般公共预算财政拨款、政府性基金预算财政拨款和国有资本经营预算财政拨款。</w:t>
      </w:r>
    </w:p>
    <w:p>
      <w:pPr>
        <w:keepNext w:val="0"/>
        <w:keepLines w:val="0"/>
        <w:pageBreakBefore w:val="0"/>
        <w:widowControl w:val="0"/>
        <w:numPr>
          <w:ilvl w:val="0"/>
          <w:numId w:val="2"/>
        </w:numPr>
        <w:tabs>
          <w:tab w:val="left" w:pos="0"/>
        </w:tabs>
        <w:kinsoku/>
        <w:wordWrap/>
        <w:overflowPunct/>
        <w:topLinePunct w:val="0"/>
        <w:autoSpaceDE/>
        <w:autoSpaceDN/>
        <w:bidi w:val="0"/>
        <w:adjustRightInd/>
        <w:snapToGrid/>
        <w:spacing w:line="255" w:lineRule="exact"/>
        <w:ind w:left="220" w:leftChars="0" w:firstLine="0" w:firstLineChars="0"/>
        <w:textAlignment w:val="auto"/>
        <w:rPr>
          <w:rFonts w:hint="eastAsia" w:ascii="仿宋" w:hAnsi="仿宋" w:eastAsia="仿宋" w:cs="仿宋"/>
          <w:b/>
          <w:bCs/>
          <w:sz w:val="22"/>
          <w:szCs w:val="22"/>
        </w:rPr>
      </w:pPr>
      <w:r>
        <w:rPr>
          <w:rFonts w:hint="eastAsia" w:ascii="仿宋" w:hAnsi="仿宋" w:eastAsia="仿宋" w:cs="仿宋"/>
          <w:b/>
          <w:bCs/>
          <w:sz w:val="22"/>
          <w:szCs w:val="22"/>
        </w:rPr>
        <w:t>本表金额转换为万元时，因四舍五入可能存在尾差。</w:t>
      </w:r>
    </w:p>
    <w:p>
      <w:pPr>
        <w:widowControl w:val="0"/>
        <w:numPr>
          <w:ilvl w:val="0"/>
          <w:numId w:val="0"/>
        </w:numPr>
        <w:suppressAutoHyphens/>
        <w:bidi w:val="0"/>
        <w:spacing w:before="0" w:after="0" w:line="255" w:lineRule="exact"/>
        <w:jc w:val="left"/>
        <w:rPr>
          <w:rFonts w:hint="eastAsia" w:ascii="仿宋" w:hAnsi="仿宋" w:eastAsia="仿宋" w:cs="仿宋"/>
          <w:b/>
          <w:bCs/>
          <w:sz w:val="22"/>
          <w:szCs w:val="22"/>
        </w:rPr>
        <w:sectPr>
          <w:footerReference r:id="rId12" w:type="default"/>
          <w:pgSz w:w="11906" w:h="16838"/>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1040" w:type="dxa"/>
        <w:tblInd w:w="-240" w:type="dxa"/>
        <w:tblLayout w:type="fixed"/>
        <w:tblCellMar>
          <w:top w:w="55" w:type="dxa"/>
          <w:left w:w="55" w:type="dxa"/>
          <w:bottom w:w="55" w:type="dxa"/>
          <w:right w:w="55" w:type="dxa"/>
        </w:tblCellMar>
      </w:tblPr>
      <w:tblGrid>
        <w:gridCol w:w="1397"/>
        <w:gridCol w:w="3420"/>
        <w:gridCol w:w="2537"/>
        <w:gridCol w:w="1800"/>
        <w:gridCol w:w="1886"/>
      </w:tblGrid>
      <w:tr>
        <w:tblPrEx>
          <w:tblLayout w:type="fixed"/>
          <w:tblCellMar>
            <w:top w:w="55" w:type="dxa"/>
            <w:left w:w="55" w:type="dxa"/>
            <w:bottom w:w="55" w:type="dxa"/>
            <w:right w:w="55" w:type="dxa"/>
          </w:tblCellMar>
        </w:tblPrEx>
        <w:trPr>
          <w:trHeight w:val="560" w:hRule="atLeast"/>
        </w:trPr>
        <w:tc>
          <w:tcPr>
            <w:tcW w:w="11040" w:type="dxa"/>
            <w:gridSpan w:val="5"/>
            <w:vAlign w:val="center"/>
          </w:tcPr>
          <w:p>
            <w:pPr>
              <w:pStyle w:val="22"/>
              <w:widowControl w:val="0"/>
              <w:jc w:val="center"/>
              <w:rPr>
                <w:rFonts w:hint="eastAsia" w:ascii="仿宋" w:hAnsi="仿宋" w:eastAsia="仿宋" w:cs="仿宋"/>
                <w:b/>
                <w:bCs/>
                <w:sz w:val="44"/>
                <w:szCs w:val="44"/>
              </w:rPr>
            </w:pPr>
            <w:r>
              <w:rPr>
                <w:rFonts w:hint="eastAsia" w:ascii="仿宋" w:hAnsi="仿宋" w:eastAsia="仿宋" w:cs="仿宋"/>
                <w:b/>
                <w:bCs/>
                <w:sz w:val="44"/>
                <w:szCs w:val="44"/>
              </w:rPr>
              <w:t>一般公共预算支出决算表（功能科目）</w:t>
            </w:r>
          </w:p>
        </w:tc>
      </w:tr>
      <w:tr>
        <w:tblPrEx>
          <w:tblLayout w:type="fixed"/>
          <w:tblCellMar>
            <w:top w:w="55" w:type="dxa"/>
            <w:left w:w="55" w:type="dxa"/>
            <w:bottom w:w="55" w:type="dxa"/>
            <w:right w:w="55" w:type="dxa"/>
          </w:tblCellMar>
        </w:tblPrEx>
        <w:trPr>
          <w:trHeight w:val="243" w:hRule="atLeast"/>
        </w:trPr>
        <w:tc>
          <w:tcPr>
            <w:tcW w:w="4817" w:type="dxa"/>
            <w:gridSpan w:val="2"/>
          </w:tcPr>
          <w:p>
            <w:pPr>
              <w:pStyle w:val="22"/>
              <w:widowControl w:val="0"/>
              <w:rPr>
                <w:rFonts w:hint="eastAsia" w:ascii="仿宋" w:hAnsi="仿宋" w:eastAsia="仿宋" w:cs="仿宋"/>
                <w:sz w:val="20"/>
              </w:rPr>
            </w:pPr>
          </w:p>
        </w:tc>
        <w:tc>
          <w:tcPr>
            <w:tcW w:w="2537" w:type="dxa"/>
          </w:tcPr>
          <w:p>
            <w:pPr>
              <w:pStyle w:val="22"/>
              <w:widowControl w:val="0"/>
              <w:rPr>
                <w:rFonts w:hint="eastAsia" w:ascii="仿宋" w:hAnsi="仿宋" w:eastAsia="仿宋" w:cs="仿宋"/>
                <w:sz w:val="20"/>
              </w:rPr>
            </w:pPr>
          </w:p>
        </w:tc>
        <w:tc>
          <w:tcPr>
            <w:tcW w:w="1800" w:type="dxa"/>
          </w:tcPr>
          <w:p>
            <w:pPr>
              <w:pStyle w:val="22"/>
              <w:widowControl w:val="0"/>
              <w:rPr>
                <w:rFonts w:hint="eastAsia" w:ascii="仿宋" w:hAnsi="仿宋" w:eastAsia="仿宋" w:cs="仿宋"/>
                <w:sz w:val="20"/>
              </w:rPr>
            </w:pPr>
          </w:p>
        </w:tc>
        <w:tc>
          <w:tcPr>
            <w:tcW w:w="1886" w:type="dxa"/>
            <w:vAlign w:val="center"/>
          </w:tcPr>
          <w:p>
            <w:pPr>
              <w:pStyle w:val="22"/>
              <w:widowControl w:val="0"/>
              <w:jc w:val="right"/>
              <w:rPr>
                <w:rFonts w:hint="eastAsia" w:ascii="仿宋" w:hAnsi="仿宋" w:eastAsia="仿宋" w:cs="仿宋"/>
                <w:sz w:val="20"/>
              </w:rPr>
            </w:pPr>
            <w:r>
              <w:rPr>
                <w:rFonts w:hint="eastAsia" w:ascii="仿宋" w:hAnsi="仿宋" w:eastAsia="仿宋" w:cs="仿宋"/>
              </w:rPr>
              <w:t>公开07表</w:t>
            </w:r>
          </w:p>
        </w:tc>
      </w:tr>
      <w:tr>
        <w:tblPrEx>
          <w:tblLayout w:type="fixed"/>
          <w:tblCellMar>
            <w:top w:w="55" w:type="dxa"/>
            <w:left w:w="55" w:type="dxa"/>
            <w:bottom w:w="55" w:type="dxa"/>
            <w:right w:w="55" w:type="dxa"/>
          </w:tblCellMar>
        </w:tblPrEx>
        <w:trPr>
          <w:trHeight w:val="191" w:hRule="atLeast"/>
        </w:trPr>
        <w:tc>
          <w:tcPr>
            <w:tcW w:w="7354" w:type="dxa"/>
            <w:gridSpan w:val="3"/>
          </w:tcPr>
          <w:p>
            <w:pPr>
              <w:pStyle w:val="22"/>
              <w:widowControl w:val="0"/>
              <w:jc w:val="left"/>
              <w:rPr>
                <w:rFonts w:hint="eastAsia" w:ascii="仿宋" w:hAnsi="仿宋" w:eastAsia="仿宋" w:cs="仿宋"/>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江苏省立新农场</w:t>
            </w:r>
          </w:p>
        </w:tc>
        <w:tc>
          <w:tcPr>
            <w:tcW w:w="3686" w:type="dxa"/>
            <w:gridSpan w:val="2"/>
          </w:tcPr>
          <w:p>
            <w:pPr>
              <w:pStyle w:val="22"/>
              <w:widowControl w:val="0"/>
              <w:jc w:val="right"/>
              <w:rPr>
                <w:rFonts w:hint="eastAsia" w:ascii="仿宋" w:hAnsi="仿宋" w:eastAsia="仿宋" w:cs="仿宋"/>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220" w:hRule="atLeast"/>
        </w:trPr>
        <w:tc>
          <w:tcPr>
            <w:tcW w:w="4817" w:type="dxa"/>
            <w:gridSpan w:val="2"/>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2537" w:type="dxa"/>
            <w:vMerge w:val="restart"/>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本年支出合计</w:t>
            </w:r>
          </w:p>
        </w:tc>
        <w:tc>
          <w:tcPr>
            <w:tcW w:w="1800" w:type="dxa"/>
            <w:vMerge w:val="restart"/>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基本支出</w:t>
            </w:r>
          </w:p>
        </w:tc>
        <w:tc>
          <w:tcPr>
            <w:tcW w:w="1886" w:type="dxa"/>
            <w:vMerge w:val="restart"/>
            <w:tcBorders>
              <w:top w:val="single" w:color="000000" w:sz="6" w:space="0"/>
              <w:left w:val="single" w:color="000000" w:sz="6" w:space="0"/>
              <w:bottom w:val="single" w:color="000000" w:sz="6" w:space="0"/>
              <w:right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项目支出</w:t>
            </w:r>
          </w:p>
        </w:tc>
      </w:tr>
      <w:tr>
        <w:tblPrEx>
          <w:tblLayout w:type="fixed"/>
          <w:tblCellMar>
            <w:top w:w="55" w:type="dxa"/>
            <w:left w:w="55" w:type="dxa"/>
            <w:bottom w:w="55" w:type="dxa"/>
            <w:right w:w="55" w:type="dxa"/>
          </w:tblCellMar>
        </w:tblPrEx>
        <w:trPr>
          <w:trHeight w:val="389" w:hRule="atLeast"/>
        </w:trPr>
        <w:tc>
          <w:tcPr>
            <w:tcW w:w="1397"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功能分类科目编码</w:t>
            </w:r>
          </w:p>
        </w:tc>
        <w:tc>
          <w:tcPr>
            <w:tcW w:w="3420"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2537" w:type="dxa"/>
            <w:vMerge w:val="continue"/>
            <w:tcBorders>
              <w:left w:val="single" w:color="000000" w:sz="6" w:space="0"/>
              <w:bottom w:val="single" w:color="000000" w:sz="6" w:space="0"/>
            </w:tcBorders>
          </w:tcPr>
          <w:p>
            <w:pPr>
              <w:widowControl w:val="0"/>
              <w:jc w:val="left"/>
              <w:rPr>
                <w:rFonts w:hint="eastAsia" w:ascii="仿宋" w:hAnsi="仿宋" w:eastAsia="仿宋" w:cs="仿宋"/>
                <w:sz w:val="2"/>
                <w:szCs w:val="2"/>
              </w:rPr>
            </w:pPr>
          </w:p>
        </w:tc>
        <w:tc>
          <w:tcPr>
            <w:tcW w:w="1800" w:type="dxa"/>
            <w:vMerge w:val="continue"/>
            <w:tcBorders>
              <w:left w:val="single" w:color="000000" w:sz="6" w:space="0"/>
              <w:bottom w:val="single" w:color="000000" w:sz="6" w:space="0"/>
            </w:tcBorders>
          </w:tcPr>
          <w:p>
            <w:pPr>
              <w:widowControl w:val="0"/>
              <w:jc w:val="left"/>
              <w:rPr>
                <w:rFonts w:hint="eastAsia" w:ascii="仿宋" w:hAnsi="仿宋" w:eastAsia="仿宋" w:cs="仿宋"/>
                <w:sz w:val="2"/>
                <w:szCs w:val="2"/>
              </w:rPr>
            </w:pPr>
          </w:p>
        </w:tc>
        <w:tc>
          <w:tcPr>
            <w:tcW w:w="1886" w:type="dxa"/>
            <w:vMerge w:val="continue"/>
            <w:tcBorders>
              <w:left w:val="single" w:color="000000" w:sz="6" w:space="0"/>
              <w:bottom w:val="single" w:color="000000" w:sz="6" w:space="0"/>
              <w:right w:val="single" w:color="000000" w:sz="6" w:space="0"/>
            </w:tcBorders>
          </w:tcPr>
          <w:p>
            <w:pPr>
              <w:widowControl w:val="0"/>
              <w:jc w:val="left"/>
              <w:rPr>
                <w:rFonts w:hint="eastAsia" w:ascii="仿宋" w:hAnsi="仿宋" w:eastAsia="仿宋" w:cs="仿宋"/>
                <w:sz w:val="2"/>
                <w:szCs w:val="2"/>
              </w:rPr>
            </w:pPr>
          </w:p>
        </w:tc>
      </w:tr>
      <w:tr>
        <w:tblPrEx>
          <w:tblLayout w:type="fixed"/>
          <w:tblCellMar>
            <w:top w:w="55" w:type="dxa"/>
            <w:left w:w="55" w:type="dxa"/>
            <w:bottom w:w="55" w:type="dxa"/>
            <w:right w:w="55" w:type="dxa"/>
          </w:tblCellMar>
        </w:tblPrEx>
        <w:trPr>
          <w:trHeight w:val="152" w:hRule="atLeast"/>
        </w:trPr>
        <w:tc>
          <w:tcPr>
            <w:tcW w:w="4817" w:type="dxa"/>
            <w:gridSpan w:val="2"/>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栏次</w:t>
            </w:r>
          </w:p>
        </w:tc>
        <w:tc>
          <w:tcPr>
            <w:tcW w:w="2537"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1</w:t>
            </w:r>
          </w:p>
        </w:tc>
        <w:tc>
          <w:tcPr>
            <w:tcW w:w="1800"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2</w:t>
            </w:r>
          </w:p>
        </w:tc>
        <w:tc>
          <w:tcPr>
            <w:tcW w:w="1886" w:type="dxa"/>
            <w:tcBorders>
              <w:left w:val="single" w:color="000000" w:sz="6" w:space="0"/>
              <w:bottom w:val="single" w:color="000000" w:sz="6" w:space="0"/>
              <w:right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3</w:t>
            </w:r>
          </w:p>
        </w:tc>
      </w:tr>
      <w:tr>
        <w:tblPrEx>
          <w:tblLayout w:type="fixed"/>
          <w:tblCellMar>
            <w:top w:w="55" w:type="dxa"/>
            <w:left w:w="55" w:type="dxa"/>
            <w:bottom w:w="55" w:type="dxa"/>
            <w:right w:w="55" w:type="dxa"/>
          </w:tblCellMar>
        </w:tblPrEx>
        <w:trPr>
          <w:trHeight w:val="361" w:hRule="exact"/>
        </w:trPr>
        <w:tc>
          <w:tcPr>
            <w:tcW w:w="4817" w:type="dxa"/>
            <w:gridSpan w:val="2"/>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合计</w:t>
            </w:r>
          </w:p>
        </w:tc>
        <w:tc>
          <w:tcPr>
            <w:tcW w:w="2537" w:type="dxa"/>
            <w:tcBorders>
              <w:left w:val="single" w:color="000000" w:sz="6" w:space="0"/>
              <w:bottom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1,601.18</w:t>
            </w:r>
          </w:p>
        </w:tc>
        <w:tc>
          <w:tcPr>
            <w:tcW w:w="1800" w:type="dxa"/>
            <w:tcBorders>
              <w:left w:val="single" w:color="000000" w:sz="6" w:space="0"/>
              <w:bottom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1,579.53</w:t>
            </w:r>
          </w:p>
        </w:tc>
        <w:tc>
          <w:tcPr>
            <w:tcW w:w="1886" w:type="dxa"/>
            <w:tcBorders>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21.65</w:t>
            </w: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208</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社会保障和就业支出</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1,601.18</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1,579.53</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21.65</w:t>
            </w: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20810</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社会福利</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1,601.18</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1,579.53</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21.65</w:t>
            </w: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2081005</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社会福利事业单位</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1,601.18</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1,579.53</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21.65</w:t>
            </w:r>
          </w:p>
        </w:tc>
      </w:tr>
    </w:tbl>
    <w:p>
      <w:pPr>
        <w:tabs>
          <w:tab w:val="left" w:pos="0"/>
        </w:tabs>
        <w:spacing w:before="25" w:after="0"/>
        <w:ind w:left="-220" w:leftChars="-100" w:firstLine="0" w:firstLineChars="0"/>
        <w:rPr>
          <w:rFonts w:hint="eastAsia" w:ascii="仿宋" w:hAnsi="仿宋" w:eastAsia="仿宋" w:cs="仿宋"/>
          <w:b/>
          <w:bCs/>
          <w:sz w:val="22"/>
          <w:szCs w:val="22"/>
        </w:rPr>
      </w:pPr>
      <w:r>
        <w:rPr>
          <w:rFonts w:hint="eastAsia" w:ascii="仿宋" w:hAnsi="仿宋" w:eastAsia="仿宋" w:cs="仿宋"/>
          <w:b/>
          <w:bCs/>
          <w:sz w:val="22"/>
          <w:szCs w:val="22"/>
        </w:rPr>
        <w:t>注：1.本表反映部门本年度按功能分类一般公共预算财政拨款实际支出情况。</w:t>
      </w:r>
    </w:p>
    <w:p>
      <w:pPr>
        <w:numPr>
          <w:ilvl w:val="0"/>
          <w:numId w:val="3"/>
        </w:numPr>
        <w:tabs>
          <w:tab w:val="left" w:pos="0"/>
          <w:tab w:val="clear" w:pos="312"/>
        </w:tabs>
        <w:spacing w:before="25" w:after="0"/>
        <w:ind w:left="200" w:leftChars="0" w:firstLine="0" w:firstLineChars="0"/>
        <w:rPr>
          <w:rFonts w:hint="eastAsia" w:ascii="仿宋" w:hAnsi="仿宋" w:eastAsia="仿宋" w:cs="仿宋"/>
          <w:b/>
          <w:bCs/>
          <w:sz w:val="22"/>
          <w:szCs w:val="22"/>
        </w:rPr>
      </w:pPr>
      <w:r>
        <w:rPr>
          <w:rFonts w:hint="eastAsia" w:ascii="仿宋" w:hAnsi="仿宋" w:eastAsia="仿宋" w:cs="仿宋"/>
          <w:b/>
          <w:bCs/>
          <w:sz w:val="22"/>
          <w:szCs w:val="22"/>
        </w:rPr>
        <w:t>本表金额转换为万元时，因四舍五入可能存在尾差。</w:t>
      </w:r>
    </w:p>
    <w:p>
      <w:pPr>
        <w:widowControl w:val="0"/>
        <w:numPr>
          <w:ilvl w:val="0"/>
          <w:numId w:val="0"/>
        </w:numPr>
        <w:suppressAutoHyphens/>
        <w:bidi w:val="0"/>
        <w:spacing w:before="25" w:after="0"/>
        <w:jc w:val="left"/>
        <w:rPr>
          <w:rFonts w:hint="eastAsia" w:ascii="仿宋" w:hAnsi="仿宋" w:eastAsia="仿宋" w:cs="仿宋"/>
          <w:b/>
          <w:bCs/>
          <w:sz w:val="22"/>
          <w:szCs w:val="22"/>
        </w:rPr>
        <w:sectPr>
          <w:footerReference r:id="rId13" w:type="default"/>
          <w:pgSz w:w="11906" w:h="16838"/>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0954" w:type="dxa"/>
        <w:tblInd w:w="-206" w:type="dxa"/>
        <w:tblLayout w:type="fixed"/>
        <w:tblCellMar>
          <w:top w:w="55" w:type="dxa"/>
          <w:left w:w="55" w:type="dxa"/>
          <w:bottom w:w="55" w:type="dxa"/>
          <w:right w:w="55" w:type="dxa"/>
        </w:tblCellMar>
      </w:tblPr>
      <w:tblGrid>
        <w:gridCol w:w="1114"/>
        <w:gridCol w:w="2777"/>
        <w:gridCol w:w="644"/>
        <w:gridCol w:w="1996"/>
        <w:gridCol w:w="2246"/>
        <w:gridCol w:w="2177"/>
      </w:tblGrid>
      <w:tr>
        <w:tblPrEx>
          <w:tblLayout w:type="fixed"/>
          <w:tblCellMar>
            <w:top w:w="55" w:type="dxa"/>
            <w:left w:w="55" w:type="dxa"/>
            <w:bottom w:w="55" w:type="dxa"/>
            <w:right w:w="55" w:type="dxa"/>
          </w:tblCellMar>
        </w:tblPrEx>
        <w:trPr>
          <w:trHeight w:val="319" w:hRule="atLeast"/>
        </w:trPr>
        <w:tc>
          <w:tcPr>
            <w:tcW w:w="10954" w:type="dxa"/>
            <w:gridSpan w:val="6"/>
          </w:tcPr>
          <w:p>
            <w:pPr>
              <w:pStyle w:val="22"/>
              <w:widowControl w:val="0"/>
              <w:jc w:val="center"/>
              <w:rPr>
                <w:rFonts w:hint="eastAsia" w:ascii="仿宋" w:hAnsi="仿宋" w:eastAsia="仿宋" w:cs="仿宋"/>
                <w:b/>
                <w:bCs/>
                <w:sz w:val="44"/>
                <w:szCs w:val="44"/>
              </w:rPr>
            </w:pPr>
            <w:r>
              <w:rPr>
                <w:rFonts w:hint="eastAsia" w:ascii="仿宋" w:hAnsi="仿宋" w:eastAsia="仿宋" w:cs="仿宋"/>
                <w:b/>
                <w:bCs/>
                <w:sz w:val="44"/>
                <w:szCs w:val="44"/>
              </w:rPr>
              <w:t>一般公共预算基本支出决算表（经济科目）</w:t>
            </w:r>
          </w:p>
        </w:tc>
      </w:tr>
      <w:tr>
        <w:tblPrEx>
          <w:tblLayout w:type="fixed"/>
          <w:tblCellMar>
            <w:top w:w="55" w:type="dxa"/>
            <w:left w:w="55" w:type="dxa"/>
            <w:bottom w:w="55" w:type="dxa"/>
            <w:right w:w="55" w:type="dxa"/>
          </w:tblCellMar>
        </w:tblPrEx>
        <w:trPr>
          <w:trHeight w:val="189" w:hRule="atLeast"/>
        </w:trPr>
        <w:tc>
          <w:tcPr>
            <w:tcW w:w="3891" w:type="dxa"/>
            <w:gridSpan w:val="2"/>
          </w:tcPr>
          <w:p>
            <w:pPr>
              <w:pStyle w:val="22"/>
              <w:widowControl w:val="0"/>
              <w:rPr>
                <w:rFonts w:hint="eastAsia" w:ascii="仿宋" w:hAnsi="仿宋" w:eastAsia="仿宋" w:cs="仿宋"/>
                <w:sz w:val="20"/>
              </w:rPr>
            </w:pPr>
          </w:p>
        </w:tc>
        <w:tc>
          <w:tcPr>
            <w:tcW w:w="644" w:type="dxa"/>
          </w:tcPr>
          <w:p>
            <w:pPr>
              <w:pStyle w:val="22"/>
              <w:widowControl w:val="0"/>
              <w:rPr>
                <w:rFonts w:hint="eastAsia" w:ascii="仿宋" w:hAnsi="仿宋" w:eastAsia="仿宋" w:cs="仿宋"/>
                <w:sz w:val="20"/>
              </w:rPr>
            </w:pPr>
          </w:p>
        </w:tc>
        <w:tc>
          <w:tcPr>
            <w:tcW w:w="4242" w:type="dxa"/>
            <w:gridSpan w:val="2"/>
          </w:tcPr>
          <w:p>
            <w:pPr>
              <w:pStyle w:val="22"/>
              <w:widowControl w:val="0"/>
              <w:rPr>
                <w:rFonts w:hint="eastAsia" w:ascii="仿宋" w:hAnsi="仿宋" w:eastAsia="仿宋" w:cs="仿宋"/>
                <w:sz w:val="20"/>
              </w:rPr>
            </w:pPr>
          </w:p>
        </w:tc>
        <w:tc>
          <w:tcPr>
            <w:tcW w:w="2177" w:type="dxa"/>
            <w:vAlign w:val="center"/>
          </w:tcPr>
          <w:p>
            <w:pPr>
              <w:pStyle w:val="22"/>
              <w:widowControl w:val="0"/>
              <w:jc w:val="right"/>
              <w:rPr>
                <w:rFonts w:hint="eastAsia" w:ascii="仿宋" w:hAnsi="仿宋" w:eastAsia="仿宋" w:cs="仿宋"/>
                <w:sz w:val="20"/>
              </w:rPr>
            </w:pPr>
            <w:r>
              <w:rPr>
                <w:rFonts w:hint="eastAsia" w:ascii="仿宋" w:hAnsi="仿宋" w:eastAsia="仿宋" w:cs="仿宋"/>
              </w:rPr>
              <w:t>公开08表</w:t>
            </w:r>
          </w:p>
        </w:tc>
      </w:tr>
      <w:tr>
        <w:tblPrEx>
          <w:tblLayout w:type="fixed"/>
          <w:tblCellMar>
            <w:top w:w="55" w:type="dxa"/>
            <w:left w:w="55" w:type="dxa"/>
            <w:bottom w:w="55" w:type="dxa"/>
            <w:right w:w="55" w:type="dxa"/>
          </w:tblCellMar>
        </w:tblPrEx>
        <w:trPr>
          <w:trHeight w:val="138" w:hRule="atLeast"/>
        </w:trPr>
        <w:tc>
          <w:tcPr>
            <w:tcW w:w="8777" w:type="dxa"/>
            <w:gridSpan w:val="5"/>
            <w:vAlign w:val="center"/>
          </w:tcPr>
          <w:p>
            <w:pPr>
              <w:pStyle w:val="22"/>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江苏省立新农场</w:t>
            </w:r>
          </w:p>
        </w:tc>
        <w:tc>
          <w:tcPr>
            <w:tcW w:w="2177" w:type="dxa"/>
            <w:vAlign w:val="center"/>
          </w:tcPr>
          <w:p>
            <w:pPr>
              <w:pStyle w:val="22"/>
              <w:widowControl w:val="0"/>
              <w:jc w:val="right"/>
              <w:rPr>
                <w:rFonts w:hint="eastAsia" w:ascii="仿宋" w:hAnsi="仿宋" w:eastAsia="仿宋" w:cs="仿宋"/>
                <w:sz w:val="20"/>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180" w:hRule="atLeast"/>
        </w:trPr>
        <w:tc>
          <w:tcPr>
            <w:tcW w:w="3891"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7063" w:type="dxa"/>
            <w:gridSpan w:val="4"/>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一般公共预算财政拨款基本支出</w:t>
            </w:r>
          </w:p>
        </w:tc>
      </w:tr>
      <w:tr>
        <w:tblPrEx>
          <w:tblLayout w:type="fixed"/>
          <w:tblCellMar>
            <w:top w:w="55" w:type="dxa"/>
            <w:left w:w="55" w:type="dxa"/>
            <w:bottom w:w="55" w:type="dxa"/>
            <w:right w:w="55" w:type="dxa"/>
          </w:tblCellMar>
        </w:tblPrEx>
        <w:trPr>
          <w:trHeight w:val="474" w:hRule="atLeast"/>
        </w:trPr>
        <w:tc>
          <w:tcPr>
            <w:tcW w:w="1114"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经济分类科目编码</w:t>
            </w:r>
          </w:p>
        </w:tc>
        <w:tc>
          <w:tcPr>
            <w:tcW w:w="277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2640"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224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人员经费</w:t>
            </w:r>
          </w:p>
        </w:tc>
        <w:tc>
          <w:tcPr>
            <w:tcW w:w="2177"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公用经费</w:t>
            </w:r>
          </w:p>
        </w:tc>
      </w:tr>
      <w:tr>
        <w:tblPrEx>
          <w:tblLayout w:type="fixed"/>
          <w:tblCellMar>
            <w:top w:w="55" w:type="dxa"/>
            <w:left w:w="55" w:type="dxa"/>
            <w:bottom w:w="55" w:type="dxa"/>
            <w:right w:w="55" w:type="dxa"/>
          </w:tblCellMar>
        </w:tblPrEx>
        <w:trPr>
          <w:trHeight w:val="394" w:hRule="exact"/>
        </w:trPr>
        <w:tc>
          <w:tcPr>
            <w:tcW w:w="3891"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2640" w:type="dxa"/>
            <w:gridSpan w:val="2"/>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1,579.53</w:t>
            </w:r>
          </w:p>
        </w:tc>
        <w:tc>
          <w:tcPr>
            <w:tcW w:w="2246"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1,458.69</w:t>
            </w:r>
          </w:p>
        </w:tc>
        <w:tc>
          <w:tcPr>
            <w:tcW w:w="2177"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120.84</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工资福利支出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946.73</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946.73</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基本工资</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169.75</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169.75</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津贴补贴</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103.10</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103.10</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奖金</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30106</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伙食补助费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绩效工资</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402.68</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402.68</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30108</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机关事业单位基本养老保险缴费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59.98</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59.98</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职业年金缴费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29.99</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29.99</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30110</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职工基本医疗保险缴费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公务员医疗补助缴费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其他社会保障缴费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11.93</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11.93</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住房公积金</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48.47</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48.47</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30114</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医疗费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89.17</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89.17</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30199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其他工资福利支出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31.66</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31.66</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商品和服务支出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120.84</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120.84</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办公费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21.21</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21.21</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印刷费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咨询费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30204</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手续费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0.13</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0.13</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30205</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水费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3.61</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3.61</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30206</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电费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17.11</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17.11</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邮电费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6.06</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6.06</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30208</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取暖费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物业管理费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5.18</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5.18</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差旅费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2.07</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2.07</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因公出国（境）费用</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维修（护）费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30214</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租赁费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30215</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会议费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30216</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培训费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公务接待费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30218</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专用材料费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30224</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被装购置费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30225</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专用燃料费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30226</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劳务费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委托业务费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5.79</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5.79</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30228</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工会经费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50.46</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50.46</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福利费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30231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公务用车运行维护费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30239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其他交通费用</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30240</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税金及附加费用</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0.81</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0.81</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30299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其他商品和服务支出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8.41</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8.41</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对个人和家庭的补助</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511.96</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511.96</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离休费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退休费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461.34</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461.34</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退职（役）费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30304</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抚恤金</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44.13</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44.13</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30305</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生活补助</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5.88</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5.88</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30306</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救济费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医疗费补助</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30308</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助学金</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奖励金</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0.02</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0.02</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30310</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个人农业生产补贴</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30311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代缴社会保险费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30399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其他对个人和家庭的补助</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0.60</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0.60</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债务利息及费用支出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国内债务付息</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国外债务付息</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国内债务发行费用</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30704</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国外债务发行费用</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资本性支出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房屋建筑物购建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办公设备购置</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专用设备购置</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31005</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基础设施建设</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31006</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大型修缮</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信息网络及软件购置更新</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31008</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物资储备</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土地补偿</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31010</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安置补助</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地上附着物和青苗补偿</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拆迁补偿</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公务用车购置</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其他交通工具购置</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31021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文物和陈列品购置</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31022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无形资产购置</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31099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其他资本性支出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对企业补助</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资本金注入</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政府投资基金股权投资</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31204</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费用补贴</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31205</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利息补贴</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31299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其他对企业补助</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399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39906</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赠与</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39907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国家赔偿费用支出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39908</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对民间非营利组织和群众性自治组织补贴</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39999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bl>
    <w:p>
      <w:pPr>
        <w:spacing w:before="25" w:after="0"/>
        <w:ind w:left="-220" w:leftChars="-100" w:firstLine="0" w:firstLineChars="0"/>
        <w:rPr>
          <w:rFonts w:hint="eastAsia" w:ascii="仿宋" w:hAnsi="仿宋" w:eastAsia="仿宋" w:cs="仿宋"/>
          <w:b/>
          <w:bCs/>
          <w:sz w:val="22"/>
          <w:szCs w:val="22"/>
        </w:rPr>
      </w:pPr>
      <w:r>
        <w:rPr>
          <w:rFonts w:hint="eastAsia" w:ascii="仿宋" w:hAnsi="仿宋" w:eastAsia="仿宋" w:cs="仿宋"/>
          <w:b/>
          <w:bCs/>
          <w:sz w:val="22"/>
          <w:szCs w:val="22"/>
        </w:rPr>
        <w:t>注：1. 本表反映部门本年度按经济分类一般公共预算财政拨款基本支出明细情况。</w:t>
      </w:r>
    </w:p>
    <w:p>
      <w:pPr>
        <w:numPr>
          <w:ilvl w:val="0"/>
          <w:numId w:val="4"/>
        </w:numPr>
        <w:spacing w:before="25" w:after="0"/>
        <w:ind w:left="200" w:leftChars="0" w:firstLine="0" w:firstLineChars="0"/>
        <w:rPr>
          <w:rFonts w:hint="eastAsia" w:ascii="仿宋" w:hAnsi="仿宋" w:eastAsia="仿宋" w:cs="仿宋"/>
          <w:b/>
          <w:bCs/>
          <w:sz w:val="22"/>
          <w:szCs w:val="22"/>
        </w:rPr>
      </w:pPr>
      <w:r>
        <w:rPr>
          <w:rFonts w:hint="eastAsia" w:ascii="仿宋" w:hAnsi="仿宋" w:eastAsia="仿宋" w:cs="仿宋"/>
          <w:b/>
          <w:bCs/>
          <w:sz w:val="22"/>
          <w:szCs w:val="22"/>
        </w:rPr>
        <w:t>本表金额转换为万元时，因四舍五入可能存在尾差。</w:t>
      </w:r>
    </w:p>
    <w:p>
      <w:pPr>
        <w:widowControl w:val="0"/>
        <w:numPr>
          <w:ilvl w:val="0"/>
          <w:numId w:val="0"/>
        </w:numPr>
        <w:suppressAutoHyphens/>
        <w:bidi w:val="0"/>
        <w:spacing w:before="25" w:after="0"/>
        <w:jc w:val="left"/>
        <w:rPr>
          <w:rFonts w:hint="eastAsia" w:ascii="仿宋" w:hAnsi="仿宋" w:eastAsia="仿宋" w:cs="仿宋"/>
          <w:b/>
          <w:bCs/>
          <w:sz w:val="22"/>
          <w:szCs w:val="22"/>
        </w:rPr>
        <w:sectPr>
          <w:footerReference r:id="rId14" w:type="default"/>
          <w:pgSz w:w="11906" w:h="16838"/>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5909" w:type="dxa"/>
        <w:tblInd w:w="-226" w:type="dxa"/>
        <w:tblLayout w:type="fixed"/>
        <w:tblCellMar>
          <w:top w:w="55" w:type="dxa"/>
          <w:left w:w="55" w:type="dxa"/>
          <w:bottom w:w="55" w:type="dxa"/>
          <w:right w:w="55" w:type="dxa"/>
        </w:tblCellMar>
      </w:tblPr>
      <w:tblGrid>
        <w:gridCol w:w="2471"/>
        <w:gridCol w:w="2332"/>
        <w:gridCol w:w="2037"/>
        <w:gridCol w:w="1697"/>
        <w:gridCol w:w="1680"/>
        <w:gridCol w:w="1852"/>
        <w:gridCol w:w="2057"/>
        <w:gridCol w:w="1783"/>
      </w:tblGrid>
      <w:tr>
        <w:tblPrEx>
          <w:tblLayout w:type="fixed"/>
          <w:tblCellMar>
            <w:top w:w="55" w:type="dxa"/>
            <w:left w:w="55" w:type="dxa"/>
            <w:bottom w:w="55" w:type="dxa"/>
            <w:right w:w="55" w:type="dxa"/>
          </w:tblCellMar>
        </w:tblPrEx>
        <w:trPr>
          <w:trHeight w:val="321" w:hRule="atLeast"/>
        </w:trPr>
        <w:tc>
          <w:tcPr>
            <w:tcW w:w="15909" w:type="dxa"/>
            <w:gridSpan w:val="8"/>
          </w:tcPr>
          <w:p>
            <w:pPr>
              <w:pStyle w:val="22"/>
              <w:widowControl w:val="0"/>
              <w:jc w:val="center"/>
              <w:rPr>
                <w:rFonts w:hint="eastAsia" w:ascii="仿宋" w:hAnsi="仿宋" w:eastAsia="仿宋" w:cs="仿宋"/>
                <w:b/>
                <w:bCs/>
                <w:sz w:val="44"/>
                <w:szCs w:val="44"/>
              </w:rPr>
            </w:pPr>
            <w:r>
              <w:rPr>
                <w:rFonts w:hint="eastAsia" w:ascii="仿宋" w:hAnsi="仿宋" w:eastAsia="仿宋" w:cs="仿宋"/>
                <w:b/>
                <w:bCs/>
                <w:sz w:val="44"/>
                <w:szCs w:val="44"/>
              </w:rPr>
              <w:t>一般公共预算“三公”经费、会议费、培训费支出决算表</w:t>
            </w:r>
          </w:p>
        </w:tc>
      </w:tr>
      <w:tr>
        <w:tblPrEx>
          <w:tblLayout w:type="fixed"/>
          <w:tblCellMar>
            <w:top w:w="55" w:type="dxa"/>
            <w:left w:w="55" w:type="dxa"/>
            <w:bottom w:w="55" w:type="dxa"/>
            <w:right w:w="55" w:type="dxa"/>
          </w:tblCellMar>
        </w:tblPrEx>
        <w:trPr>
          <w:trHeight w:val="207" w:hRule="atLeast"/>
        </w:trPr>
        <w:tc>
          <w:tcPr>
            <w:tcW w:w="12069" w:type="dxa"/>
            <w:gridSpan w:val="6"/>
          </w:tcPr>
          <w:p>
            <w:pPr>
              <w:pStyle w:val="22"/>
              <w:widowControl w:val="0"/>
              <w:rPr>
                <w:rFonts w:hint="eastAsia" w:ascii="仿宋" w:hAnsi="仿宋" w:eastAsia="仿宋" w:cs="仿宋"/>
                <w:sz w:val="20"/>
              </w:rPr>
            </w:pPr>
          </w:p>
        </w:tc>
        <w:tc>
          <w:tcPr>
            <w:tcW w:w="3840" w:type="dxa"/>
            <w:gridSpan w:val="2"/>
            <w:vAlign w:val="center"/>
          </w:tcPr>
          <w:p>
            <w:pPr>
              <w:pStyle w:val="22"/>
              <w:widowControl w:val="0"/>
              <w:jc w:val="right"/>
              <w:rPr>
                <w:rFonts w:hint="eastAsia" w:ascii="仿宋" w:hAnsi="仿宋" w:eastAsia="仿宋" w:cs="仿宋"/>
                <w:sz w:val="20"/>
              </w:rPr>
            </w:pPr>
            <w:r>
              <w:rPr>
                <w:rFonts w:hint="eastAsia" w:ascii="仿宋" w:hAnsi="仿宋" w:eastAsia="仿宋" w:cs="仿宋"/>
              </w:rPr>
              <w:t>公开09表</w:t>
            </w:r>
          </w:p>
        </w:tc>
      </w:tr>
      <w:tr>
        <w:tblPrEx>
          <w:tblLayout w:type="fixed"/>
          <w:tblCellMar>
            <w:top w:w="55" w:type="dxa"/>
            <w:left w:w="55" w:type="dxa"/>
            <w:bottom w:w="55" w:type="dxa"/>
            <w:right w:w="55" w:type="dxa"/>
          </w:tblCellMar>
        </w:tblPrEx>
        <w:trPr>
          <w:trHeight w:val="103" w:hRule="atLeast"/>
        </w:trPr>
        <w:tc>
          <w:tcPr>
            <w:tcW w:w="12069" w:type="dxa"/>
            <w:gridSpan w:val="6"/>
          </w:tcPr>
          <w:p>
            <w:pPr>
              <w:pStyle w:val="22"/>
              <w:widowControl w:val="0"/>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江苏省立新农场</w:t>
            </w:r>
          </w:p>
        </w:tc>
        <w:tc>
          <w:tcPr>
            <w:tcW w:w="3840" w:type="dxa"/>
            <w:gridSpan w:val="2"/>
            <w:vAlign w:val="center"/>
          </w:tcPr>
          <w:p>
            <w:pPr>
              <w:pStyle w:val="22"/>
              <w:widowControl w:val="0"/>
              <w:jc w:val="right"/>
              <w:rPr>
                <w:rFonts w:hint="eastAsia" w:ascii="仿宋" w:hAnsi="仿宋" w:eastAsia="仿宋" w:cs="仿宋"/>
                <w:sz w:val="20"/>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179" w:hRule="atLeast"/>
        </w:trPr>
        <w:tc>
          <w:tcPr>
            <w:tcW w:w="12069" w:type="dxa"/>
            <w:gridSpan w:val="6"/>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“三公”经费</w:t>
            </w:r>
          </w:p>
        </w:tc>
        <w:tc>
          <w:tcPr>
            <w:tcW w:w="2057"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会议费</w:t>
            </w:r>
          </w:p>
        </w:tc>
        <w:tc>
          <w:tcPr>
            <w:tcW w:w="1783" w:type="dxa"/>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培训费</w:t>
            </w:r>
          </w:p>
        </w:tc>
      </w:tr>
      <w:tr>
        <w:tblPrEx>
          <w:tblLayout w:type="fixed"/>
          <w:tblCellMar>
            <w:top w:w="55" w:type="dxa"/>
            <w:left w:w="55" w:type="dxa"/>
            <w:bottom w:w="55" w:type="dxa"/>
            <w:right w:w="55" w:type="dxa"/>
          </w:tblCellMar>
        </w:tblPrEx>
        <w:trPr>
          <w:trHeight w:val="297" w:hRule="atLeast"/>
        </w:trPr>
        <w:tc>
          <w:tcPr>
            <w:tcW w:w="2471"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“三公”经费合计</w:t>
            </w:r>
          </w:p>
        </w:tc>
        <w:tc>
          <w:tcPr>
            <w:tcW w:w="2332"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因公出国（境）费</w:t>
            </w:r>
          </w:p>
        </w:tc>
        <w:tc>
          <w:tcPr>
            <w:tcW w:w="5414" w:type="dxa"/>
            <w:gridSpan w:val="3"/>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公务用车购置及运行维护费</w:t>
            </w:r>
          </w:p>
        </w:tc>
        <w:tc>
          <w:tcPr>
            <w:tcW w:w="1852"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公务接待费</w:t>
            </w:r>
          </w:p>
        </w:tc>
        <w:tc>
          <w:tcPr>
            <w:tcW w:w="2057" w:type="dxa"/>
            <w:vMerge w:val="continue"/>
            <w:tcBorders>
              <w:left w:val="single" w:color="000000" w:sz="4" w:space="0"/>
              <w:bottom w:val="single" w:color="000000" w:sz="4" w:space="0"/>
            </w:tcBorders>
            <w:vAlign w:val="center"/>
          </w:tcPr>
          <w:p>
            <w:pPr>
              <w:widowControl w:val="0"/>
              <w:jc w:val="center"/>
              <w:rPr>
                <w:rFonts w:hint="eastAsia" w:ascii="仿宋" w:hAnsi="仿宋" w:eastAsia="仿宋" w:cs="仿宋"/>
                <w:sz w:val="20"/>
              </w:rPr>
            </w:pPr>
          </w:p>
        </w:tc>
        <w:tc>
          <w:tcPr>
            <w:tcW w:w="1783" w:type="dxa"/>
            <w:vMerge w:val="continue"/>
            <w:tcBorders>
              <w:left w:val="single" w:color="000000" w:sz="4" w:space="0"/>
              <w:bottom w:val="single" w:color="000000" w:sz="4" w:space="0"/>
              <w:right w:val="single" w:color="000000" w:sz="4" w:space="0"/>
            </w:tcBorders>
            <w:vAlign w:val="center"/>
          </w:tcPr>
          <w:p>
            <w:pPr>
              <w:widowControl w:val="0"/>
              <w:jc w:val="center"/>
              <w:rPr>
                <w:rFonts w:hint="eastAsia" w:ascii="仿宋" w:hAnsi="仿宋" w:eastAsia="仿宋" w:cs="仿宋"/>
                <w:sz w:val="20"/>
              </w:rPr>
            </w:pPr>
          </w:p>
        </w:tc>
      </w:tr>
      <w:tr>
        <w:tblPrEx>
          <w:tblLayout w:type="fixed"/>
          <w:tblCellMar>
            <w:top w:w="55" w:type="dxa"/>
            <w:left w:w="55" w:type="dxa"/>
            <w:bottom w:w="55" w:type="dxa"/>
            <w:right w:w="55" w:type="dxa"/>
          </w:tblCellMar>
        </w:tblPrEx>
        <w:trPr>
          <w:trHeight w:val="645" w:hRule="exact"/>
        </w:trPr>
        <w:tc>
          <w:tcPr>
            <w:tcW w:w="2471" w:type="dxa"/>
            <w:vMerge w:val="continue"/>
            <w:tcBorders>
              <w:left w:val="single" w:color="000000" w:sz="4" w:space="0"/>
              <w:bottom w:val="single" w:color="000000" w:sz="4" w:space="0"/>
            </w:tcBorders>
          </w:tcPr>
          <w:p>
            <w:pPr>
              <w:widowControl w:val="0"/>
              <w:jc w:val="left"/>
              <w:rPr>
                <w:rFonts w:hint="eastAsia" w:ascii="仿宋" w:hAnsi="仿宋" w:eastAsia="仿宋" w:cs="仿宋"/>
                <w:sz w:val="2"/>
                <w:szCs w:val="2"/>
              </w:rPr>
            </w:pPr>
          </w:p>
        </w:tc>
        <w:tc>
          <w:tcPr>
            <w:tcW w:w="2332" w:type="dxa"/>
            <w:vMerge w:val="continue"/>
            <w:tcBorders>
              <w:left w:val="single" w:color="000000" w:sz="4" w:space="0"/>
              <w:bottom w:val="single" w:color="000000" w:sz="4" w:space="0"/>
            </w:tcBorders>
          </w:tcPr>
          <w:p>
            <w:pPr>
              <w:widowControl w:val="0"/>
              <w:jc w:val="left"/>
              <w:rPr>
                <w:rFonts w:hint="eastAsia" w:ascii="仿宋" w:hAnsi="仿宋" w:eastAsia="仿宋" w:cs="仿宋"/>
                <w:sz w:val="2"/>
                <w:szCs w:val="2"/>
              </w:rPr>
            </w:pPr>
          </w:p>
        </w:tc>
        <w:tc>
          <w:tcPr>
            <w:tcW w:w="203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ascii="仿宋" w:hAnsi="仿宋" w:eastAsia="仿宋" w:cs="仿宋"/>
              </w:rPr>
              <w:t>小计</w:t>
            </w:r>
          </w:p>
        </w:tc>
        <w:tc>
          <w:tcPr>
            <w:tcW w:w="169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公务用车购置费</w:t>
            </w:r>
          </w:p>
        </w:tc>
        <w:tc>
          <w:tcPr>
            <w:tcW w:w="168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公务用车运行</w:t>
            </w:r>
          </w:p>
          <w:p>
            <w:pPr>
              <w:pStyle w:val="22"/>
              <w:widowControl w:val="0"/>
              <w:jc w:val="center"/>
              <w:rPr>
                <w:rFonts w:hint="eastAsia" w:ascii="仿宋" w:hAnsi="仿宋" w:eastAsia="仿宋" w:cs="仿宋"/>
              </w:rPr>
            </w:pPr>
            <w:r>
              <w:rPr>
                <w:rFonts w:hint="eastAsia" w:ascii="仿宋" w:hAnsi="仿宋" w:eastAsia="仿宋" w:cs="仿宋"/>
              </w:rPr>
              <w:t>维护费</w:t>
            </w:r>
          </w:p>
        </w:tc>
        <w:tc>
          <w:tcPr>
            <w:tcW w:w="1852" w:type="dxa"/>
            <w:vMerge w:val="continue"/>
            <w:tcBorders>
              <w:left w:val="single" w:color="000000" w:sz="4" w:space="0"/>
              <w:bottom w:val="single" w:color="000000" w:sz="4" w:space="0"/>
            </w:tcBorders>
          </w:tcPr>
          <w:p>
            <w:pPr>
              <w:widowControl w:val="0"/>
              <w:jc w:val="left"/>
              <w:rPr>
                <w:rFonts w:hint="eastAsia" w:ascii="仿宋" w:hAnsi="仿宋" w:eastAsia="仿宋" w:cs="仿宋"/>
                <w:sz w:val="2"/>
                <w:szCs w:val="2"/>
              </w:rPr>
            </w:pPr>
          </w:p>
        </w:tc>
        <w:tc>
          <w:tcPr>
            <w:tcW w:w="2057" w:type="dxa"/>
            <w:vMerge w:val="continue"/>
            <w:tcBorders>
              <w:left w:val="single" w:color="000000" w:sz="4" w:space="0"/>
              <w:bottom w:val="single" w:color="000000" w:sz="4" w:space="0"/>
            </w:tcBorders>
          </w:tcPr>
          <w:p>
            <w:pPr>
              <w:widowControl w:val="0"/>
              <w:jc w:val="left"/>
              <w:rPr>
                <w:rFonts w:hint="eastAsia" w:ascii="仿宋" w:hAnsi="仿宋" w:eastAsia="仿宋" w:cs="仿宋"/>
                <w:sz w:val="2"/>
                <w:szCs w:val="2"/>
              </w:rPr>
            </w:pPr>
          </w:p>
        </w:tc>
        <w:tc>
          <w:tcPr>
            <w:tcW w:w="1783" w:type="dxa"/>
            <w:vMerge w:val="continue"/>
            <w:tcBorders>
              <w:left w:val="single" w:color="000000" w:sz="4" w:space="0"/>
              <w:bottom w:val="single" w:color="000000" w:sz="4" w:space="0"/>
              <w:right w:val="single" w:color="000000" w:sz="4" w:space="0"/>
            </w:tcBorders>
          </w:tcPr>
          <w:p>
            <w:pPr>
              <w:widowControl w:val="0"/>
              <w:jc w:val="left"/>
              <w:rPr>
                <w:rFonts w:hint="eastAsia" w:ascii="仿宋" w:hAnsi="仿宋" w:eastAsia="仿宋" w:cs="仿宋"/>
                <w:sz w:val="2"/>
                <w:szCs w:val="2"/>
              </w:rPr>
            </w:pPr>
          </w:p>
        </w:tc>
      </w:tr>
      <w:tr>
        <w:tblPrEx>
          <w:tblLayout w:type="fixed"/>
          <w:tblCellMar>
            <w:top w:w="55" w:type="dxa"/>
            <w:left w:w="55" w:type="dxa"/>
            <w:bottom w:w="55" w:type="dxa"/>
            <w:right w:w="55" w:type="dxa"/>
          </w:tblCellMar>
        </w:tblPrEx>
        <w:trPr>
          <w:cantSplit/>
          <w:trHeight w:val="165" w:hRule="atLeast"/>
        </w:trPr>
        <w:tc>
          <w:tcPr>
            <w:tcW w:w="2471"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c>
          <w:tcPr>
            <w:tcW w:w="2332"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c>
          <w:tcPr>
            <w:tcW w:w="203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c>
          <w:tcPr>
            <w:tcW w:w="169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c>
          <w:tcPr>
            <w:tcW w:w="168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c>
          <w:tcPr>
            <w:tcW w:w="1852"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c>
          <w:tcPr>
            <w:tcW w:w="205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c>
          <w:tcPr>
            <w:tcW w:w="1783"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r>
    </w:tbl>
    <w:p>
      <w:pPr>
        <w:spacing w:before="30" w:after="33"/>
        <w:ind w:left="376" w:firstLine="0"/>
        <w:rPr>
          <w:rFonts w:hint="eastAsia" w:ascii="仿宋" w:hAnsi="仿宋" w:eastAsia="仿宋" w:cs="仿宋"/>
          <w:sz w:val="22"/>
          <w:szCs w:val="22"/>
        </w:rPr>
      </w:pPr>
      <w:r>
        <w:rPr>
          <w:rFonts w:hint="eastAsia" w:ascii="仿宋" w:hAnsi="仿宋" w:eastAsia="仿宋" w:cs="仿宋"/>
          <w:sz w:val="22"/>
          <w:szCs w:val="22"/>
        </w:rPr>
        <w:t>相关统计数：</w:t>
      </w:r>
    </w:p>
    <w:tbl>
      <w:tblPr>
        <w:tblStyle w:val="13"/>
        <w:tblW w:w="12069" w:type="dxa"/>
        <w:tblInd w:w="-209" w:type="dxa"/>
        <w:tblLayout w:type="fixed"/>
        <w:tblCellMar>
          <w:top w:w="55" w:type="dxa"/>
          <w:left w:w="55" w:type="dxa"/>
          <w:bottom w:w="55" w:type="dxa"/>
          <w:right w:w="55" w:type="dxa"/>
        </w:tblCellMar>
      </w:tblPr>
      <w:tblGrid>
        <w:gridCol w:w="4299"/>
        <w:gridCol w:w="1976"/>
        <w:gridCol w:w="3908"/>
        <w:gridCol w:w="1886"/>
      </w:tblGrid>
      <w:tr>
        <w:tblPrEx>
          <w:tblLayout w:type="fixed"/>
          <w:tblCellMar>
            <w:top w:w="55" w:type="dxa"/>
            <w:left w:w="55" w:type="dxa"/>
            <w:bottom w:w="55" w:type="dxa"/>
            <w:right w:w="55" w:type="dxa"/>
          </w:tblCellMar>
        </w:tblPrEx>
        <w:trPr>
          <w:cantSplit/>
          <w:trHeight w:val="214" w:hRule="atLeast"/>
        </w:trPr>
        <w:tc>
          <w:tcPr>
            <w:tcW w:w="4299" w:type="dxa"/>
            <w:tcBorders>
              <w:top w:val="single" w:color="auto" w:sz="4" w:space="0"/>
              <w:left w:val="single" w:color="auto" w:sz="4" w:space="0"/>
              <w:bottom w:val="single" w:color="auto" w:sz="4" w:space="0"/>
            </w:tcBorders>
            <w:vAlign w:val="center"/>
          </w:tcPr>
          <w:p>
            <w:pPr>
              <w:pStyle w:val="22"/>
              <w:widowControl w:val="0"/>
              <w:jc w:val="center"/>
              <w:rPr>
                <w:rFonts w:hint="eastAsia" w:ascii="仿宋" w:hAnsi="仿宋" w:eastAsia="仿宋" w:cs="仿宋"/>
              </w:rPr>
            </w:pPr>
            <w:r>
              <w:rPr>
                <w:rFonts w:ascii="仿宋" w:hAnsi="仿宋" w:eastAsia="仿宋" w:cs="仿宋"/>
                <w:sz w:val="22"/>
              </w:rPr>
              <w:t>项目</w:t>
            </w:r>
          </w:p>
        </w:tc>
        <w:tc>
          <w:tcPr>
            <w:tcW w:w="1976"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sz w:val="22"/>
                <w:szCs w:val="22"/>
              </w:rPr>
              <w:t>统计数</w:t>
            </w:r>
          </w:p>
        </w:tc>
        <w:tc>
          <w:tcPr>
            <w:tcW w:w="3908"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sz w:val="22"/>
                <w:szCs w:val="22"/>
              </w:rPr>
              <w:t>项目</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sz w:val="22"/>
                <w:szCs w:val="22"/>
              </w:rPr>
              <w:t>统计数</w:t>
            </w:r>
          </w:p>
        </w:tc>
      </w:tr>
      <w:tr>
        <w:tblPrEx>
          <w:tblLayout w:type="fixed"/>
          <w:tblCellMar>
            <w:top w:w="55" w:type="dxa"/>
            <w:left w:w="55" w:type="dxa"/>
            <w:bottom w:w="55" w:type="dxa"/>
            <w:right w:w="55" w:type="dxa"/>
          </w:tblCellMar>
        </w:tblPrEx>
        <w:trPr>
          <w:cantSplit/>
          <w:trHeight w:val="190" w:hRule="atLeast"/>
        </w:trPr>
        <w:tc>
          <w:tcPr>
            <w:tcW w:w="4299" w:type="dxa"/>
            <w:tcBorders>
              <w:top w:val="single" w:color="auto" w:sz="4" w:space="0"/>
              <w:left w:val="single" w:color="auto"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因公出国（境）团组数(个)</w:t>
            </w:r>
          </w:p>
        </w:tc>
        <w:tc>
          <w:tcPr>
            <w:tcW w:w="1976" w:type="dxa"/>
            <w:tcBorders>
              <w:top w:val="single" w:color="auto" w:sz="4" w:space="0"/>
              <w:left w:val="single" w:color="000000" w:sz="4" w:space="0"/>
              <w:bottom w:val="single" w:color="auto" w:sz="4" w:space="0"/>
            </w:tcBorders>
            <w:vAlign w:val="center"/>
          </w:tcPr>
          <w:p>
            <w:pPr>
              <w:pStyle w:val="22"/>
              <w:widowControl w:val="0"/>
              <w:jc w:val="right"/>
              <w:rPr>
                <w:rFonts w:hint="eastAsia" w:ascii="仿宋" w:hAnsi="仿宋" w:eastAsia="仿宋" w:cs="仿宋"/>
              </w:rPr>
            </w:pPr>
          </w:p>
        </w:tc>
        <w:tc>
          <w:tcPr>
            <w:tcW w:w="3908" w:type="dxa"/>
            <w:tcBorders>
              <w:top w:val="single" w:color="auto" w:sz="4" w:space="0"/>
              <w:left w:val="single" w:color="000000"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因公出国（境）人次数(人)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4299" w:type="dxa"/>
            <w:tcBorders>
              <w:top w:val="single" w:color="auto" w:sz="4" w:space="0"/>
              <w:left w:val="single" w:color="auto"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公务用车购置数(辆)</w:t>
            </w:r>
          </w:p>
        </w:tc>
        <w:tc>
          <w:tcPr>
            <w:tcW w:w="1976" w:type="dxa"/>
            <w:tcBorders>
              <w:top w:val="single" w:color="auto" w:sz="4" w:space="0"/>
              <w:left w:val="single" w:color="000000" w:sz="4" w:space="0"/>
              <w:bottom w:val="single" w:color="auto" w:sz="4" w:space="0"/>
            </w:tcBorders>
            <w:vAlign w:val="center"/>
          </w:tcPr>
          <w:p>
            <w:pPr>
              <w:pStyle w:val="22"/>
              <w:widowControl w:val="0"/>
              <w:jc w:val="right"/>
              <w:rPr>
                <w:rFonts w:hint="eastAsia" w:ascii="仿宋" w:hAnsi="仿宋" w:eastAsia="仿宋" w:cs="仿宋"/>
              </w:rPr>
            </w:pPr>
          </w:p>
        </w:tc>
        <w:tc>
          <w:tcPr>
            <w:tcW w:w="3908" w:type="dxa"/>
            <w:tcBorders>
              <w:top w:val="single" w:color="auto" w:sz="4" w:space="0"/>
              <w:left w:val="single" w:color="000000"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公务用车保有量(辆)</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4299" w:type="dxa"/>
            <w:tcBorders>
              <w:top w:val="single" w:color="auto" w:sz="4" w:space="0"/>
              <w:left w:val="single" w:color="auto"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国内公务接待批次(个)</w:t>
            </w:r>
          </w:p>
        </w:tc>
        <w:tc>
          <w:tcPr>
            <w:tcW w:w="1976" w:type="dxa"/>
            <w:tcBorders>
              <w:top w:val="single" w:color="auto" w:sz="4" w:space="0"/>
              <w:left w:val="single" w:color="000000" w:sz="4" w:space="0"/>
              <w:bottom w:val="single" w:color="auto" w:sz="4" w:space="0"/>
            </w:tcBorders>
            <w:vAlign w:val="center"/>
          </w:tcPr>
          <w:p>
            <w:pPr>
              <w:pStyle w:val="22"/>
              <w:widowControl w:val="0"/>
              <w:jc w:val="right"/>
              <w:rPr>
                <w:rFonts w:hint="eastAsia" w:ascii="仿宋" w:hAnsi="仿宋" w:eastAsia="仿宋" w:cs="仿宋"/>
              </w:rPr>
            </w:pPr>
          </w:p>
        </w:tc>
        <w:tc>
          <w:tcPr>
            <w:tcW w:w="3908" w:type="dxa"/>
            <w:tcBorders>
              <w:top w:val="single" w:color="auto" w:sz="4" w:space="0"/>
              <w:left w:val="single" w:color="000000"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国内公务接待人次(人)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4299" w:type="dxa"/>
            <w:tcBorders>
              <w:top w:val="single" w:color="auto" w:sz="4" w:space="0"/>
              <w:left w:val="single" w:color="auto"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国（境）外公务接待批次(个)</w:t>
            </w:r>
          </w:p>
        </w:tc>
        <w:tc>
          <w:tcPr>
            <w:tcW w:w="1976" w:type="dxa"/>
            <w:tcBorders>
              <w:top w:val="single" w:color="auto" w:sz="4" w:space="0"/>
              <w:left w:val="single" w:color="000000" w:sz="4" w:space="0"/>
              <w:bottom w:val="single" w:color="auto" w:sz="4" w:space="0"/>
            </w:tcBorders>
            <w:vAlign w:val="center"/>
          </w:tcPr>
          <w:p>
            <w:pPr>
              <w:pStyle w:val="22"/>
              <w:widowControl w:val="0"/>
              <w:jc w:val="right"/>
              <w:rPr>
                <w:rFonts w:hint="eastAsia" w:ascii="仿宋" w:hAnsi="仿宋" w:eastAsia="仿宋" w:cs="仿宋"/>
              </w:rPr>
            </w:pPr>
          </w:p>
        </w:tc>
        <w:tc>
          <w:tcPr>
            <w:tcW w:w="3908" w:type="dxa"/>
            <w:tcBorders>
              <w:top w:val="single" w:color="auto" w:sz="4" w:space="0"/>
              <w:left w:val="single" w:color="000000"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国（境）外公务接待人次(人)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4299" w:type="dxa"/>
            <w:tcBorders>
              <w:top w:val="single" w:color="auto" w:sz="4" w:space="0"/>
              <w:left w:val="single" w:color="auto"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召开会议次数(个)</w:t>
            </w:r>
          </w:p>
        </w:tc>
        <w:tc>
          <w:tcPr>
            <w:tcW w:w="1976" w:type="dxa"/>
            <w:tcBorders>
              <w:top w:val="single" w:color="auto" w:sz="4" w:space="0"/>
              <w:left w:val="single" w:color="000000" w:sz="4" w:space="0"/>
              <w:bottom w:val="single" w:color="auto" w:sz="4" w:space="0"/>
            </w:tcBorders>
            <w:vAlign w:val="center"/>
          </w:tcPr>
          <w:p>
            <w:pPr>
              <w:pStyle w:val="22"/>
              <w:widowControl w:val="0"/>
              <w:jc w:val="right"/>
              <w:rPr>
                <w:rFonts w:hint="eastAsia" w:ascii="仿宋" w:hAnsi="仿宋" w:eastAsia="仿宋" w:cs="仿宋"/>
              </w:rPr>
            </w:pPr>
          </w:p>
        </w:tc>
        <w:tc>
          <w:tcPr>
            <w:tcW w:w="3908" w:type="dxa"/>
            <w:tcBorders>
              <w:top w:val="single" w:color="auto" w:sz="4" w:space="0"/>
              <w:left w:val="single" w:color="000000"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参加会议人次(人)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4299" w:type="dxa"/>
            <w:tcBorders>
              <w:top w:val="single" w:color="auto" w:sz="4" w:space="0"/>
              <w:left w:val="single" w:color="auto"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组织培训次数(个)</w:t>
            </w:r>
          </w:p>
        </w:tc>
        <w:tc>
          <w:tcPr>
            <w:tcW w:w="1976" w:type="dxa"/>
            <w:tcBorders>
              <w:top w:val="single" w:color="auto" w:sz="4" w:space="0"/>
              <w:left w:val="single" w:color="000000" w:sz="4" w:space="0"/>
              <w:bottom w:val="single" w:color="auto" w:sz="4" w:space="0"/>
            </w:tcBorders>
            <w:vAlign w:val="center"/>
          </w:tcPr>
          <w:p>
            <w:pPr>
              <w:pStyle w:val="22"/>
              <w:widowControl w:val="0"/>
              <w:jc w:val="right"/>
              <w:rPr>
                <w:rFonts w:hint="eastAsia" w:ascii="仿宋" w:hAnsi="仿宋" w:eastAsia="仿宋" w:cs="仿宋"/>
              </w:rPr>
            </w:pPr>
          </w:p>
        </w:tc>
        <w:tc>
          <w:tcPr>
            <w:tcW w:w="3908" w:type="dxa"/>
            <w:tcBorders>
              <w:top w:val="single" w:color="auto" w:sz="4" w:space="0"/>
              <w:left w:val="single" w:color="000000"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参加培训人次(人)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p>
        </w:tc>
      </w:tr>
    </w:tbl>
    <w:p>
      <w:pPr>
        <w:widowControl w:val="0"/>
        <w:suppressAutoHyphens/>
        <w:bidi w:val="0"/>
        <w:spacing w:before="0" w:after="0"/>
        <w:ind w:left="-220" w:leftChars="0" w:right="0" w:firstLine="0" w:firstLineChars="0"/>
        <w:jc w:val="left"/>
        <w:rPr>
          <w:rFonts w:hint="eastAsia" w:ascii="仿宋" w:hAnsi="仿宋" w:eastAsia="仿宋" w:cs="仿宋"/>
          <w:b/>
          <w:bCs/>
          <w:sz w:val="22"/>
          <w:szCs w:val="22"/>
        </w:rPr>
      </w:pPr>
      <w:r>
        <w:rPr>
          <w:rFonts w:hint="eastAsia" w:ascii="仿宋" w:hAnsi="仿宋" w:eastAsia="仿宋" w:cs="仿宋"/>
          <w:b/>
          <w:bCs/>
          <w:sz w:val="22"/>
          <w:szCs w:val="22"/>
        </w:rPr>
        <w:t>注：</w:t>
      </w:r>
      <w:r>
        <w:rPr>
          <w:rFonts w:hint="eastAsia" w:ascii="仿宋" w:hAnsi="仿宋" w:eastAsia="仿宋" w:cs="仿宋"/>
          <w:b/>
          <w:bCs/>
          <w:sz w:val="22"/>
          <w:szCs w:val="22"/>
          <w:lang w:val="en-US" w:eastAsia="zh-CN"/>
        </w:rPr>
        <w:t>1.</w:t>
      </w:r>
      <w:r>
        <w:rPr>
          <w:rFonts w:hint="eastAsia" w:ascii="仿宋" w:hAnsi="仿宋" w:eastAsia="仿宋" w:cs="仿宋"/>
          <w:b/>
          <w:bCs/>
          <w:sz w:val="22"/>
          <w:szCs w:val="22"/>
        </w:rPr>
        <w:t>“三公”经费、会议费、培训费详细支出情况见支出情况说明。</w:t>
      </w:r>
    </w:p>
    <w:p>
      <w:pPr>
        <w:widowControl w:val="0"/>
        <w:numPr>
          <w:ilvl w:val="0"/>
          <w:numId w:val="5"/>
        </w:numPr>
        <w:suppressAutoHyphens/>
        <w:bidi w:val="0"/>
        <w:spacing w:before="0" w:after="0"/>
        <w:ind w:left="200" w:leftChars="0" w:right="0" w:firstLine="0" w:firstLineChars="0"/>
        <w:jc w:val="left"/>
        <w:rPr>
          <w:rFonts w:hint="eastAsia" w:ascii="仿宋" w:hAnsi="仿宋" w:eastAsia="仿宋" w:cs="仿宋"/>
          <w:b/>
          <w:bCs/>
          <w:sz w:val="22"/>
          <w:szCs w:val="22"/>
        </w:rPr>
      </w:pPr>
      <w:r>
        <w:rPr>
          <w:rFonts w:hint="eastAsia" w:ascii="仿宋" w:hAnsi="仿宋" w:eastAsia="仿宋" w:cs="仿宋"/>
          <w:b/>
          <w:bCs/>
          <w:sz w:val="22"/>
          <w:szCs w:val="22"/>
        </w:rPr>
        <w:t>本表金额转换为万元时，因四舍五入可能存在尾差。</w:t>
      </w:r>
    </w:p>
    <w:p>
      <w:pPr>
        <w:widowControl w:val="0"/>
        <w:numPr>
          <w:ilvl w:val="0"/>
          <w:numId w:val="5"/>
        </w:numPr>
        <w:suppressAutoHyphens/>
        <w:bidi w:val="0"/>
        <w:spacing w:before="0" w:after="0"/>
        <w:ind w:left="200" w:leftChars="0" w:right="0" w:firstLine="0" w:firstLineChars="0"/>
        <w:jc w:val="left"/>
        <w:rPr>
          <w:rFonts w:hint="eastAsia" w:ascii="仿宋" w:hAnsi="仿宋" w:eastAsia="仿宋" w:cs="仿宋"/>
          <w:b/>
          <w:bCs/>
          <w:sz w:val="22"/>
          <w:szCs w:val="22"/>
        </w:rPr>
      </w:pPr>
      <w:r>
        <w:rPr>
          <w:rFonts w:hint="eastAsia" w:ascii="仿宋" w:hAnsi="仿宋" w:eastAsia="仿宋" w:cs="仿宋"/>
          <w:b/>
          <w:bCs/>
          <w:sz w:val="22"/>
          <w:szCs w:val="22"/>
          <w:lang w:eastAsia="zh-CN"/>
        </w:rPr>
        <w:t>本</w:t>
      </w:r>
      <w:r>
        <w:rPr>
          <w:rFonts w:ascii="仿宋" w:hAnsi="仿宋" w:eastAsia="仿宋" w:cs="仿宋"/>
          <w:b/>
          <w:sz w:val="22"/>
        </w:rPr>
        <w:t>单位</w:t>
      </w:r>
      <w:r>
        <w:rPr>
          <w:rFonts w:hint="eastAsia" w:ascii="仿宋" w:hAnsi="仿宋" w:eastAsia="仿宋" w:cs="仿宋"/>
          <w:b/>
          <w:bCs/>
          <w:sz w:val="22"/>
          <w:szCs w:val="22"/>
        </w:rPr>
        <w:t>无一般公共预算“三公”经费、会议费、培训费支出决算，故本表为空。</w:t>
      </w:r>
    </w:p>
    <w:p>
      <w:pPr>
        <w:widowControl w:val="0"/>
        <w:suppressAutoHyphens/>
        <w:bidi w:val="0"/>
        <w:spacing w:before="0" w:after="0"/>
        <w:ind w:left="227" w:right="0" w:firstLine="221" w:firstLineChars="100"/>
        <w:jc w:val="left"/>
        <w:rPr>
          <w:rFonts w:hint="eastAsia" w:ascii="仿宋" w:hAnsi="仿宋" w:eastAsia="仿宋" w:cs="仿宋"/>
          <w:b/>
          <w:bCs/>
          <w:sz w:val="22"/>
          <w:szCs w:val="22"/>
        </w:rPr>
        <w:sectPr>
          <w:footerReference r:id="rId15" w:type="default"/>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5772" w:type="dxa"/>
        <w:tblInd w:w="-106" w:type="dxa"/>
        <w:tblLayout w:type="fixed"/>
        <w:tblCellMar>
          <w:top w:w="55" w:type="dxa"/>
          <w:left w:w="55" w:type="dxa"/>
          <w:bottom w:w="55" w:type="dxa"/>
          <w:right w:w="55" w:type="dxa"/>
        </w:tblCellMar>
      </w:tblPr>
      <w:tblGrid>
        <w:gridCol w:w="1466"/>
        <w:gridCol w:w="2511"/>
        <w:gridCol w:w="2092"/>
        <w:gridCol w:w="2331"/>
        <w:gridCol w:w="1869"/>
        <w:gridCol w:w="1577"/>
        <w:gridCol w:w="1646"/>
        <w:gridCol w:w="2280"/>
      </w:tblGrid>
      <w:tr>
        <w:tblPrEx>
          <w:tblLayout w:type="fixed"/>
          <w:tblCellMar>
            <w:top w:w="55" w:type="dxa"/>
            <w:left w:w="55" w:type="dxa"/>
            <w:bottom w:w="55" w:type="dxa"/>
            <w:right w:w="55" w:type="dxa"/>
          </w:tblCellMar>
        </w:tblPrEx>
        <w:trPr>
          <w:trHeight w:val="395" w:hRule="atLeast"/>
        </w:trPr>
        <w:tc>
          <w:tcPr>
            <w:tcW w:w="15772" w:type="dxa"/>
            <w:gridSpan w:val="8"/>
            <w:vAlign w:val="center"/>
          </w:tcPr>
          <w:p>
            <w:pPr>
              <w:pStyle w:val="22"/>
              <w:widowControl w:val="0"/>
              <w:jc w:val="center"/>
              <w:rPr>
                <w:rFonts w:hint="eastAsia" w:ascii="仿宋" w:hAnsi="仿宋" w:eastAsia="仿宋" w:cs="仿宋"/>
                <w:b/>
                <w:bCs/>
                <w:sz w:val="44"/>
                <w:szCs w:val="44"/>
              </w:rPr>
            </w:pPr>
            <w:r>
              <w:rPr>
                <w:rFonts w:hint="eastAsia" w:ascii="仿宋" w:hAnsi="仿宋" w:eastAsia="仿宋" w:cs="仿宋"/>
                <w:b/>
                <w:bCs/>
                <w:sz w:val="44"/>
                <w:szCs w:val="44"/>
              </w:rPr>
              <w:t>政府性基金预算收入支出决算表</w:t>
            </w:r>
          </w:p>
        </w:tc>
      </w:tr>
      <w:tr>
        <w:tblPrEx>
          <w:tblLayout w:type="fixed"/>
          <w:tblCellMar>
            <w:top w:w="55" w:type="dxa"/>
            <w:left w:w="55" w:type="dxa"/>
            <w:bottom w:w="55" w:type="dxa"/>
            <w:right w:w="55" w:type="dxa"/>
          </w:tblCellMar>
        </w:tblPrEx>
        <w:trPr>
          <w:trHeight w:val="323" w:hRule="atLeast"/>
        </w:trPr>
        <w:tc>
          <w:tcPr>
            <w:tcW w:w="3977" w:type="dxa"/>
            <w:gridSpan w:val="2"/>
          </w:tcPr>
          <w:p>
            <w:pPr>
              <w:pStyle w:val="22"/>
              <w:widowControl w:val="0"/>
              <w:rPr>
                <w:rFonts w:hint="eastAsia" w:ascii="仿宋" w:hAnsi="仿宋" w:eastAsia="仿宋" w:cs="仿宋"/>
                <w:sz w:val="20"/>
              </w:rPr>
            </w:pPr>
          </w:p>
        </w:tc>
        <w:tc>
          <w:tcPr>
            <w:tcW w:w="2092" w:type="dxa"/>
          </w:tcPr>
          <w:p>
            <w:pPr>
              <w:pStyle w:val="22"/>
              <w:widowControl w:val="0"/>
              <w:rPr>
                <w:rFonts w:hint="eastAsia" w:ascii="仿宋" w:hAnsi="仿宋" w:eastAsia="仿宋" w:cs="仿宋"/>
                <w:sz w:val="27"/>
              </w:rPr>
            </w:pPr>
          </w:p>
        </w:tc>
        <w:tc>
          <w:tcPr>
            <w:tcW w:w="2331" w:type="dxa"/>
          </w:tcPr>
          <w:p>
            <w:pPr>
              <w:pStyle w:val="22"/>
              <w:widowControl w:val="0"/>
              <w:rPr>
                <w:rFonts w:hint="eastAsia" w:ascii="仿宋" w:hAnsi="仿宋" w:eastAsia="仿宋" w:cs="仿宋"/>
                <w:sz w:val="27"/>
              </w:rPr>
            </w:pPr>
          </w:p>
        </w:tc>
        <w:tc>
          <w:tcPr>
            <w:tcW w:w="5092" w:type="dxa"/>
            <w:gridSpan w:val="3"/>
          </w:tcPr>
          <w:p>
            <w:pPr>
              <w:pStyle w:val="22"/>
              <w:widowControl w:val="0"/>
              <w:rPr>
                <w:rFonts w:hint="eastAsia" w:ascii="仿宋" w:hAnsi="仿宋" w:eastAsia="仿宋" w:cs="仿宋"/>
                <w:sz w:val="20"/>
              </w:rPr>
            </w:pPr>
          </w:p>
        </w:tc>
        <w:tc>
          <w:tcPr>
            <w:tcW w:w="2280" w:type="dxa"/>
            <w:vAlign w:val="center"/>
          </w:tcPr>
          <w:p>
            <w:pPr>
              <w:pStyle w:val="22"/>
              <w:widowControl w:val="0"/>
              <w:jc w:val="right"/>
              <w:rPr>
                <w:rFonts w:hint="eastAsia" w:ascii="仿宋" w:hAnsi="仿宋" w:eastAsia="仿宋" w:cs="仿宋"/>
                <w:sz w:val="27"/>
              </w:rPr>
            </w:pPr>
            <w:r>
              <w:rPr>
                <w:rFonts w:hint="eastAsia" w:ascii="仿宋" w:hAnsi="仿宋" w:eastAsia="仿宋" w:cs="仿宋"/>
              </w:rPr>
              <w:t>公开10表</w:t>
            </w:r>
          </w:p>
        </w:tc>
      </w:tr>
      <w:tr>
        <w:tblPrEx>
          <w:tblLayout w:type="fixed"/>
          <w:tblCellMar>
            <w:top w:w="55" w:type="dxa"/>
            <w:left w:w="55" w:type="dxa"/>
            <w:bottom w:w="55" w:type="dxa"/>
            <w:right w:w="55" w:type="dxa"/>
          </w:tblCellMar>
        </w:tblPrEx>
        <w:trPr>
          <w:trHeight w:val="138" w:hRule="atLeast"/>
        </w:trPr>
        <w:tc>
          <w:tcPr>
            <w:tcW w:w="13492" w:type="dxa"/>
            <w:gridSpan w:val="7"/>
            <w:vAlign w:val="center"/>
          </w:tcPr>
          <w:p>
            <w:pPr>
              <w:pStyle w:val="22"/>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江苏省立新农场</w:t>
            </w:r>
          </w:p>
        </w:tc>
        <w:tc>
          <w:tcPr>
            <w:tcW w:w="2280" w:type="dxa"/>
            <w:vAlign w:val="center"/>
          </w:tcPr>
          <w:p>
            <w:pPr>
              <w:pStyle w:val="22"/>
              <w:widowControl w:val="0"/>
              <w:jc w:val="right"/>
              <w:rPr>
                <w:rFonts w:hint="eastAsia" w:ascii="仿宋" w:hAnsi="仿宋" w:eastAsia="仿宋" w:cs="仿宋"/>
                <w:sz w:val="27"/>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213" w:hRule="atLeast"/>
        </w:trPr>
        <w:tc>
          <w:tcPr>
            <w:tcW w:w="3977"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2092"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年初结转和结余</w:t>
            </w:r>
          </w:p>
        </w:tc>
        <w:tc>
          <w:tcPr>
            <w:tcW w:w="2331"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本年收入</w:t>
            </w:r>
          </w:p>
        </w:tc>
        <w:tc>
          <w:tcPr>
            <w:tcW w:w="5092" w:type="dxa"/>
            <w:gridSpan w:val="3"/>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本年支出</w:t>
            </w:r>
          </w:p>
        </w:tc>
        <w:tc>
          <w:tcPr>
            <w:tcW w:w="2280" w:type="dxa"/>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年末结转和结余</w:t>
            </w:r>
          </w:p>
        </w:tc>
      </w:tr>
      <w:tr>
        <w:tblPrEx>
          <w:tblLayout w:type="fixed"/>
          <w:tblCellMar>
            <w:top w:w="55" w:type="dxa"/>
            <w:left w:w="55" w:type="dxa"/>
            <w:bottom w:w="55" w:type="dxa"/>
            <w:right w:w="55" w:type="dxa"/>
          </w:tblCellMar>
        </w:tblPrEx>
        <w:trPr>
          <w:trHeight w:val="528" w:hRule="atLeast"/>
        </w:trPr>
        <w:tc>
          <w:tcPr>
            <w:tcW w:w="146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功能分类</w:t>
            </w:r>
          </w:p>
          <w:p>
            <w:pPr>
              <w:pStyle w:val="22"/>
              <w:widowControl w:val="0"/>
              <w:jc w:val="center"/>
              <w:rPr>
                <w:rFonts w:hint="eastAsia" w:ascii="仿宋" w:hAnsi="仿宋" w:eastAsia="仿宋" w:cs="仿宋"/>
              </w:rPr>
            </w:pPr>
            <w:r>
              <w:rPr>
                <w:rFonts w:hint="eastAsia" w:ascii="仿宋" w:hAnsi="仿宋" w:eastAsia="仿宋" w:cs="仿宋"/>
              </w:rPr>
              <w:t>科目编码</w:t>
            </w:r>
          </w:p>
        </w:tc>
        <w:tc>
          <w:tcPr>
            <w:tcW w:w="2511"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2092"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2331"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869"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小计</w:t>
            </w:r>
          </w:p>
        </w:tc>
        <w:tc>
          <w:tcPr>
            <w:tcW w:w="157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基本支出</w:t>
            </w:r>
          </w:p>
        </w:tc>
        <w:tc>
          <w:tcPr>
            <w:tcW w:w="164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项目支出</w:t>
            </w:r>
          </w:p>
        </w:tc>
        <w:tc>
          <w:tcPr>
            <w:tcW w:w="2280" w:type="dxa"/>
            <w:vMerge w:val="continue"/>
            <w:tcBorders>
              <w:left w:val="single" w:color="000000" w:sz="4" w:space="0"/>
              <w:bottom w:val="single" w:color="000000" w:sz="4" w:space="0"/>
              <w:right w:val="single" w:color="000000" w:sz="4" w:space="0"/>
            </w:tcBorders>
          </w:tcPr>
          <w:p>
            <w:pPr>
              <w:widowControl w:val="0"/>
              <w:jc w:val="left"/>
              <w:rPr>
                <w:rFonts w:hint="eastAsia" w:ascii="仿宋" w:hAnsi="仿宋" w:eastAsia="仿宋" w:cs="仿宋"/>
              </w:rPr>
            </w:pPr>
          </w:p>
        </w:tc>
      </w:tr>
      <w:tr>
        <w:tblPrEx>
          <w:tblLayout w:type="fixed"/>
          <w:tblCellMar>
            <w:top w:w="55" w:type="dxa"/>
            <w:left w:w="55" w:type="dxa"/>
            <w:bottom w:w="55" w:type="dxa"/>
            <w:right w:w="55" w:type="dxa"/>
          </w:tblCellMar>
        </w:tblPrEx>
        <w:trPr>
          <w:trHeight w:val="275" w:hRule="atLeast"/>
        </w:trPr>
        <w:tc>
          <w:tcPr>
            <w:tcW w:w="3977"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栏次</w:t>
            </w:r>
          </w:p>
        </w:tc>
        <w:tc>
          <w:tcPr>
            <w:tcW w:w="2092"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 xml:space="preserve">  1</w:t>
            </w:r>
          </w:p>
        </w:tc>
        <w:tc>
          <w:tcPr>
            <w:tcW w:w="2331"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 xml:space="preserve">  2</w:t>
            </w:r>
          </w:p>
        </w:tc>
        <w:tc>
          <w:tcPr>
            <w:tcW w:w="1869"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3</w:t>
            </w:r>
          </w:p>
        </w:tc>
        <w:tc>
          <w:tcPr>
            <w:tcW w:w="157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4</w:t>
            </w:r>
          </w:p>
        </w:tc>
        <w:tc>
          <w:tcPr>
            <w:tcW w:w="164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5</w:t>
            </w:r>
          </w:p>
        </w:tc>
        <w:tc>
          <w:tcPr>
            <w:tcW w:w="2280"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 xml:space="preserve">  6</w:t>
            </w:r>
          </w:p>
        </w:tc>
      </w:tr>
      <w:tr>
        <w:tblPrEx>
          <w:tblLayout w:type="fixed"/>
          <w:tblCellMar>
            <w:top w:w="55" w:type="dxa"/>
            <w:left w:w="55" w:type="dxa"/>
            <w:bottom w:w="55" w:type="dxa"/>
            <w:right w:w="55" w:type="dxa"/>
          </w:tblCellMar>
        </w:tblPrEx>
        <w:trPr>
          <w:trHeight w:val="407" w:hRule="exact"/>
        </w:trPr>
        <w:tc>
          <w:tcPr>
            <w:tcW w:w="3977"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2092"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p>
        </w:tc>
        <w:tc>
          <w:tcPr>
            <w:tcW w:w="2331"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p>
        </w:tc>
        <w:tc>
          <w:tcPr>
            <w:tcW w:w="1869"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p>
        </w:tc>
        <w:tc>
          <w:tcPr>
            <w:tcW w:w="157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p>
        </w:tc>
        <w:tc>
          <w:tcPr>
            <w:tcW w:w="1646"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p>
        </w:tc>
        <w:tc>
          <w:tcPr>
            <w:tcW w:w="2280"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bl>
    <w:p>
      <w:pPr>
        <w:spacing w:before="25" w:after="0"/>
        <w:ind w:left="-220" w:leftChars="-100" w:firstLine="0" w:firstLineChars="0"/>
        <w:rPr>
          <w:rFonts w:hint="eastAsia" w:ascii="仿宋" w:hAnsi="仿宋" w:eastAsia="仿宋" w:cs="仿宋"/>
          <w:b/>
          <w:bCs/>
          <w:sz w:val="22"/>
          <w:szCs w:val="22"/>
        </w:rPr>
      </w:pPr>
      <w:r>
        <w:rPr>
          <w:rFonts w:hint="eastAsia" w:ascii="仿宋" w:hAnsi="仿宋" w:eastAsia="仿宋" w:cs="仿宋"/>
          <w:b/>
          <w:bCs/>
          <w:sz w:val="22"/>
          <w:szCs w:val="22"/>
        </w:rPr>
        <w:t>注：1. 本表反映部门本年度按功能分类政府性基金预算财政拨款收支及结转和结余情况。</w:t>
      </w:r>
    </w:p>
    <w:p>
      <w:pPr>
        <w:numPr>
          <w:ilvl w:val="0"/>
          <w:numId w:val="6"/>
        </w:numPr>
        <w:spacing w:before="25" w:after="0"/>
        <w:ind w:left="200" w:leftChars="0" w:firstLine="0" w:firstLineChars="0"/>
        <w:rPr>
          <w:rFonts w:hint="eastAsia" w:ascii="仿宋" w:hAnsi="仿宋" w:eastAsia="仿宋" w:cs="仿宋"/>
          <w:b/>
          <w:bCs/>
          <w:sz w:val="22"/>
          <w:szCs w:val="22"/>
        </w:rPr>
      </w:pPr>
      <w:r>
        <w:rPr>
          <w:rFonts w:hint="eastAsia" w:ascii="仿宋" w:hAnsi="仿宋" w:eastAsia="仿宋" w:cs="仿宋"/>
          <w:b/>
          <w:bCs/>
          <w:sz w:val="22"/>
          <w:szCs w:val="22"/>
        </w:rPr>
        <w:t>本表金额转换为万元时，因四舍五入可能存在尾差。</w:t>
      </w:r>
    </w:p>
    <w:p>
      <w:pPr>
        <w:numPr>
          <w:ilvl w:val="0"/>
          <w:numId w:val="6"/>
        </w:numPr>
        <w:spacing w:before="25" w:after="0"/>
        <w:ind w:left="200" w:leftChars="0" w:firstLine="0" w:firstLineChars="0"/>
        <w:rPr>
          <w:rFonts w:hint="default" w:ascii="仿宋" w:hAnsi="仿宋" w:eastAsia="仿宋" w:cs="仿宋"/>
          <w:b/>
          <w:bCs/>
          <w:sz w:val="22"/>
          <w:szCs w:val="22"/>
          <w:lang w:val="en-US" w:eastAsia="zh-CN"/>
        </w:rPr>
      </w:pPr>
      <w:r>
        <w:rPr>
          <w:rFonts w:ascii="仿宋" w:hAnsi="仿宋" w:eastAsia="仿宋" w:cs="仿宋"/>
          <w:b/>
          <w:sz w:val="22"/>
        </w:rPr>
        <w:t>本单位无政府性基金预算收入支出决算，故本表为空。</w:t>
      </w:r>
    </w:p>
    <w:p>
      <w:pPr>
        <w:widowControl w:val="0"/>
        <w:numPr>
          <w:ilvl w:val="0"/>
          <w:numId w:val="0"/>
        </w:numPr>
        <w:suppressAutoHyphens/>
        <w:bidi w:val="0"/>
        <w:spacing w:before="25" w:after="0"/>
        <w:jc w:val="left"/>
        <w:rPr>
          <w:rFonts w:hint="default" w:ascii="仿宋" w:hAnsi="仿宋" w:eastAsia="仿宋" w:cs="仿宋"/>
          <w:b/>
          <w:bCs/>
          <w:sz w:val="22"/>
          <w:szCs w:val="22"/>
          <w:lang w:val="en-US" w:eastAsia="zh-CN"/>
        </w:rPr>
        <w:sectPr>
          <w:footerReference r:id="rId16" w:type="default"/>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0235" w:type="dxa"/>
        <w:tblInd w:w="-403" w:type="dxa"/>
        <w:tblLayout w:type="fixed"/>
        <w:tblCellMar>
          <w:top w:w="55" w:type="dxa"/>
          <w:left w:w="55" w:type="dxa"/>
          <w:bottom w:w="55" w:type="dxa"/>
          <w:right w:w="55" w:type="dxa"/>
        </w:tblCellMar>
      </w:tblPr>
      <w:tblGrid>
        <w:gridCol w:w="3088"/>
        <w:gridCol w:w="2876"/>
        <w:gridCol w:w="1920"/>
        <w:gridCol w:w="2351"/>
      </w:tblGrid>
      <w:tr>
        <w:tblPrEx>
          <w:tblLayout w:type="fixed"/>
          <w:tblCellMar>
            <w:top w:w="55" w:type="dxa"/>
            <w:left w:w="55" w:type="dxa"/>
            <w:bottom w:w="55" w:type="dxa"/>
            <w:right w:w="55" w:type="dxa"/>
          </w:tblCellMar>
        </w:tblPrEx>
        <w:trPr>
          <w:trHeight w:val="319" w:hRule="atLeast"/>
        </w:trPr>
        <w:tc>
          <w:tcPr>
            <w:tcW w:w="10235" w:type="dxa"/>
            <w:gridSpan w:val="4"/>
          </w:tcPr>
          <w:p>
            <w:pPr>
              <w:pStyle w:val="22"/>
              <w:widowControl w:val="0"/>
              <w:tabs>
                <w:tab w:val="left" w:pos="610"/>
              </w:tabs>
              <w:spacing w:before="28" w:after="0"/>
              <w:ind w:left="8" w:firstLine="0"/>
              <w:jc w:val="center"/>
              <w:rPr>
                <w:rFonts w:hint="eastAsia" w:ascii="仿宋" w:hAnsi="仿宋" w:eastAsia="仿宋" w:cs="仿宋"/>
                <w:b/>
                <w:bCs/>
                <w:sz w:val="44"/>
                <w:szCs w:val="44"/>
              </w:rPr>
            </w:pPr>
            <w:r>
              <w:rPr>
                <w:rFonts w:hint="eastAsia" w:ascii="仿宋" w:hAnsi="仿宋" w:eastAsia="仿宋" w:cs="仿宋"/>
                <w:b/>
                <w:bCs/>
                <w:sz w:val="44"/>
                <w:szCs w:val="44"/>
              </w:rPr>
              <w:t>一般公共预算机关运行经费支出决算表</w:t>
            </w:r>
          </w:p>
        </w:tc>
      </w:tr>
      <w:tr>
        <w:tblPrEx>
          <w:tblLayout w:type="fixed"/>
          <w:tblCellMar>
            <w:top w:w="55" w:type="dxa"/>
            <w:left w:w="55" w:type="dxa"/>
            <w:bottom w:w="55" w:type="dxa"/>
            <w:right w:w="55" w:type="dxa"/>
          </w:tblCellMar>
        </w:tblPrEx>
        <w:trPr>
          <w:trHeight w:val="90" w:hRule="atLeast"/>
        </w:trPr>
        <w:tc>
          <w:tcPr>
            <w:tcW w:w="5964" w:type="dxa"/>
            <w:gridSpan w:val="2"/>
          </w:tcPr>
          <w:p>
            <w:pPr>
              <w:pStyle w:val="22"/>
              <w:widowControl w:val="0"/>
              <w:rPr>
                <w:rFonts w:hint="eastAsia" w:ascii="仿宋" w:hAnsi="仿宋" w:eastAsia="仿宋" w:cs="仿宋"/>
                <w:sz w:val="20"/>
              </w:rPr>
            </w:pPr>
          </w:p>
        </w:tc>
        <w:tc>
          <w:tcPr>
            <w:tcW w:w="4271" w:type="dxa"/>
            <w:gridSpan w:val="2"/>
            <w:vAlign w:val="center"/>
          </w:tcPr>
          <w:p>
            <w:pPr>
              <w:pStyle w:val="22"/>
              <w:widowControl w:val="0"/>
              <w:jc w:val="right"/>
              <w:rPr>
                <w:rFonts w:hint="eastAsia" w:ascii="仿宋" w:hAnsi="仿宋" w:eastAsia="仿宋" w:cs="仿宋"/>
              </w:rPr>
            </w:pPr>
            <w:r>
              <w:rPr>
                <w:rFonts w:hint="eastAsia" w:ascii="仿宋" w:hAnsi="仿宋" w:eastAsia="仿宋" w:cs="仿宋"/>
              </w:rPr>
              <w:t>公开11表</w:t>
            </w:r>
          </w:p>
        </w:tc>
      </w:tr>
      <w:tr>
        <w:tblPrEx>
          <w:tblLayout w:type="fixed"/>
          <w:tblCellMar>
            <w:top w:w="55" w:type="dxa"/>
            <w:left w:w="55" w:type="dxa"/>
            <w:bottom w:w="55" w:type="dxa"/>
            <w:right w:w="55" w:type="dxa"/>
          </w:tblCellMar>
        </w:tblPrEx>
        <w:trPr>
          <w:trHeight w:val="90" w:hRule="atLeast"/>
        </w:trPr>
        <w:tc>
          <w:tcPr>
            <w:tcW w:w="7884" w:type="dxa"/>
            <w:gridSpan w:val="3"/>
            <w:vAlign w:val="center"/>
          </w:tcPr>
          <w:p>
            <w:pPr>
              <w:pStyle w:val="22"/>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江苏省立新农场</w:t>
            </w:r>
          </w:p>
        </w:tc>
        <w:tc>
          <w:tcPr>
            <w:tcW w:w="2351" w:type="dxa"/>
            <w:vAlign w:val="center"/>
          </w:tcPr>
          <w:p>
            <w:pPr>
              <w:pStyle w:val="22"/>
              <w:widowControl w:val="0"/>
              <w:jc w:val="right"/>
              <w:rPr>
                <w:rFonts w:hint="eastAsia" w:ascii="仿宋" w:hAnsi="仿宋" w:eastAsia="仿宋" w:cs="仿宋"/>
                <w:sz w:val="27"/>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319" w:hRule="atLeast"/>
        </w:trPr>
        <w:tc>
          <w:tcPr>
            <w:tcW w:w="5964" w:type="dxa"/>
            <w:gridSpan w:val="2"/>
            <w:tcBorders>
              <w:top w:val="single" w:color="000000" w:sz="4" w:space="0"/>
              <w:left w:val="single" w:color="000000" w:sz="4" w:space="0"/>
              <w:bottom w:val="single" w:color="000000" w:sz="4" w:space="0"/>
            </w:tcBorders>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项</w:t>
            </w:r>
            <w:r>
              <w:rPr>
                <w:rFonts w:hint="eastAsia" w:ascii="仿宋" w:hAnsi="仿宋" w:eastAsia="仿宋" w:cs="仿宋"/>
                <w:sz w:val="22"/>
                <w:szCs w:val="22"/>
              </w:rPr>
              <w:tab/>
            </w:r>
            <w:r>
              <w:rPr>
                <w:rFonts w:hint="eastAsia" w:ascii="仿宋" w:hAnsi="仿宋" w:eastAsia="仿宋" w:cs="仿宋"/>
                <w:sz w:val="22"/>
                <w:szCs w:val="22"/>
              </w:rPr>
              <w:t>目</w:t>
            </w:r>
          </w:p>
        </w:tc>
        <w:tc>
          <w:tcPr>
            <w:tcW w:w="4271" w:type="dxa"/>
            <w:gridSpan w:val="2"/>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机关运行经费支出决算</w:t>
            </w:r>
          </w:p>
        </w:tc>
      </w:tr>
      <w:tr>
        <w:tblPrEx>
          <w:tblLayout w:type="fixed"/>
          <w:tblCellMar>
            <w:top w:w="55" w:type="dxa"/>
            <w:left w:w="55" w:type="dxa"/>
            <w:bottom w:w="55" w:type="dxa"/>
            <w:right w:w="55" w:type="dxa"/>
          </w:tblCellMar>
        </w:tblPrEx>
        <w:trPr>
          <w:trHeight w:val="363" w:hRule="atLeast"/>
        </w:trPr>
        <w:tc>
          <w:tcPr>
            <w:tcW w:w="3088"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科目编码</w:t>
            </w:r>
          </w:p>
        </w:tc>
        <w:tc>
          <w:tcPr>
            <w:tcW w:w="287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科目名称</w:t>
            </w:r>
          </w:p>
        </w:tc>
        <w:tc>
          <w:tcPr>
            <w:tcW w:w="4271" w:type="dxa"/>
            <w:gridSpan w:val="2"/>
            <w:vMerge w:val="continue"/>
            <w:tcBorders>
              <w:left w:val="single" w:color="000000" w:sz="4" w:space="0"/>
              <w:bottom w:val="single" w:color="000000" w:sz="4" w:space="0"/>
              <w:right w:val="single" w:color="000000" w:sz="4" w:space="0"/>
            </w:tcBorders>
          </w:tcPr>
          <w:p>
            <w:pPr>
              <w:widowControl w:val="0"/>
              <w:jc w:val="lef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263" w:hRule="atLeast"/>
        </w:trPr>
        <w:tc>
          <w:tcPr>
            <w:tcW w:w="5964"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合计</w:t>
            </w:r>
          </w:p>
        </w:tc>
        <w:tc>
          <w:tcPr>
            <w:tcW w:w="4271" w:type="dxa"/>
            <w:gridSpan w:val="2"/>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302</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商品和服务支出</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30201</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办公费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30202</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印刷费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30203</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咨询费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30204</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手续费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30205</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水费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30206</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电费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30207</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邮电费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30208</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取暖费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物业管理费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30211</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差旅费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30212</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因公出国（境）费用</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30213</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维修（护）费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30214</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租赁费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30215</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会议费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30216</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培训费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30217</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公务接待费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30218</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专用材料费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30224</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被装购置费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30225</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专用燃料费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30226</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劳务费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30227</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委托业务费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30228</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工会经费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30229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福利费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30231</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公务用车运行维护费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30239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其他交通费用</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30240</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税金及附加费用</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30299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其他商品和服务支出</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307</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债务利息及费用支出</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310</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资本性支出</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31001</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房屋建筑物购建</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31002</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办公设备购置</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31003</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专用设备购置</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31005</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基础设施建设</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31006</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大型修缮</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31007</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信息网络及软件购置更新</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31008</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物资储备</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土地补偿</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31010</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安置补助</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31011</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地上附着物和青苗补偿</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31012</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拆迁补偿</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31013</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公务用车购置</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31019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其他交通工具购置</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31021</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文物和陈列品购置</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31022</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无形资产购置</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31099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其他资本性支出</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312</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对企业补助</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399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其他支出</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bl>
    <w:p>
      <w:pPr>
        <w:spacing w:before="25" w:after="0"/>
        <w:ind w:left="2" w:leftChars="-200" w:hanging="442" w:hangingChars="200"/>
        <w:rPr>
          <w:rFonts w:hint="eastAsia" w:ascii="仿宋" w:hAnsi="仿宋" w:eastAsia="仿宋" w:cs="仿宋"/>
          <w:b/>
          <w:bCs/>
          <w:sz w:val="22"/>
          <w:szCs w:val="22"/>
        </w:rPr>
      </w:pPr>
      <w:r>
        <w:rPr>
          <w:rFonts w:hint="eastAsia" w:ascii="仿宋" w:hAnsi="仿宋" w:eastAsia="仿宋" w:cs="仿宋"/>
          <w:b/>
          <w:bCs/>
          <w:sz w:val="22"/>
          <w:szCs w:val="22"/>
        </w:rPr>
        <w:t>注：1.“机关运行经费” 指行政单位（含参照公务员法管理的事业单位）使用一般公共预算安排的基本支出中的日常公用经费支出，包括办公及印刷费、邮电费、差旅费、会议费、福利费、日常维修费、专用材料及一般设备购置费、办公用房水电费、办公用房取暖费、办公用房物业管理费、公务用车运行维护费及其他费用。</w:t>
      </w:r>
    </w:p>
    <w:p>
      <w:pPr>
        <w:numPr>
          <w:ilvl w:val="0"/>
          <w:numId w:val="7"/>
        </w:numPr>
        <w:tabs>
          <w:tab w:val="left" w:pos="0"/>
          <w:tab w:val="clear" w:pos="312"/>
        </w:tabs>
        <w:spacing w:before="25" w:after="0"/>
        <w:ind w:left="-1" w:leftChars="0" w:firstLine="0" w:firstLineChars="0"/>
        <w:rPr>
          <w:rFonts w:hint="eastAsia" w:ascii="仿宋" w:hAnsi="仿宋" w:eastAsia="仿宋" w:cs="仿宋"/>
          <w:b/>
          <w:bCs/>
          <w:sz w:val="22"/>
          <w:szCs w:val="22"/>
        </w:rPr>
      </w:pPr>
      <w:r>
        <w:rPr>
          <w:rFonts w:hint="eastAsia" w:ascii="仿宋" w:hAnsi="仿宋" w:eastAsia="仿宋" w:cs="仿宋"/>
          <w:b/>
          <w:bCs/>
          <w:sz w:val="22"/>
          <w:szCs w:val="22"/>
        </w:rPr>
        <w:t>本表金额转换为万元时，因四舍五入可能存在尾差</w:t>
      </w:r>
    </w:p>
    <w:p>
      <w:pPr>
        <w:numPr>
          <w:ilvl w:val="0"/>
          <w:numId w:val="7"/>
        </w:numPr>
        <w:tabs>
          <w:tab w:val="left" w:pos="0"/>
          <w:tab w:val="clear" w:pos="312"/>
        </w:tabs>
        <w:spacing w:before="25" w:after="0"/>
        <w:ind w:left="-1" w:leftChars="0" w:firstLine="0" w:firstLineChars="0"/>
        <w:rPr>
          <w:rFonts w:hint="eastAsia" w:ascii="仿宋" w:hAnsi="仿宋" w:eastAsia="仿宋" w:cs="仿宋"/>
          <w:b/>
          <w:bCs/>
          <w:sz w:val="22"/>
          <w:szCs w:val="22"/>
        </w:rPr>
      </w:pPr>
      <w:r>
        <w:rPr>
          <w:rFonts w:hint="eastAsia" w:ascii="仿宋" w:hAnsi="仿宋" w:eastAsia="仿宋" w:cs="仿宋"/>
          <w:b/>
          <w:bCs/>
          <w:sz w:val="22"/>
          <w:szCs w:val="22"/>
          <w:lang w:eastAsia="zh-CN"/>
        </w:rPr>
        <w:t>本</w:t>
      </w:r>
      <w:r>
        <w:rPr>
          <w:rFonts w:ascii="仿宋" w:hAnsi="仿宋" w:eastAsia="仿宋" w:cs="仿宋"/>
          <w:b/>
          <w:sz w:val="22"/>
        </w:rPr>
        <w:t>单位</w:t>
      </w:r>
      <w:r>
        <w:rPr>
          <w:rFonts w:hint="eastAsia" w:ascii="仿宋" w:hAnsi="仿宋" w:eastAsia="仿宋" w:cs="仿宋"/>
          <w:b/>
          <w:bCs/>
          <w:sz w:val="22"/>
          <w:szCs w:val="22"/>
        </w:rPr>
        <w:t>无一般公共预算机关运行经费支出决算，故本表为空。</w:t>
      </w:r>
    </w:p>
    <w:p>
      <w:pPr>
        <w:widowControl w:val="0"/>
        <w:suppressAutoHyphens/>
        <w:bidi w:val="0"/>
        <w:spacing w:before="78" w:after="0" w:line="290" w:lineRule="auto"/>
        <w:ind w:left="227" w:right="57" w:firstLine="0"/>
        <w:jc w:val="both"/>
        <w:rPr>
          <w:rFonts w:hint="eastAsia" w:ascii="仿宋" w:hAnsi="仿宋" w:eastAsia="仿宋" w:cs="仿宋"/>
          <w:b/>
          <w:bCs/>
          <w:sz w:val="22"/>
          <w:szCs w:val="22"/>
        </w:rPr>
        <w:sectPr>
          <w:footerReference r:id="rId17" w:type="default"/>
          <w:pgSz w:w="11906" w:h="16838"/>
          <w:pgMar w:top="1100" w:right="1320" w:bottom="770" w:left="13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9177" w:type="dxa"/>
        <w:tblInd w:w="45" w:type="dxa"/>
        <w:tblLayout w:type="fixed"/>
        <w:tblCellMar>
          <w:top w:w="55" w:type="dxa"/>
          <w:left w:w="55" w:type="dxa"/>
          <w:bottom w:w="55" w:type="dxa"/>
          <w:right w:w="55" w:type="dxa"/>
        </w:tblCellMar>
      </w:tblPr>
      <w:tblGrid>
        <w:gridCol w:w="3682"/>
        <w:gridCol w:w="1512"/>
        <w:gridCol w:w="1992"/>
        <w:gridCol w:w="1991"/>
      </w:tblGrid>
      <w:tr>
        <w:tblPrEx>
          <w:tblLayout w:type="fixed"/>
          <w:tblCellMar>
            <w:top w:w="55" w:type="dxa"/>
            <w:left w:w="55" w:type="dxa"/>
            <w:bottom w:w="55" w:type="dxa"/>
            <w:right w:w="55" w:type="dxa"/>
          </w:tblCellMar>
        </w:tblPrEx>
        <w:trPr>
          <w:trHeight w:val="333" w:hRule="atLeast"/>
        </w:trPr>
        <w:tc>
          <w:tcPr>
            <w:tcW w:w="9177" w:type="dxa"/>
            <w:gridSpan w:val="4"/>
            <w:vAlign w:val="center"/>
          </w:tcPr>
          <w:p>
            <w:pPr>
              <w:pStyle w:val="22"/>
              <w:widowControl w:val="0"/>
              <w:bidi w:val="0"/>
              <w:jc w:val="center"/>
              <w:rPr>
                <w:rFonts w:hint="eastAsia" w:ascii="仿宋" w:hAnsi="仿宋" w:eastAsia="仿宋" w:cs="仿宋"/>
                <w:b/>
                <w:bCs/>
                <w:sz w:val="44"/>
                <w:szCs w:val="44"/>
              </w:rPr>
            </w:pPr>
            <w:r>
              <w:rPr>
                <w:rFonts w:hint="eastAsia" w:ascii="仿宋" w:hAnsi="仿宋" w:eastAsia="仿宋" w:cs="仿宋"/>
                <w:b/>
                <w:bCs/>
                <w:sz w:val="44"/>
                <w:szCs w:val="44"/>
              </w:rPr>
              <w:t>政府采购支出决算表</w:t>
            </w:r>
          </w:p>
        </w:tc>
      </w:tr>
      <w:tr>
        <w:tblPrEx>
          <w:tblLayout w:type="fixed"/>
          <w:tblCellMar>
            <w:top w:w="55" w:type="dxa"/>
            <w:left w:w="55" w:type="dxa"/>
            <w:bottom w:w="55" w:type="dxa"/>
            <w:right w:w="55" w:type="dxa"/>
          </w:tblCellMar>
        </w:tblPrEx>
        <w:trPr>
          <w:trHeight w:val="333" w:hRule="atLeast"/>
        </w:trPr>
        <w:tc>
          <w:tcPr>
            <w:tcW w:w="3682" w:type="dxa"/>
          </w:tcPr>
          <w:p>
            <w:pPr>
              <w:pStyle w:val="22"/>
              <w:widowControl w:val="0"/>
              <w:bidi w:val="0"/>
              <w:rPr>
                <w:rFonts w:hint="eastAsia" w:ascii="仿宋" w:hAnsi="仿宋" w:eastAsia="仿宋" w:cs="仿宋"/>
              </w:rPr>
            </w:pPr>
          </w:p>
        </w:tc>
        <w:tc>
          <w:tcPr>
            <w:tcW w:w="1512" w:type="dxa"/>
          </w:tcPr>
          <w:p>
            <w:pPr>
              <w:pStyle w:val="22"/>
              <w:widowControl w:val="0"/>
              <w:rPr>
                <w:rFonts w:hint="eastAsia" w:ascii="仿宋" w:hAnsi="仿宋" w:eastAsia="仿宋" w:cs="仿宋"/>
              </w:rPr>
            </w:pPr>
          </w:p>
        </w:tc>
        <w:tc>
          <w:tcPr>
            <w:tcW w:w="1992" w:type="dxa"/>
          </w:tcPr>
          <w:p>
            <w:pPr>
              <w:pStyle w:val="22"/>
              <w:widowControl w:val="0"/>
              <w:rPr>
                <w:rFonts w:hint="eastAsia" w:ascii="仿宋" w:hAnsi="仿宋" w:eastAsia="仿宋" w:cs="仿宋"/>
              </w:rPr>
            </w:pPr>
          </w:p>
        </w:tc>
        <w:tc>
          <w:tcPr>
            <w:tcW w:w="1991" w:type="dxa"/>
            <w:vAlign w:val="center"/>
          </w:tcPr>
          <w:p>
            <w:pPr>
              <w:pStyle w:val="22"/>
              <w:widowControl w:val="0"/>
              <w:jc w:val="right"/>
              <w:rPr>
                <w:rFonts w:hint="eastAsia" w:ascii="仿宋" w:hAnsi="仿宋" w:eastAsia="仿宋" w:cs="仿宋"/>
              </w:rPr>
            </w:pPr>
            <w:r>
              <w:rPr>
                <w:rFonts w:hint="eastAsia" w:ascii="仿宋" w:hAnsi="仿宋" w:eastAsia="仿宋" w:cs="仿宋"/>
              </w:rPr>
              <w:t>公开12表</w:t>
            </w:r>
          </w:p>
        </w:tc>
      </w:tr>
      <w:tr>
        <w:tblPrEx>
          <w:tblLayout w:type="fixed"/>
          <w:tblCellMar>
            <w:top w:w="55" w:type="dxa"/>
            <w:left w:w="55" w:type="dxa"/>
            <w:bottom w:w="55" w:type="dxa"/>
            <w:right w:w="55" w:type="dxa"/>
          </w:tblCellMar>
        </w:tblPrEx>
        <w:trPr>
          <w:trHeight w:val="90" w:hRule="atLeast"/>
        </w:trPr>
        <w:tc>
          <w:tcPr>
            <w:tcW w:w="7186" w:type="dxa"/>
            <w:gridSpan w:val="3"/>
          </w:tcPr>
          <w:p>
            <w:pPr>
              <w:pStyle w:val="22"/>
              <w:widowControl w:val="0"/>
              <w:bidi w:val="0"/>
              <w:rPr>
                <w:rFonts w:hint="eastAsia" w:ascii="仿宋" w:hAnsi="仿宋" w:eastAsia="仿宋" w:cs="仿宋"/>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江苏省立新农场</w:t>
            </w:r>
          </w:p>
        </w:tc>
        <w:tc>
          <w:tcPr>
            <w:tcW w:w="1991" w:type="dxa"/>
            <w:vAlign w:val="center"/>
          </w:tcPr>
          <w:p>
            <w:pPr>
              <w:pStyle w:val="22"/>
              <w:widowControl w:val="0"/>
              <w:jc w:val="right"/>
              <w:rPr>
                <w:rFonts w:hint="eastAsia" w:ascii="仿宋" w:hAnsi="仿宋" w:eastAsia="仿宋" w:cs="仿宋"/>
              </w:rPr>
            </w:pPr>
            <w:r>
              <w:rPr>
                <w:rFonts w:hint="eastAsia" w:ascii="仿宋" w:hAnsi="仿宋" w:eastAsia="仿宋" w:cs="仿宋"/>
              </w:rPr>
              <w:t>单位：万元</w:t>
            </w:r>
          </w:p>
        </w:tc>
      </w:tr>
      <w:tr>
        <w:tblPrEx>
          <w:tblLayout w:type="fixed"/>
          <w:tblCellMar>
            <w:top w:w="55" w:type="dxa"/>
            <w:left w:w="55" w:type="dxa"/>
            <w:bottom w:w="55" w:type="dxa"/>
            <w:right w:w="55" w:type="dxa"/>
          </w:tblCellMar>
        </w:tblPrEx>
        <w:trPr>
          <w:trHeight w:val="244" w:hRule="atLeast"/>
        </w:trPr>
        <w:tc>
          <w:tcPr>
            <w:tcW w:w="3682" w:type="dxa"/>
            <w:tcBorders>
              <w:top w:val="single" w:color="000000" w:sz="4" w:space="0"/>
              <w:left w:val="single" w:color="000000" w:sz="4" w:space="0"/>
              <w:bottom w:val="single" w:color="000000" w:sz="4" w:space="0"/>
            </w:tcBorders>
            <w:vAlign w:val="center"/>
          </w:tcPr>
          <w:p>
            <w:pPr>
              <w:pStyle w:val="22"/>
              <w:widowControl w:val="0"/>
              <w:bidi w:val="0"/>
              <w:jc w:val="center"/>
              <w:rPr>
                <w:rFonts w:hint="eastAsia" w:ascii="仿宋" w:hAnsi="仿宋" w:eastAsia="仿宋" w:cs="仿宋"/>
              </w:rPr>
            </w:pPr>
            <w:r>
              <w:rPr>
                <w:rFonts w:hint="eastAsia" w:ascii="仿宋" w:hAnsi="仿宋" w:eastAsia="仿宋" w:cs="仿宋"/>
              </w:rPr>
              <w:t>采购品目大类</w:t>
            </w:r>
          </w:p>
        </w:tc>
        <w:tc>
          <w:tcPr>
            <w:tcW w:w="5495"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金</w:t>
            </w:r>
            <w:r>
              <w:rPr>
                <w:rFonts w:hint="eastAsia" w:ascii="仿宋" w:hAnsi="仿宋" w:eastAsia="仿宋" w:cs="仿宋"/>
              </w:rPr>
              <w:tab/>
            </w:r>
            <w:r>
              <w:rPr>
                <w:rFonts w:hint="eastAsia" w:ascii="仿宋" w:hAnsi="仿宋" w:eastAsia="仿宋" w:cs="仿宋"/>
              </w:rPr>
              <w:t>额</w:t>
            </w:r>
          </w:p>
        </w:tc>
      </w:tr>
      <w:tr>
        <w:tblPrEx>
          <w:tblLayout w:type="fixed"/>
          <w:tblCellMar>
            <w:top w:w="55" w:type="dxa"/>
            <w:left w:w="55" w:type="dxa"/>
            <w:bottom w:w="55" w:type="dxa"/>
            <w:right w:w="55" w:type="dxa"/>
          </w:tblCellMar>
        </w:tblPrEx>
        <w:trPr>
          <w:trHeight w:val="186" w:hRule="atLeast"/>
        </w:trPr>
        <w:tc>
          <w:tcPr>
            <w:tcW w:w="3682" w:type="dxa"/>
            <w:tcBorders>
              <w:left w:val="single" w:color="000000" w:sz="4" w:space="0"/>
              <w:bottom w:val="single" w:color="000000" w:sz="4" w:space="0"/>
            </w:tcBorders>
            <w:vAlign w:val="center"/>
          </w:tcPr>
          <w:p>
            <w:pPr>
              <w:pStyle w:val="22"/>
              <w:widowControl w:val="0"/>
              <w:bidi w:val="0"/>
              <w:jc w:val="center"/>
              <w:rPr>
                <w:rFonts w:hint="eastAsia" w:ascii="仿宋" w:hAnsi="仿宋" w:eastAsia="仿宋" w:cs="仿宋"/>
              </w:rPr>
            </w:pPr>
            <w:r>
              <w:rPr>
                <w:rFonts w:ascii="仿宋" w:hAnsi="仿宋" w:eastAsia="仿宋" w:cs="仿宋"/>
              </w:rPr>
              <w:t>合计</w:t>
            </w:r>
          </w:p>
        </w:tc>
        <w:tc>
          <w:tcPr>
            <w:tcW w:w="5495" w:type="dxa"/>
            <w:gridSpan w:val="3"/>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12.31</w:t>
            </w:r>
          </w:p>
        </w:tc>
      </w:tr>
      <w:tr>
        <w:tblPrEx>
          <w:tblLayout w:type="fixed"/>
          <w:tblCellMar>
            <w:top w:w="55" w:type="dxa"/>
            <w:left w:w="55" w:type="dxa"/>
            <w:bottom w:w="55" w:type="dxa"/>
            <w:right w:w="55" w:type="dxa"/>
          </w:tblCellMar>
        </w:tblPrEx>
        <w:trPr>
          <w:cantSplit/>
          <w:trHeight w:val="140" w:hRule="atLeast"/>
        </w:trPr>
        <w:tc>
          <w:tcPr>
            <w:tcW w:w="3682" w:type="dxa"/>
            <w:tcBorders>
              <w:left w:val="single" w:color="000000" w:sz="4" w:space="0"/>
              <w:bottom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一、政府采购货物支出</w:t>
            </w:r>
          </w:p>
        </w:tc>
        <w:tc>
          <w:tcPr>
            <w:tcW w:w="5495" w:type="dxa"/>
            <w:gridSpan w:val="3"/>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40" w:hRule="atLeast"/>
        </w:trPr>
        <w:tc>
          <w:tcPr>
            <w:tcW w:w="3682" w:type="dxa"/>
            <w:tcBorders>
              <w:left w:val="single" w:color="000000" w:sz="4" w:space="0"/>
              <w:bottom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二、政府采购工程支出</w:t>
            </w:r>
          </w:p>
        </w:tc>
        <w:tc>
          <w:tcPr>
            <w:tcW w:w="5495" w:type="dxa"/>
            <w:gridSpan w:val="3"/>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12.31</w:t>
            </w:r>
          </w:p>
        </w:tc>
      </w:tr>
      <w:tr>
        <w:tblPrEx>
          <w:tblLayout w:type="fixed"/>
          <w:tblCellMar>
            <w:top w:w="55" w:type="dxa"/>
            <w:left w:w="55" w:type="dxa"/>
            <w:bottom w:w="55" w:type="dxa"/>
            <w:right w:w="55" w:type="dxa"/>
          </w:tblCellMar>
        </w:tblPrEx>
        <w:trPr>
          <w:cantSplit/>
          <w:trHeight w:val="140" w:hRule="atLeast"/>
        </w:trPr>
        <w:tc>
          <w:tcPr>
            <w:tcW w:w="3682" w:type="dxa"/>
            <w:tcBorders>
              <w:left w:val="single" w:color="000000" w:sz="4" w:space="0"/>
              <w:bottom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三、政府采购服务支出</w:t>
            </w:r>
          </w:p>
        </w:tc>
        <w:tc>
          <w:tcPr>
            <w:tcW w:w="5495" w:type="dxa"/>
            <w:gridSpan w:val="3"/>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bl>
    <w:p>
      <w:pPr>
        <w:bidi w:val="0"/>
        <w:rPr>
          <w:rFonts w:hint="eastAsia" w:ascii="仿宋" w:hAnsi="仿宋" w:eastAsia="仿宋" w:cs="仿宋"/>
          <w:b/>
          <w:bCs/>
          <w:sz w:val="22"/>
          <w:szCs w:val="22"/>
        </w:rPr>
      </w:pPr>
      <w:r>
        <w:rPr>
          <w:rFonts w:hint="eastAsia" w:ascii="仿宋" w:hAnsi="仿宋" w:eastAsia="仿宋" w:cs="仿宋"/>
          <w:b/>
          <w:bCs/>
          <w:sz w:val="22"/>
          <w:szCs w:val="22"/>
        </w:rPr>
        <w:t>注：</w:t>
      </w:r>
      <w:r>
        <w:rPr>
          <w:rFonts w:hint="eastAsia" w:ascii="仿宋" w:hAnsi="仿宋" w:eastAsia="仿宋" w:cs="仿宋"/>
          <w:b/>
          <w:bCs/>
          <w:sz w:val="22"/>
          <w:szCs w:val="22"/>
          <w:lang w:val="en-US" w:eastAsia="zh-CN"/>
        </w:rPr>
        <w:t>1.</w:t>
      </w:r>
      <w:r>
        <w:rPr>
          <w:rFonts w:hint="eastAsia" w:ascii="仿宋" w:hAnsi="仿宋" w:eastAsia="仿宋" w:cs="仿宋"/>
          <w:b/>
          <w:bCs/>
          <w:sz w:val="22"/>
          <w:szCs w:val="22"/>
        </w:rPr>
        <w:t>政府采购支出信息为单位纳入部门预算范围的各项政府采购支出情况。</w:t>
      </w:r>
    </w:p>
    <w:p>
      <w:pPr>
        <w:numPr>
          <w:ilvl w:val="0"/>
          <w:numId w:val="8"/>
        </w:numPr>
        <w:bidi w:val="0"/>
        <w:ind w:left="420" w:leftChars="0" w:firstLine="0" w:firstLineChars="0"/>
        <w:rPr>
          <w:rFonts w:hint="eastAsia" w:ascii="仿宋" w:hAnsi="仿宋" w:eastAsia="仿宋" w:cs="仿宋"/>
          <w:b/>
          <w:bCs/>
          <w:sz w:val="22"/>
          <w:szCs w:val="22"/>
        </w:rPr>
      </w:pPr>
      <w:r>
        <w:rPr>
          <w:rFonts w:hint="eastAsia" w:ascii="仿宋" w:hAnsi="仿宋" w:eastAsia="仿宋" w:cs="仿宋"/>
          <w:b/>
          <w:bCs/>
          <w:sz w:val="22"/>
          <w:szCs w:val="22"/>
        </w:rPr>
        <w:t>本表金额转换为万元时，因四舍五入可能存在尾差。</w:t>
      </w:r>
    </w:p>
    <w:p>
      <w:pPr>
        <w:bidi w:val="0"/>
        <w:rPr>
          <w:rFonts w:hint="eastAsia" w:ascii="仿宋" w:hAnsi="仿宋" w:eastAsia="仿宋" w:cs="仿宋"/>
          <w:b/>
          <w:bCs/>
          <w:sz w:val="22"/>
          <w:szCs w:val="22"/>
        </w:rPr>
        <w:sectPr>
          <w:footerReference r:id="rId18" w:type="default"/>
          <w:pgSz w:w="11906" w:h="16838"/>
          <w:pgMar w:top="1100" w:right="1320" w:bottom="770" w:left="13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p>
      <w:pPr>
        <w:pStyle w:val="5"/>
        <w:tabs>
          <w:tab w:val="left" w:pos="3077"/>
        </w:tabs>
        <w:spacing w:line="616" w:lineRule="exact"/>
        <w:jc w:val="center"/>
        <w:rPr>
          <w:rFonts w:hint="eastAsia"/>
        </w:rPr>
      </w:pPr>
      <w:r>
        <w:rPr>
          <w:rFonts w:hint="eastAsia" w:ascii="仿宋" w:hAnsi="仿宋" w:eastAsia="仿宋" w:cs="仿宋"/>
          <w:b/>
          <w:bCs/>
          <w:sz w:val="44"/>
          <w:szCs w:val="44"/>
        </w:rPr>
        <w:t>第三部分</w:t>
      </w:r>
      <w:r>
        <w:rPr>
          <w:rFonts w:hint="eastAsia" w:ascii="仿宋" w:hAnsi="仿宋" w:eastAsia="仿宋" w:cs="仿宋"/>
          <w:b/>
          <w:bCs/>
          <w:sz w:val="44"/>
          <w:szCs w:val="44"/>
          <w:lang w:val="en-US" w:eastAsia="zh-CN"/>
        </w:rPr>
        <w:t xml:space="preserve"> </w:t>
      </w:r>
      <w:r>
        <w:rPr>
          <w:rFonts w:hint="eastAsia" w:ascii="仿宋" w:hAnsi="仿宋" w:eastAsia="仿宋" w:cs="仿宋"/>
          <w:b/>
          <w:bCs/>
          <w:sz w:val="44"/>
          <w:szCs w:val="44"/>
        </w:rPr>
        <w:t>2020年度</w:t>
      </w:r>
      <w:r>
        <w:rPr>
          <w:rFonts w:ascii="仿宋" w:hAnsi="仿宋" w:eastAsia="仿宋" w:cs="仿宋"/>
          <w:b/>
          <w:sz w:val="44"/>
        </w:rPr>
        <w:t>单位决算情况说明</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1" w:after="0" w:line="360" w:lineRule="auto"/>
        <w:ind w:left="348" w:right="420" w:firstLine="640"/>
        <w:jc w:val="both"/>
        <w:textAlignment w:val="auto"/>
        <w:rPr>
          <w:rFonts w:hint="eastAsia" w:ascii="仿宋" w:hAnsi="仿宋" w:eastAsia="仿宋" w:cs="仿宋"/>
          <w:lang w:val="en-US" w:eastAsia="zh-CN"/>
        </w:rPr>
      </w:pP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eastAsia="zh-CN"/>
        </w:rPr>
      </w:pPr>
      <w:r>
        <w:rPr>
          <w:rFonts w:ascii="仿宋" w:hAnsi="仿宋" w:eastAsia="仿宋" w:cs="仿宋"/>
          <w:b/>
        </w:rPr>
        <w:t>一、收入支出决算总体情况说明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r>
        <w:rPr>
          <w:rFonts w:ascii="仿宋" w:hAnsi="仿宋" w:eastAsia="仿宋" w:cs="仿宋"/>
        </w:rPr>
        <w:t>江苏省立新农场2020年度收入、支出总计1,843.88万元，与上年相比收、支总计各增加34.7万元，增长1.92%。其中：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（一）收入总计1,843.88万元。包括：</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r>
        <w:rPr>
          <w:rFonts w:ascii="仿宋" w:hAnsi="仿宋" w:eastAsia="仿宋" w:cs="仿宋"/>
        </w:rPr>
        <w:t>1．本年收入合计1,779.51万元。</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（1）一般公共预算财政拨款收入1,568.76万元，为当年从同级财政取得的一般公共预算拨款，与上年决算数相同。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（2）政府性基金预算财政拨款收入0万元，为当年从同级财政取得的政府性基金预算拨款，与上年决算数相同。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（3）国有资本经营预算财政拨款收入0万元，为当年从同级财政取得的国有资本经营预算拨款，与上年决算数相同。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（4）上级补助收入0万元，与上年决算数相同。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（5）事业收入210.75万元，为江苏省立新农场开展水稻和小麦种植、工业上缴和医院门诊业务活动及其辅助活动取得的收入。与上年相比增加3.95万元，增长1.91%。主要原因是拓展业务活动增加的收入。</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（6）经营收入0万元，与上年决算数相同。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（7）附属单位上缴收入0万元，与上年决算数相同。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（8）其他收入0万元，与上年决算数相同。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r>
        <w:rPr>
          <w:rFonts w:ascii="仿宋" w:hAnsi="仿宋" w:eastAsia="仿宋" w:cs="仿宋"/>
        </w:rPr>
        <w:t>2．使用非财政拨款结余0万元，为事业单位使用非财政拨款结余（原事业基金）弥补当年收支差额的数额。</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r>
        <w:rPr>
          <w:rFonts w:ascii="仿宋" w:hAnsi="仿宋" w:eastAsia="仿宋" w:cs="仿宋"/>
        </w:rPr>
        <w:t>3．年初结转和结余64.36万元，主要为江苏省立新农场上年结转本年使用的项目资金17.13万元和基本支出资金47.23万元。</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（二）支出总计1,843.88万元。包括：</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r>
        <w:rPr>
          <w:rFonts w:ascii="仿宋" w:hAnsi="仿宋" w:eastAsia="仿宋" w:cs="仿宋"/>
        </w:rPr>
        <w:t>1．本年支出合计1,641.96万元。</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（1）社会保障和就业（类）支出1,641.96万元，主要用于人员经费、公用经费和运转类项目。与上年相比增加48.87万元，增长3.07%。主要原因是办公费、物业管理费、工会经费和抚恤金的增加。</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r>
        <w:rPr>
          <w:rFonts w:ascii="仿宋" w:hAnsi="仿宋" w:eastAsia="仿宋" w:cs="仿宋"/>
        </w:rPr>
        <w:t>2．结余分配169.97万元，为单位当年结余的分配情况，主要是江苏省立新农场对非财政补助结余按规定计算缴纳的企业所得税、提取的职工福利基金和转入非财政拨款结余等。与上年相比增加169.97万元，去年决算数为0万元，无法计算增减比率，主要原因是增加了人员追加性绩效工资。</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r>
        <w:rPr>
          <w:rFonts w:ascii="仿宋" w:hAnsi="仿宋" w:eastAsia="仿宋" w:cs="仿宋"/>
        </w:rPr>
        <w:t>3．年末结转和结余31.95万元，主要为江苏省立新农场本年度预算安排的项目和基本支出无法按原计划实施，需要延迟到以后年度按有关规定继续使用的项目资金25.49万元和基本支出6.46万元。</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二、收入决算情况说明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江苏省立新农场本年收入合计1,779.51万元，其中：财政拨款收入1,568.76万元，占88.16%；上级补助收入0万元，占0%；事业收入210.75万元，占11.84%；经营收入0万元，占0%；附属单位上缴收入0万元，占0%；其他收入0万元，占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0" w:leftChars="0" w:right="420" w:firstLine="0" w:firstLineChars="0"/>
        <w:jc w:val="center"/>
        <w:textAlignment w:val="auto"/>
        <w:rPr>
          <w:rFonts w:hint="eastAsia" w:ascii="仿宋" w:hAnsi="仿宋" w:eastAsia="仿宋" w:cs="仿宋"/>
          <w:lang w:val="en-US" w:eastAsia="zh-CN"/>
        </w:rPr>
      </w:pPr>
      <w:r>
        <w:rPr>
          <w:rFonts w:hint="eastAsia" w:ascii="仿宋" w:hAnsi="仿宋" w:eastAsia="仿宋" w:cs="仿宋"/>
          <w:lang w:val="en-US" w:eastAsia="zh-CN"/>
        </w:rPr>
        <w:drawing>
          <wp:inline distT="0" distB="0" distL="0" distR="0">
            <wp:extent cx="6134100" cy="3429000"/>
            <wp:effectExtent l="0" t="0" r="5080" b="0"/>
            <wp:docPr id="1" name="Drawing 1" descr="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rawing 1" descr="Generated"/>
                    <pic:cNvPicPr>
                      <a:picLocks noChangeAspect="1"/>
                    </pic:cNvPicPr>
                  </pic:nvPicPr>
                  <pic:blipFill>
                    <a:blip r:embed="rId22"/>
                    <a:stretch>
                      <a:fillRect/>
                    </a:stretch>
                  </pic:blipFill>
                  <pic:spPr>
                    <a:xfrm>
                      <a:off x="0" y="0"/>
                      <a:ext cx="6134100" cy="3429000"/>
                    </a:xfrm>
                    <a:prstGeom prst="rect">
                      <a:avLst/>
                    </a:prstGeom>
                  </pic:spPr>
                </pic:pic>
              </a:graphicData>
            </a:graphic>
          </wp:inline>
        </w:drawing>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三、支出决算情况说明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江苏省立新农场本年支出合计1,641.96万元，其中：基本支出1,620.31万元，占98.68%；项目支出21.65万元，占1.32%；上缴上级支出0万元，占0%；经营支出0万元，占0%；对附属单位补助支出0万元，占0%。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right="420"/>
        <w:jc w:val="center"/>
        <w:textAlignment w:val="auto"/>
        <w:rPr>
          <w:rFonts w:hint="eastAsia" w:ascii="仿宋" w:hAnsi="仿宋" w:eastAsia="仿宋" w:cs="仿宋"/>
        </w:rPr>
      </w:pPr>
      <w:r>
        <w:rPr>
          <w:rFonts w:hint="eastAsia" w:ascii="仿宋" w:hAnsi="仿宋" w:eastAsia="仿宋" w:cs="仿宋"/>
          <w:lang w:val="en-US" w:eastAsia="zh-CN"/>
        </w:rPr>
        <w:drawing>
          <wp:inline distT="0" distB="0" distL="0" distR="0">
            <wp:extent cx="6134100" cy="3429000"/>
            <wp:effectExtent l="0" t="0" r="5080" b="0"/>
            <wp:docPr id="2" name="Drawing 2" descr="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rawing 2" descr="Generated"/>
                    <pic:cNvPicPr>
                      <a:picLocks noChangeAspect="1"/>
                    </pic:cNvPicPr>
                  </pic:nvPicPr>
                  <pic:blipFill>
                    <a:blip r:embed="rId23"/>
                    <a:stretch>
                      <a:fillRect/>
                    </a:stretch>
                  </pic:blipFill>
                  <pic:spPr>
                    <a:xfrm>
                      <a:off x="0" y="0"/>
                      <a:ext cx="6134100" cy="3429000"/>
                    </a:xfrm>
                    <a:prstGeom prst="rect">
                      <a:avLst/>
                    </a:prstGeom>
                  </pic:spPr>
                </pic:pic>
              </a:graphicData>
            </a:graphic>
          </wp:inline>
        </w:drawing>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四、财政拨款收入支出决算总体情况说明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江苏省立新农场2020年度财政拨款收、支总决算1,633.12万元，与上年相比，财政拨款收、支总计各增加30.74万元，增长1.92%。主要原因是商品和服务支出中的办公费、物业管理费和工会经费增加以及对个人和家庭的补助中的抚恤金的增加。</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五、财政拨款支出决算情况说明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财政拨款支出决算反映的是一般公共预算、政府性基金预算和国有资本经营预算财政拨款支出的总体情况，既包括使用本年从本级财政取得的拨款发生的支出，也包括使用上年度财政拨款结转和结余资金发生的支出。江苏省立新农场2020年度财政拨款支出1,601.18万元，占本年支出合计的97.52%。江苏省立新农场2020年度财政拨款支出年初预算为1,568.76万元，支出决算为1,601.18万元，完成年初预算的102.07%。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（一）社会保障和就业支出（类）</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社会福利（款）社会福利事业单位（项）。年初预算为1,202.15万元，支出决算为1,601.18万元，完成年初预算的133.19%，决算数大于预算数的主要原因增加了在职人员追加性绩效工资和补发退休人员的工资。</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六、财政拨款基本支出决算情况说明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江苏省立新农场2020年度财政拨款基本支出1,579.53万元，其中：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一）人员经费1,458.69万元。主要包括：基本工资、津贴补贴、绩效工资、机关事业单位基本养老保险缴费、职业年金缴费、其他社会保障缴费、住房公积金、医疗费、其他工资福利支出、退休费、抚恤金、生活补助、奖励金、其他对个人和家庭的补助。</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（二）公用经费120.84万元。主要包括：办公费、手续费、水费、电费、邮电费、物业管理费、差旅费、委托业务费、工会经费、税金及附加费用、其他商品和服务支出。</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七、一般公共预算财政拨款支出决算情况说明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一般公共预算财政拨款支出决算反映的是一般公共预算财政拨款支出的总体情况，既包括使用本年从本级财政取得的一般公共预算财政拨款发生的支出，也包括使用上年度一般公共预算财政拨款结转和结余资金发生的支出。江苏省立新农场2020年度一般公共预算财政拨款支出1,601.18万元，与上年相比增加63.16万元，增长4.11%。主要原因是办公费、物业管理费、工会经费和抚恤金增加。</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八、一般公共预算财政拨款基本支出决算情况说明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江苏省立新农场2020年度一般公共预算财政拨款基本支出1,579.53万元，其中：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一）人员经费1,458.69万元。主要包括：基本工资、津贴补贴、绩效工资、机关事业单位基本养老保险缴费、职业年金缴费、其他社会保障缴费、住房公积金、医疗费、其他工资福利支出、退休费、抚恤金、生活补助、奖励金、其他对个人和家庭的补助。</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（二）公用经费120.84万元。主要包括：办公费、手续费、水费、电费、邮电费、物业管理费、差旅费、委托业务费、工会经费、税金及附加费用、其他商品和服务支出。</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九、一般公共预算财政拨款“三公”经费、会议费、培训费支出情况说明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江苏省立新农场2020年度一般公共预算拨款安排的“三公”经费决算支出中，因公出国（境）费支出0万元，占“三公”经费的0%；公务用车购置及运行维护费支出0万元，占“三公”经费的0%；公务接待费支出0万元，占“三公”经费的0%。具体情况如下：</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1．因公出国（境）费决算支出0万元，年初预算数为0万元，无法计算完成比率，与上年决算数相同，与本年预算数相同，全年使用一般公共预算拨款支出安排的出国（境）团组0个，累计0人次。</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2．公务用车购置及运行维护费支出0万元。其中：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（1）公务用车购置决算支出0万元，年初预算数为0万元，无法计算完成比率，与上年决算数相同，与本年预算数相同。本年度使用一般公共预算拨款购置公务用车0辆。</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（2）公务用车运行维护费决算支出0万元，年初预算数为0万元，无法计算完成比率，与上年决算数相同，与本年预算数相同。2020年度使用一般公共预算拨款开支运行维护费的公务用车保有量0辆。</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3．公务接待费0万元，年初预算数为0万元，无法计算完成比率，与上年决算数相同，与本年预算数相同，其中：国内公务接待支出0万元，接待0批次，0人次国（境）外公务接待支出0万元，接待0批次，0人次。</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江苏省立新农场2020年度一般公共预算拨款安排的会议费决算支出0万元，年初预算数为0万元，无法计算完成比率，与上年决算数相同，与本年预算数相同，2020年度全年召开会议0个，参加会议0人次。</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江苏省立新农场2020年度一般公共预算拨款安排的培训费决算支出0万元，年初预算数为0万元，无法计算完成比率，与上年决算数相同，与本年预算数相同，2020年度全年组织培训0个，组织培训0人次。</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十、政府性基金预算财政拨款收入支出决算情况说明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江苏省立新农场2020年度政府性基金预算财政拨款年初结转和结余0万元，本年收入决算0万元，本年支出决算0万元，年末结转和结余0万元。</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十一、一般公共预算机关运行经费支出决算情况说明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2020年度本单位机关运行经费支出0万元，与上年决算数相同。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十二、政府采购支出决算情况说明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2020年度政府采购支出总额12.31万元，其中：政府采购货物支出0万元、政府采购工程支出12.31万元、政府采购服务支出0万元。授予中小企业合同金额12.31万元，占政府采购支出总额的100.00%，其中：授予小微企业合同金额12.31万元，占政府采购支出总额的100%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十三、国有资产占用情况说明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本单位共有车辆1辆，其中，副部（省）级及以上领导用车0辆、主要领导干部用车0辆、机要通信用车0辆、应急保障用车0辆、执法执勤用车0辆、特种专业用车0辆、离退休干部用车0辆，其他用车1辆，其他用车主要是业务用车;单价50万元（含）以上的通用设备0台（套），单价100万元（含）以上的专用设备0台（套）。</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十四、预算绩效评价工作开展情况</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2020年度，本单位共0个项目开展了财政重点绩效评价，涉及财政性资金合计0万元；本单位未开展财政整体支出重点绩效评价，涉及财政性资金0万元；本单位共0个项目开展了单位绩效自评，涉及财政性资金合计0万元。</w:t>
      </w:r>
    </w:p>
    <w:p>
      <w:pPr>
        <w:pStyle w:val="8"/>
        <w:spacing w:line="235" w:lineRule="auto"/>
        <w:ind w:left="669" w:leftChars="300" w:right="2414" w:hanging="9" w:firstLineChars="0"/>
        <w:jc w:val="both"/>
        <w:rPr>
          <w:rFonts w:hint="eastAsia" w:ascii="仿宋" w:hAnsi="仿宋" w:eastAsia="仿宋" w:cs="仿宋"/>
        </w:rPr>
        <w:sectPr>
          <w:footerReference r:id="rId19" w:type="default"/>
          <w:pgSz w:w="11906" w:h="16838"/>
          <w:pgMar w:top="1580" w:right="700" w:bottom="770" w:left="1020" w:header="283"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p>
    <w:p>
      <w:pPr>
        <w:pStyle w:val="8"/>
        <w:tabs>
          <w:tab w:val="left" w:pos="3864"/>
          <w:tab w:val="left" w:pos="6248"/>
          <w:tab w:val="left" w:pos="7386"/>
        </w:tabs>
        <w:spacing w:before="1" w:after="0" w:line="336" w:lineRule="auto"/>
        <w:ind w:left="348" w:right="420" w:firstLine="640"/>
        <w:jc w:val="both"/>
        <w:rPr>
          <w:rFonts w:hint="eastAsia" w:ascii="仿宋" w:hAnsi="仿宋" w:eastAsia="仿宋" w:cs="仿宋"/>
          <w:lang w:val="en-US" w:eastAsia="zh-CN"/>
        </w:rPr>
        <w:sectPr>
          <w:footerReference r:id="rId20" w:type="default"/>
          <w:pgSz w:w="11906" w:h="16838"/>
          <w:pgMar w:top="1580" w:right="820" w:bottom="770" w:left="90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p>
      <w:pPr>
        <w:pStyle w:val="8"/>
        <w:tabs>
          <w:tab w:val="left" w:pos="3864"/>
          <w:tab w:val="left" w:pos="6248"/>
          <w:tab w:val="left" w:pos="7386"/>
        </w:tabs>
        <w:spacing w:before="0" w:after="0" w:line="240" w:lineRule="auto"/>
        <w:ind w:left="0" w:right="0" w:firstLine="0"/>
        <w:jc w:val="center"/>
        <w:rPr>
          <w:rFonts w:hint="eastAsia" w:ascii="仿宋" w:hAnsi="仿宋" w:eastAsia="仿宋" w:cs="仿宋"/>
          <w:b/>
          <w:bCs/>
          <w:sz w:val="36"/>
          <w:szCs w:val="36"/>
        </w:rPr>
      </w:pPr>
      <w:r>
        <w:rPr>
          <w:rFonts w:hint="eastAsia" w:ascii="仿宋" w:hAnsi="仿宋" w:eastAsia="仿宋" w:cs="仿宋"/>
          <w:b/>
          <w:bCs/>
          <w:sz w:val="36"/>
          <w:szCs w:val="36"/>
        </w:rPr>
        <w:t>第四部分 名词解释</w:t>
      </w:r>
    </w:p>
    <w:p>
      <w:pPr>
        <w:pStyle w:val="8"/>
        <w:tabs>
          <w:tab w:val="left" w:pos="3864"/>
          <w:tab w:val="left" w:pos="6248"/>
          <w:tab w:val="left" w:pos="7386"/>
        </w:tabs>
        <w:spacing w:before="0" w:after="0" w:line="240" w:lineRule="auto"/>
        <w:ind w:left="440" w:leftChars="200" w:right="0" w:firstLine="659" w:firstLineChars="206"/>
        <w:jc w:val="both"/>
        <w:rPr>
          <w:rFonts w:hint="eastAsia" w:ascii="仿宋" w:hAnsi="仿宋" w:eastAsia="仿宋" w:cs="仿宋"/>
        </w:rPr>
      </w:pP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一、财政拨款收入</w:t>
      </w:r>
      <w:r>
        <w:rPr>
          <w:rFonts w:ascii="仿宋" w:hAnsi="仿宋" w:eastAsia="仿宋" w:cs="仿宋"/>
          <w:b/>
        </w:rPr>
        <w:t>：</w:t>
      </w:r>
      <w:r>
        <w:rPr>
          <w:rFonts w:hint="eastAsia" w:ascii="仿宋" w:hAnsi="仿宋" w:eastAsia="仿宋" w:cs="仿宋"/>
        </w:rPr>
        <w:t>指单位本年度从同级财政部门取得的各类财政拨款。</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二、上级补助收入</w:t>
      </w:r>
      <w:r>
        <w:rPr>
          <w:rFonts w:ascii="仿宋" w:hAnsi="仿宋" w:eastAsia="仿宋" w:cs="仿宋"/>
          <w:b/>
        </w:rPr>
        <w:t>：</w:t>
      </w:r>
      <w:r>
        <w:rPr>
          <w:rFonts w:hint="eastAsia" w:ascii="仿宋" w:hAnsi="仿宋" w:eastAsia="仿宋" w:cs="仿宋"/>
        </w:rPr>
        <w:t>指事业单位从主管部门和上级单位取得的非财政补助收入。</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三、事业收入</w:t>
      </w:r>
      <w:r>
        <w:rPr>
          <w:rFonts w:ascii="仿宋" w:hAnsi="仿宋" w:eastAsia="仿宋" w:cs="仿宋"/>
          <w:b/>
        </w:rPr>
        <w:t>：</w:t>
      </w:r>
      <w:r>
        <w:rPr>
          <w:rFonts w:hint="eastAsia" w:ascii="仿宋" w:hAnsi="仿宋" w:eastAsia="仿宋" w:cs="仿宋"/>
        </w:rPr>
        <w:t>指事业单位开展专业业务活动及其辅助活动取得的收入，事业单位收到的财政专户实际核拨的教育收费等资金在此反映。</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四、经营收入</w:t>
      </w:r>
      <w:r>
        <w:rPr>
          <w:rFonts w:ascii="仿宋" w:hAnsi="仿宋" w:eastAsia="仿宋" w:cs="仿宋"/>
          <w:b/>
        </w:rPr>
        <w:t>：</w:t>
      </w:r>
      <w:r>
        <w:rPr>
          <w:rFonts w:hint="eastAsia" w:ascii="仿宋" w:hAnsi="仿宋" w:eastAsia="仿宋" w:cs="仿宋"/>
        </w:rPr>
        <w:t>指事业单位在专业业务活动及其辅助活动之外开展非独立核算经营活动取得的收入。</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五、附属单位上缴收入</w:t>
      </w:r>
      <w:r>
        <w:rPr>
          <w:rFonts w:ascii="仿宋" w:hAnsi="仿宋" w:eastAsia="仿宋" w:cs="仿宋"/>
          <w:b/>
        </w:rPr>
        <w:t>：</w:t>
      </w:r>
      <w:r>
        <w:rPr>
          <w:rFonts w:hint="eastAsia" w:ascii="仿宋" w:hAnsi="仿宋" w:eastAsia="仿宋" w:cs="仿宋"/>
        </w:rPr>
        <w:t>指事业单位附属独立核算单位按照有关规定上缴的收入。</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六、其他收入</w:t>
      </w:r>
      <w:r>
        <w:rPr>
          <w:rFonts w:ascii="仿宋" w:hAnsi="仿宋" w:eastAsia="仿宋" w:cs="仿宋"/>
          <w:b/>
        </w:rPr>
        <w:t>：</w:t>
      </w:r>
      <w:r>
        <w:rPr>
          <w:rFonts w:hint="eastAsia" w:ascii="仿宋" w:hAnsi="仿宋" w:eastAsia="仿宋" w:cs="仿宋"/>
        </w:rPr>
        <w:t>指单位取得的除上述“财政拨款收入”、“事业收入”、“经营收入”等以外的各项收入。</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七、使用非财政拨款结余</w:t>
      </w:r>
      <w:r>
        <w:rPr>
          <w:rFonts w:ascii="仿宋" w:hAnsi="仿宋" w:eastAsia="仿宋" w:cs="仿宋"/>
          <w:b/>
        </w:rPr>
        <w:t>：</w:t>
      </w:r>
      <w:r>
        <w:rPr>
          <w:rFonts w:hint="eastAsia" w:ascii="仿宋" w:hAnsi="仿宋" w:eastAsia="仿宋" w:cs="仿宋"/>
        </w:rPr>
        <w:t>指事业单位使用非财政拨款结余（原事业基金）弥补当年收支差额的数额。</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八、年初结转和结余</w:t>
      </w:r>
      <w:r>
        <w:rPr>
          <w:rFonts w:ascii="仿宋" w:hAnsi="仿宋" w:eastAsia="仿宋" w:cs="仿宋"/>
          <w:b/>
        </w:rPr>
        <w:t>：</w:t>
      </w:r>
      <w:r>
        <w:rPr>
          <w:rFonts w:hint="eastAsia" w:ascii="仿宋" w:hAnsi="仿宋" w:eastAsia="仿宋" w:cs="仿宋"/>
        </w:rPr>
        <w:t>指单位上年结转本年使用的基本支出结转、项目支出结转和结余和经营结余。</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九、结余分配</w:t>
      </w:r>
      <w:r>
        <w:rPr>
          <w:rFonts w:ascii="仿宋" w:hAnsi="仿宋" w:eastAsia="仿宋" w:cs="仿宋"/>
          <w:b/>
        </w:rPr>
        <w:t>：</w:t>
      </w:r>
      <w:r>
        <w:rPr>
          <w:rFonts w:hint="eastAsia" w:ascii="仿宋" w:hAnsi="仿宋" w:eastAsia="仿宋" w:cs="仿宋"/>
        </w:rPr>
        <w:t>指事业单位按规定对非财政拨款结余资金提取的专用基金、缴纳的所得税和转入非财政拨款结余等。</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十、年末结转和结余资金</w:t>
      </w:r>
      <w:r>
        <w:rPr>
          <w:rFonts w:ascii="仿宋" w:hAnsi="仿宋" w:eastAsia="仿宋" w:cs="仿宋"/>
          <w:b/>
        </w:rPr>
        <w:t>：</w:t>
      </w:r>
      <w:r>
        <w:rPr>
          <w:rFonts w:hint="eastAsia" w:ascii="仿宋" w:hAnsi="仿宋" w:eastAsia="仿宋" w:cs="仿宋"/>
        </w:rPr>
        <w:t>指本年度或以前年度预算安排、因客观条件发生变化无法按原计划实施，需要延迟到以后年度按有关规定继续使用的资金。</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十一、基本支出</w:t>
      </w:r>
      <w:r>
        <w:rPr>
          <w:rFonts w:ascii="仿宋" w:hAnsi="仿宋" w:eastAsia="仿宋" w:cs="仿宋"/>
          <w:b/>
        </w:rPr>
        <w:t>：</w:t>
      </w:r>
      <w:r>
        <w:rPr>
          <w:rFonts w:hint="eastAsia" w:ascii="仿宋" w:hAnsi="仿宋" w:eastAsia="仿宋" w:cs="仿宋"/>
        </w:rPr>
        <w:t>指为保障机构正常运转、完成日常工作任务而发生的支出，包括人员经费和公用经费。</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十二、项目支出</w:t>
      </w:r>
      <w:r>
        <w:rPr>
          <w:rFonts w:ascii="仿宋" w:hAnsi="仿宋" w:eastAsia="仿宋" w:cs="仿宋"/>
          <w:b/>
        </w:rPr>
        <w:t>：</w:t>
      </w:r>
      <w:r>
        <w:rPr>
          <w:rFonts w:hint="eastAsia" w:ascii="仿宋" w:hAnsi="仿宋" w:eastAsia="仿宋" w:cs="仿宋"/>
        </w:rPr>
        <w:t>指在为完成特定的工作任务和事业发展目标所发生的支出。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十三、上缴上级支出</w:t>
      </w:r>
      <w:r>
        <w:rPr>
          <w:rFonts w:ascii="仿宋" w:hAnsi="仿宋" w:eastAsia="仿宋" w:cs="仿宋"/>
          <w:b/>
        </w:rPr>
        <w:t>：</w:t>
      </w:r>
      <w:r>
        <w:rPr>
          <w:rFonts w:hint="eastAsia" w:ascii="仿宋" w:hAnsi="仿宋" w:eastAsia="仿宋" w:cs="仿宋"/>
        </w:rPr>
        <w:t>指事业单位按照财政部门和主管部门的规定上缴上级单位的支出。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十四、经营支出</w:t>
      </w:r>
      <w:r>
        <w:rPr>
          <w:rFonts w:ascii="仿宋" w:hAnsi="仿宋" w:eastAsia="仿宋" w:cs="仿宋"/>
          <w:b/>
        </w:rPr>
        <w:t>：</w:t>
      </w:r>
      <w:r>
        <w:rPr>
          <w:rFonts w:hint="eastAsia" w:ascii="仿宋" w:hAnsi="仿宋" w:eastAsia="仿宋" w:cs="仿宋"/>
        </w:rPr>
        <w:t>指事业单位在专业业务活动及其辅助活动之外开展非独立核算经营活动发生的支出。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十五、对附属单位补助支出</w:t>
      </w:r>
      <w:r>
        <w:rPr>
          <w:rFonts w:ascii="仿宋" w:hAnsi="仿宋" w:eastAsia="仿宋" w:cs="仿宋"/>
          <w:b/>
        </w:rPr>
        <w:t>：</w:t>
      </w:r>
      <w:r>
        <w:rPr>
          <w:rFonts w:hint="eastAsia" w:ascii="仿宋" w:hAnsi="仿宋" w:eastAsia="仿宋" w:cs="仿宋"/>
        </w:rPr>
        <w:t>指事业单位用财政拨款收入之外的收入对附属单位补助发生的支出。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十六、“三公”经费</w:t>
      </w:r>
      <w:r>
        <w:rPr>
          <w:rFonts w:ascii="仿宋" w:hAnsi="仿宋" w:eastAsia="仿宋" w:cs="仿宋"/>
          <w:b/>
        </w:rPr>
        <w:t>：</w:t>
      </w:r>
      <w:r>
        <w:rPr>
          <w:rFonts w:hint="eastAsia" w:ascii="仿宋" w:hAnsi="仿宋" w:eastAsia="仿宋" w:cs="仿宋"/>
        </w:rPr>
        <w:t>指单位用一般公共预算财政拨款安排的因公出国（境）费、公务用车购置及运行维护费和公务接待费。其中，因公出国（境）费反映单位公务出国（境）的国际旅费、国外城市间交通费、住宿费、伙食费、培训费、公杂费等支出；公务用车购置及运行维护费反映单位公务用车购置支出（含车辆购置税、牌照费）以及按规定保留的公务用车燃料费、维修费、过路过桥费、保险费、安全奖励费用等支出；公务接待费反映单位按规定开支的各类公务接待（含外宾接待）费用。</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十七、机关运行经费</w:t>
      </w:r>
      <w:r>
        <w:rPr>
          <w:rFonts w:ascii="仿宋" w:hAnsi="仿宋" w:eastAsia="仿宋" w:cs="仿宋"/>
          <w:b/>
        </w:rPr>
        <w:t>：</w:t>
      </w:r>
      <w:r>
        <w:rPr>
          <w:rFonts w:hint="eastAsia" w:ascii="仿宋" w:hAnsi="仿宋" w:eastAsia="仿宋" w:cs="仿宋"/>
        </w:rPr>
        <w:t>指行政单位（含参照公务员法管理的事业单位）使用一般公共预算安排的基本支出中的公用经费支出，包括办公及印刷费、邮电费、差旅费、会议费、福利费、日常维修费、专用材料及一般设备购置费、办公用房水电费、办公用房取暖费、办公用房物业管理费、公务用车运行维护费及其他费用。</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十八、社会保障和就业支出(类)社会福利(款)社会福利事业单位(项)</w:t>
      </w:r>
      <w:r>
        <w:rPr>
          <w:rFonts w:ascii="仿宋" w:hAnsi="仿宋" w:eastAsia="仿宋" w:cs="仿宋"/>
          <w:b/>
        </w:rPr>
        <w:t>：</w:t>
      </w:r>
      <w:r>
        <w:rPr>
          <w:rFonts w:hint="eastAsia" w:ascii="仿宋" w:hAnsi="仿宋" w:eastAsia="仿宋" w:cs="仿宋"/>
        </w:rPr>
        <w:t>反映民政部门举办的社会福利事业单位的支出，以及对集体社会福利事业单位的补助费。</w:t>
      </w:r>
    </w:p>
    <w:sectPr>
      <w:type w:val="continuous"/>
      <w:pgSz w:w="11906" w:h="16838"/>
      <w:pgMar w:top="1580" w:right="820" w:bottom="770" w:left="900" w:header="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Arial Unicode MS">
    <w:panose1 w:val="020B0604020202020204"/>
    <w:charset w:val="86"/>
    <w:family w:val="roman"/>
    <w:pitch w:val="default"/>
    <w:sig w:usb0="FFFFFFFF" w:usb1="E9FFFFFF" w:usb2="0000003F" w:usb3="00000000" w:csb0="603F01FF" w:csb1="FFFF0000"/>
  </w:font>
  <w:font w:name="Liberation Sans">
    <w:altName w:val="宋体"/>
    <w:panose1 w:val="020B0604020202020204"/>
    <w:charset w:val="86"/>
    <w:family w:val="roman"/>
    <w:pitch w:val="default"/>
    <w:sig w:usb0="00000000" w:usb1="00000000" w:usb2="00000021" w:usb3="00000000" w:csb0="600001BF" w:csb1="DFF70000"/>
  </w:font>
  <w:font w:name="Liberation Mono">
    <w:altName w:val="宋体"/>
    <w:panose1 w:val="02070409020205020404"/>
    <w:charset w:val="86"/>
    <w:family w:val="roman"/>
    <w:pitch w:val="default"/>
    <w:sig w:usb0="00000000" w:usb1="00000000" w:usb2="00000001" w:usb3="00000000" w:csb0="600001BF" w:csb1="DFF70000"/>
  </w:font>
  <w:font w:name="新宋体">
    <w:panose1 w:val="02010609030101010101"/>
    <w:charset w:val="86"/>
    <w:family w:val="auto"/>
    <w:pitch w:val="default"/>
    <w:sig w:usb0="00000003" w:usb1="288F0000" w:usb2="00000006" w:usb3="00000000" w:csb0="00040001" w:csb1="00000000"/>
  </w:font>
  <w:font w:name="仿宋">
    <w:panose1 w:val="02010609060101010101"/>
    <w:charset w:val="86"/>
    <w:family w:val="auto"/>
    <w:pitch w:val="default"/>
    <w:sig w:usb0="800002BF" w:usb1="38CF7CFA" w:usb2="00000016" w:usb3="00000000" w:csb0="00040001" w:csb1="00000000"/>
  </w:font>
  <w:font w:name="华文仿宋">
    <w:panose1 w:val="02010600040101010101"/>
    <w:charset w:val="86"/>
    <w:family w:val="roman"/>
    <w:pitch w:val="default"/>
    <w:sig w:usb0="00000287" w:usb1="080F0000" w:usb2="00000000" w:usb3="00000000" w:csb0="0004009F" w:csb1="DFD7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rPr>
        <w:rFonts w:hint="eastAsia" w:ascii="黑体" w:hAnsi="黑体" w:eastAsia="黑体" w:cs="黑体"/>
      </w:rPr>
    </w:pPr>
    <w:r>
      <w:rPr>
        <w:rFonts w:hint="eastAsia" w:ascii="黑体" w:hAnsi="黑体" w:eastAsia="黑体" w:cs="黑体"/>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wps:txbx>
                    <wps:bodyPr wrap="none" lIns="0" tIns="0" rIns="0" bIns="0" upright="0">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zql5&#10;uc8AAAAFAQAADwAAAAAAAAABACAAAAAiAAAAZHJzL2Rvd25yZXYueG1sUEsBAhQAFAAAAAgAh07i&#10;QED5jvy5AQAAVwMAAA4AAAAAAAAAAQAgAAAAHgEAAGRycy9lMm9Eb2MueG1sUEsFBgAAAAAGAAYA&#10;WQEAAEkFAAAAAA==&#10;">
              <v:fill on="f" focussize="0,0"/>
              <v:stroke on="f"/>
              <v:imagedata o:title=""/>
              <o:lock v:ext="edit" aspectratio="f"/>
              <v:textbox inset="0mm,0mm,0mm,0mm" style="mso-fit-shape-to-text:t;">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03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11</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2"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DQcmF+ugEAAFgDAAAOAAAAAAAAAAEAIAAAAB4BAABkcnMvZTJvRG9jLnhtbFBLBQYAAAAABgAG&#10;AFkBAABKBQ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11</w:t>
                    </w:r>
                    <w:r>
                      <w:rPr>
                        <w:rFonts w:hint="eastAsia"/>
                        <w:lang w:eastAsia="zh-CN"/>
                      </w:rP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03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12</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3"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CdQmwAugEAAFgDAAAOAAAAAAAAAAEAIAAAAB4BAABkcnMvZTJvRG9jLnhtbFBLBQYAAAAABgAG&#10;AFkBAABKBQ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12</w:t>
                    </w:r>
                    <w:r>
                      <w:rPr>
                        <w:rFonts w:hint="eastAsia"/>
                        <w:lang w:eastAsia="zh-CN"/>
                      </w:rP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03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13</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4"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zql5&#10;uc8AAAAFAQAADwAAAAAAAAABACAAAAAiAAAAZHJzL2Rvd25yZXYueG1sUEsBAhQAFAAAAAgAh07i&#10;QKTZIrm5AQAAWAMAAA4AAAAAAAAAAQAgAAAAHgEAAGRycy9lMm9Eb2MueG1sUEsFBgAAAAAGAAYA&#10;WQEAAEk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13</w:t>
                    </w:r>
                    <w:r>
                      <w:rPr>
                        <w:rFonts w:hint="eastAsia"/>
                        <w:lang w:eastAsia="zh-CN"/>
                      </w:rP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03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14</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5"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zql5&#10;uc8AAAAFAQAADwAAAAAAAAABACAAAAAiAAAAZHJzL2Rvd25yZXYueG1sUEsBAhQAFAAAAAgAh07i&#10;QG6/1sC5AQAAWAMAAA4AAAAAAAAAAQAgAAAAHgEAAGRycy9lMm9Eb2MueG1sUEsFBgAAAAAGAAYA&#10;WQEAAEk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14</w:t>
                    </w:r>
                    <w:r>
                      <w:rPr>
                        <w:rFonts w:hint="eastAsia"/>
                        <w:lang w:eastAsia="zh-CN"/>
                      </w:rP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17" name="文本框 103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15</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C3QjNNugEAAFgDAAAOAAAAAAAAAAEAIAAAAB4BAABkcnMvZTJvRG9jLnhtbFBLBQYAAAAABgAG&#10;AFkBAABKBQ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15</w:t>
                    </w:r>
                    <w:r>
                      <w:rPr>
                        <w:rFonts w:hint="eastAsia"/>
                        <w:lang w:eastAsia="zh-CN"/>
                      </w:rPr>
                      <w:fldChar w:fldCharType="end"/>
                    </w: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rPr>
        <w:rFonts w:hint="eastAsia" w:ascii="黑体" w:hAnsi="黑体" w:eastAsia="黑体" w:cs="黑体"/>
      </w:rPr>
    </w:pPr>
    <w:r>
      <w:rPr>
        <w:rFonts w:hint="eastAsia" w:ascii="黑体" w:hAnsi="黑体" w:eastAsia="黑体" w:cs="黑体"/>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104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wps:txbx>
                    <wps:bodyPr wrap="none" lIns="0" tIns="0" rIns="0" bIns="0" upright="0">
                      <a:spAutoFit/>
                    </wps:bodyPr>
                  </wps:wsp>
                </a:graphicData>
              </a:graphic>
            </wp:anchor>
          </w:drawing>
        </mc:Choice>
        <mc:Fallback>
          <w:pict>
            <v:shape id="文本框 104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ClP+zLugEAAFcDAAAOAAAAAAAAAAEAIAAAAB4BAABkcnMvZTJvRG9jLnhtbFBLBQYAAAAABgAG&#10;AFkBAABKBQAAAAA=&#10;">
              <v:fill on="f" focussize="0,0"/>
              <v:stroke on="f"/>
              <v:imagedata o:title=""/>
              <o:lock v:ext="edit" aspectratio="f"/>
              <v:textbox inset="0mm,0mm,0mm,0mm" style="mso-fit-shape-to-text:t;">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71552" behindDoc="0" locked="0" layoutInCell="1" allowOverlap="1">
              <wp:simplePos x="0" y="0"/>
              <wp:positionH relativeFrom="margin">
                <wp:align>center</wp:align>
              </wp:positionH>
              <wp:positionV relativeFrom="paragraph">
                <wp:posOffset>0</wp:posOffset>
              </wp:positionV>
              <wp:extent cx="1828800" cy="1828800"/>
              <wp:effectExtent l="0" t="0" r="0" b="0"/>
              <wp:wrapNone/>
              <wp:docPr id="18" name="文本框 10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16</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8" o:spid="_x0000_s1026" o:spt="202" type="#_x0000_t202" style="position:absolute;left:0pt;margin-top:0pt;height:144pt;width:144pt;mso-position-horizontal:center;mso-position-horizontal-relative:margin;mso-wrap-style:none;z-index:25167155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DOqXm5&#10;zwAAAAUBAAAPAAAAAAAAAAEAIAAAACIAAABkcnMvZG93bnJldi54bWxQSwECFAAUAAAACACHTuJA&#10;HB5OdrgBAABYAwAADgAAAAAAAAABACAAAAAeAQAAZHJzL2Uyb0RvYy54bWxQSwUGAAAAAAYABgBZ&#10;AQAASAU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16</w:t>
                    </w:r>
                    <w:r>
                      <w:rPr>
                        <w:rFonts w:hint="eastAsia"/>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rPr>
        <w:rFonts w:hint="eastAsia" w:ascii="黑体" w:hAnsi="黑体" w:eastAsia="黑体" w:cs="黑体"/>
      </w:rPr>
    </w:pPr>
    <w:r>
      <w:rPr>
        <w:rFonts w:hint="eastAsia" w:ascii="黑体" w:hAnsi="黑体" w:eastAsia="黑体" w:cs="黑体"/>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104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wps:txbx>
                    <wps:bodyPr wrap="none" lIns="0" tIns="0" rIns="0" bIns="0" upright="0">
                      <a:spAutoFit/>
                    </wps:bodyPr>
                  </wps:wsp>
                </a:graphicData>
              </a:graphic>
            </wp:anchor>
          </w:drawing>
        </mc:Choice>
        <mc:Fallback>
          <w:pict>
            <v:shape id="文本框 1041"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DEGyNLugEAAFcDAAAOAAAAAAAAAAEAIAAAAB4BAABkcnMvZTJvRG9jLnhtbFBLBQYAAAAABgAG&#10;AFkBAABKBQAAAAA=&#10;">
              <v:fill on="f" focussize="0,0"/>
              <v:stroke on="f"/>
              <v:imagedata o:title=""/>
              <o:lock v:ext="edit" aspectratio="f"/>
              <v:textbox inset="0mm,0mm,0mm,0mm" style="mso-fit-shape-to-text:t;">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103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9"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CRgqf5ugEAAFcDAAAOAAAAAAAAAAEAIAAAAB4BAABkcnMvZTJvRG9jLnhtbFBLBQYAAAAABgAG&#10;AFkBAABKBQ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104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5</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40"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AOfdcyugEAAFcDAAAOAAAAAAAAAAEAIAAAAB4BAABkcnMvZTJvRG9jLnhtbFBLBQYAAAAABgAG&#10;AFkBAABKBQ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5</w:t>
                    </w:r>
                    <w:r>
                      <w:rPr>
                        <w:rFonts w:hint="eastAsia"/>
                        <w:lang w:eastAsia="zh-CN"/>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6</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BMWPedugEAAFcDAAAOAAAAAAAAAAEAIAAAAB4BAABkcnMvZTJvRG9jLnhtbFBLBQYAAAAABgAG&#10;AFkBAABKBQ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6</w:t>
                    </w:r>
                    <w:r>
                      <w:rPr>
                        <w:rFonts w:hint="eastAsia"/>
                        <w:lang w:eastAsia="zh-CN"/>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102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7</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28"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zql5&#10;uc8AAAAFAQAADwAAAAAAAAABACAAAAAiAAAAZHJzL2Rvd25yZXYueG1sUEsBAhQAFAAAAAgAh07i&#10;QLUO7025AQAAVwMAAA4AAAAAAAAAAQAgAAAAHgEAAGRycy9lMm9Eb2MueG1sUEsFBgAAAAAGAAYA&#10;WQEAAEk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7</w:t>
                    </w:r>
                    <w:r>
                      <w:rPr>
                        <w:rFonts w:hint="eastAsia"/>
                        <w:lang w:eastAsia="zh-CN"/>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2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8</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29"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DOqXm5&#10;zwAAAAUBAAAPAAAAAAAAAAEAIAAAACIAAABkcnMvZG93bnJldi54bWxQSwECFAAUAAAACACHTuJA&#10;zXshsbgBAABYAwAADgAAAAAAAAABACAAAAAeAQAAZHJzL2Uyb0RvYy54bWxQSwUGAAAAAAYABgBZ&#10;AQAASAU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8</w:t>
                    </w:r>
                    <w:r>
                      <w:rPr>
                        <w:rFonts w:hint="eastAsia"/>
                        <w:lang w:eastAsia="zh-CN"/>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03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9</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0"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DOqXm5&#10;zwAAAAUBAAAPAAAAAAAAAAEAIAAAACIAAABkcnMvZG93bnJldi54bWxQSwECFAAUAAAACACHTuJA&#10;w+lwirgBAABYAwAADgAAAAAAAAABACAAAAAeAQAAZHJzL2Uyb0RvYy54bWxQSwUGAAAAAAYABgBZ&#10;AQAASAU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9</w:t>
                    </w:r>
                    <w:r>
                      <w:rPr>
                        <w:rFonts w:hint="eastAsia"/>
                        <w:lang w:eastAsia="zh-CN"/>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12" name="文本框 103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10</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1"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zql5&#10;uc8AAAAFAQAADwAAAAAAAAABACAAAAAiAAAAZHJzL2Rvd25yZXYueG1sUEsBAhQAFAAAAAgAh07i&#10;QAmPhPO5AQAAWAMAAA4AAAAAAAAAAQAgAAAAHgEAAGRycy9lMm9Eb2MueG1sUEsFBgAAAAAGAAYA&#10;WQEAAEk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10</w:t>
                    </w:r>
                    <w:r>
                      <w:rPr>
                        <w:rFonts w:hint="eastAsia"/>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single" w:color="000000" w:sz="4" w:space="1"/>
      </w:pBdr>
      <w:jc w:val="both"/>
      <w:rPr>
        <w:rFonts w:hint="default" w:eastAsia="Arial Unicode MS"/>
        <w:lang w:val="en-US" w:eastAsia="zh-CN"/>
      </w:rPr>
    </w:pPr>
    <w:r>
      <w:rPr>
        <w:rFonts w:hint="eastAsia"/>
        <w:lang w:val="en-US" w:eastAsia="zh-CN"/>
      </w:rPr>
      <w:t>江苏省立新农场</w:t>
    </w:r>
    <w:r>
      <w:t>2020年度部门决算公开</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none" w:color="auto" w:sz="0" w:space="1"/>
      </w:pBdr>
      <w:jc w:val="both"/>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A63D8E2"/>
    <w:multiLevelType w:val="singleLevel"/>
    <w:tmpl w:val="9A63D8E2"/>
    <w:lvl w:ilvl="0" w:tentative="0">
      <w:start w:val="2"/>
      <w:numFmt w:val="decimal"/>
      <w:lvlText w:val="%1."/>
      <w:lvlJc w:val="left"/>
      <w:pPr>
        <w:tabs>
          <w:tab w:val="left" w:pos="312"/>
        </w:tabs>
        <w:ind w:left="1058" w:leftChars="0" w:firstLine="0" w:firstLineChars="0"/>
      </w:pPr>
    </w:lvl>
  </w:abstractNum>
  <w:abstractNum w:abstractNumId="1">
    <w:nsid w:val="D35CEB36"/>
    <w:multiLevelType w:val="singleLevel"/>
    <w:tmpl w:val="D35CEB36"/>
    <w:lvl w:ilvl="0" w:tentative="0">
      <w:start w:val="2"/>
      <w:numFmt w:val="decimal"/>
      <w:lvlText w:val="%1."/>
      <w:lvlJc w:val="left"/>
      <w:pPr>
        <w:tabs>
          <w:tab w:val="left" w:pos="312"/>
        </w:tabs>
        <w:ind w:left="498" w:leftChars="0" w:firstLine="0" w:firstLineChars="0"/>
      </w:pPr>
    </w:lvl>
  </w:abstractNum>
  <w:abstractNum w:abstractNumId="2">
    <w:nsid w:val="2B7DC955"/>
    <w:multiLevelType w:val="singleLevel"/>
    <w:tmpl w:val="2B7DC955"/>
    <w:lvl w:ilvl="0" w:tentative="0">
      <w:start w:val="2"/>
      <w:numFmt w:val="decimal"/>
      <w:lvlText w:val="%1."/>
      <w:lvlJc w:val="left"/>
      <w:pPr>
        <w:tabs>
          <w:tab w:val="left" w:pos="312"/>
        </w:tabs>
        <w:ind w:left="669" w:leftChars="0" w:firstLine="0" w:firstLineChars="0"/>
      </w:pPr>
    </w:lvl>
  </w:abstractNum>
  <w:abstractNum w:abstractNumId="3">
    <w:nsid w:val="325C14DC"/>
    <w:multiLevelType w:val="singleLevel"/>
    <w:tmpl w:val="325C14DC"/>
    <w:lvl w:ilvl="0" w:tentative="0">
      <w:start w:val="2"/>
      <w:numFmt w:val="decimal"/>
      <w:lvlText w:val="%1."/>
      <w:lvlJc w:val="left"/>
      <w:pPr>
        <w:tabs>
          <w:tab w:val="left" w:pos="312"/>
        </w:tabs>
      </w:pPr>
    </w:lvl>
  </w:abstractNum>
  <w:abstractNum w:abstractNumId="4">
    <w:nsid w:val="38CB0B28"/>
    <w:multiLevelType w:val="singleLevel"/>
    <w:tmpl w:val="38CB0B28"/>
    <w:lvl w:ilvl="0" w:tentative="0">
      <w:start w:val="2"/>
      <w:numFmt w:val="decimal"/>
      <w:lvlText w:val="%1."/>
      <w:lvlJc w:val="left"/>
      <w:pPr>
        <w:tabs>
          <w:tab w:val="left" w:pos="312"/>
        </w:tabs>
      </w:pPr>
    </w:lvl>
  </w:abstractNum>
  <w:abstractNum w:abstractNumId="5">
    <w:nsid w:val="471B8B78"/>
    <w:multiLevelType w:val="singleLevel"/>
    <w:tmpl w:val="471B8B78"/>
    <w:lvl w:ilvl="0" w:tentative="0">
      <w:start w:val="2"/>
      <w:numFmt w:val="decimal"/>
      <w:lvlText w:val="%1."/>
      <w:lvlJc w:val="left"/>
      <w:pPr>
        <w:tabs>
          <w:tab w:val="left" w:pos="312"/>
        </w:tabs>
        <w:ind w:left="1197" w:leftChars="0" w:firstLine="0" w:firstLineChars="0"/>
      </w:pPr>
    </w:lvl>
  </w:abstractNum>
  <w:abstractNum w:abstractNumId="6">
    <w:nsid w:val="69700013"/>
    <w:multiLevelType w:val="singleLevel"/>
    <w:tmpl w:val="69700013"/>
    <w:lvl w:ilvl="0" w:tentative="0">
      <w:start w:val="2"/>
      <w:numFmt w:val="decimal"/>
      <w:lvlText w:val="%1."/>
      <w:lvlJc w:val="left"/>
      <w:pPr>
        <w:tabs>
          <w:tab w:val="left" w:pos="312"/>
        </w:tabs>
      </w:pPr>
    </w:lvl>
  </w:abstractNum>
  <w:abstractNum w:abstractNumId="7">
    <w:nsid w:val="73305834"/>
    <w:multiLevelType w:val="singleLevel"/>
    <w:tmpl w:val="73305834"/>
    <w:lvl w:ilvl="0" w:tentative="0">
      <w:start w:val="2"/>
      <w:numFmt w:val="decimal"/>
      <w:lvlText w:val="%1."/>
      <w:lvlJc w:val="left"/>
      <w:pPr>
        <w:tabs>
          <w:tab w:val="left" w:pos="312"/>
        </w:tabs>
      </w:pPr>
      <w:rPr>
        <w:rFonts w:hint="default"/>
      </w:rPr>
    </w:lvl>
  </w:abstractNum>
  <w:num w:numId="1">
    <w:abstractNumId w:val="1"/>
  </w:num>
  <w:num w:numId="2">
    <w:abstractNumId w:val="6"/>
  </w:num>
  <w:num w:numId="3">
    <w:abstractNumId w:val="0"/>
  </w:num>
  <w:num w:numId="4">
    <w:abstractNumId w:val="2"/>
  </w:num>
  <w:num w:numId="5">
    <w:abstractNumId w:val="3"/>
  </w:num>
  <w:num w:numId="6">
    <w:abstractNumId w:val="5"/>
  </w:num>
  <w:num w:numId="7">
    <w:abstractNumId w:val="4"/>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doNotDisplayPageBoundaries w:val="1"/>
  <w:bordersDoNotSurroundHeader w:val="0"/>
  <w:bordersDoNotSurroundFooter w:val="0"/>
  <w:documentProtection w:enforcement="0"/>
  <w:defaultTabStop w:val="0"/>
  <w:autoHyphenation/>
  <w:displayHorizontalDrawingGridEvery w:val="1"/>
  <w:displayVerticalDrawingGridEvery w:val="1"/>
  <w:noPunctuationKerning w:val="1"/>
  <w:characterSpacingControl w:val="doNotCompress"/>
  <w:hdrShapeDefaults>
    <o:shapelayout v:ext="edit">
      <o:idmap v:ext="edit" data="3,4"/>
    </o:shapelayout>
  </w:hdrShapeDefaults>
  <w:compat>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064984"/>
    <w:rsid w:val="00071789"/>
    <w:rsid w:val="000F12AB"/>
    <w:rsid w:val="001C31F9"/>
    <w:rsid w:val="00407CA7"/>
    <w:rsid w:val="00413AD8"/>
    <w:rsid w:val="00671ED7"/>
    <w:rsid w:val="00672164"/>
    <w:rsid w:val="00867423"/>
    <w:rsid w:val="008B5B05"/>
    <w:rsid w:val="009965EA"/>
    <w:rsid w:val="00A6752E"/>
    <w:rsid w:val="00BD7F33"/>
    <w:rsid w:val="00C15920"/>
    <w:rsid w:val="00C82582"/>
    <w:rsid w:val="00FA3233"/>
    <w:rsid w:val="010F1E77"/>
    <w:rsid w:val="01875334"/>
    <w:rsid w:val="018E7014"/>
    <w:rsid w:val="019803DB"/>
    <w:rsid w:val="01C22655"/>
    <w:rsid w:val="01D4677F"/>
    <w:rsid w:val="01F17DF5"/>
    <w:rsid w:val="023277C7"/>
    <w:rsid w:val="02420B21"/>
    <w:rsid w:val="026604FF"/>
    <w:rsid w:val="027F398B"/>
    <w:rsid w:val="02A822D0"/>
    <w:rsid w:val="02B14230"/>
    <w:rsid w:val="02D43672"/>
    <w:rsid w:val="02DD471D"/>
    <w:rsid w:val="02E8449D"/>
    <w:rsid w:val="02F513AC"/>
    <w:rsid w:val="03121471"/>
    <w:rsid w:val="033F3F8A"/>
    <w:rsid w:val="03673847"/>
    <w:rsid w:val="03690F36"/>
    <w:rsid w:val="03793778"/>
    <w:rsid w:val="039F7320"/>
    <w:rsid w:val="03F86EFB"/>
    <w:rsid w:val="04156348"/>
    <w:rsid w:val="044E689B"/>
    <w:rsid w:val="045E5FB7"/>
    <w:rsid w:val="0495610D"/>
    <w:rsid w:val="04DF580C"/>
    <w:rsid w:val="04EA46EB"/>
    <w:rsid w:val="05185546"/>
    <w:rsid w:val="052126A9"/>
    <w:rsid w:val="05247FC3"/>
    <w:rsid w:val="05346113"/>
    <w:rsid w:val="05423E9C"/>
    <w:rsid w:val="05600A24"/>
    <w:rsid w:val="057525F6"/>
    <w:rsid w:val="05843580"/>
    <w:rsid w:val="058C526F"/>
    <w:rsid w:val="05AB4AE4"/>
    <w:rsid w:val="05BD2716"/>
    <w:rsid w:val="05C73A91"/>
    <w:rsid w:val="05DB339C"/>
    <w:rsid w:val="05FE3016"/>
    <w:rsid w:val="06006806"/>
    <w:rsid w:val="060D1C4C"/>
    <w:rsid w:val="061C50DF"/>
    <w:rsid w:val="06542957"/>
    <w:rsid w:val="0681129C"/>
    <w:rsid w:val="0695552F"/>
    <w:rsid w:val="06C87B62"/>
    <w:rsid w:val="072A453E"/>
    <w:rsid w:val="073A470E"/>
    <w:rsid w:val="07520D7A"/>
    <w:rsid w:val="075575FE"/>
    <w:rsid w:val="07580A5A"/>
    <w:rsid w:val="07656047"/>
    <w:rsid w:val="077C711D"/>
    <w:rsid w:val="079361A1"/>
    <w:rsid w:val="07C509DD"/>
    <w:rsid w:val="08031AA7"/>
    <w:rsid w:val="0806186F"/>
    <w:rsid w:val="083B723A"/>
    <w:rsid w:val="08582C83"/>
    <w:rsid w:val="0860441B"/>
    <w:rsid w:val="08913758"/>
    <w:rsid w:val="08A333FC"/>
    <w:rsid w:val="08D342E7"/>
    <w:rsid w:val="08FC0605"/>
    <w:rsid w:val="09165D85"/>
    <w:rsid w:val="096204B4"/>
    <w:rsid w:val="096B0C35"/>
    <w:rsid w:val="09891979"/>
    <w:rsid w:val="098926B4"/>
    <w:rsid w:val="09984875"/>
    <w:rsid w:val="09E82283"/>
    <w:rsid w:val="09EB3C7D"/>
    <w:rsid w:val="09F032D5"/>
    <w:rsid w:val="09F45579"/>
    <w:rsid w:val="09FE0C6E"/>
    <w:rsid w:val="0A112BB9"/>
    <w:rsid w:val="0A1D215F"/>
    <w:rsid w:val="0A2639C8"/>
    <w:rsid w:val="0A3F45FE"/>
    <w:rsid w:val="0A7F08D2"/>
    <w:rsid w:val="0A964BFD"/>
    <w:rsid w:val="0ADA70C2"/>
    <w:rsid w:val="0AFD463B"/>
    <w:rsid w:val="0B05614C"/>
    <w:rsid w:val="0B134992"/>
    <w:rsid w:val="0B160131"/>
    <w:rsid w:val="0B392278"/>
    <w:rsid w:val="0B813D25"/>
    <w:rsid w:val="0B89728A"/>
    <w:rsid w:val="0BAC43D1"/>
    <w:rsid w:val="0BCF6DAD"/>
    <w:rsid w:val="0BF41C52"/>
    <w:rsid w:val="0C047996"/>
    <w:rsid w:val="0C2215AA"/>
    <w:rsid w:val="0C6536DB"/>
    <w:rsid w:val="0C797590"/>
    <w:rsid w:val="0CD230A9"/>
    <w:rsid w:val="0CD65166"/>
    <w:rsid w:val="0CDB2BBC"/>
    <w:rsid w:val="0CE84C0B"/>
    <w:rsid w:val="0CEF2113"/>
    <w:rsid w:val="0CEF2581"/>
    <w:rsid w:val="0D05225F"/>
    <w:rsid w:val="0D261419"/>
    <w:rsid w:val="0D617032"/>
    <w:rsid w:val="0D6C5D61"/>
    <w:rsid w:val="0D760FDB"/>
    <w:rsid w:val="0D7F345D"/>
    <w:rsid w:val="0DAC0D2B"/>
    <w:rsid w:val="0DD06A00"/>
    <w:rsid w:val="0DFC3CDF"/>
    <w:rsid w:val="0DFD772C"/>
    <w:rsid w:val="0DFF5826"/>
    <w:rsid w:val="0E1F1C4F"/>
    <w:rsid w:val="0E27451D"/>
    <w:rsid w:val="0E5E7568"/>
    <w:rsid w:val="0E662847"/>
    <w:rsid w:val="0E94230E"/>
    <w:rsid w:val="0EFE25F0"/>
    <w:rsid w:val="0F807B33"/>
    <w:rsid w:val="0F8F17E6"/>
    <w:rsid w:val="0FB02B15"/>
    <w:rsid w:val="0FB21F29"/>
    <w:rsid w:val="0FB47D1E"/>
    <w:rsid w:val="0FCE598D"/>
    <w:rsid w:val="0FEF37CA"/>
    <w:rsid w:val="100928FC"/>
    <w:rsid w:val="1027035F"/>
    <w:rsid w:val="102A69EF"/>
    <w:rsid w:val="103D6600"/>
    <w:rsid w:val="106204CB"/>
    <w:rsid w:val="10A90FB7"/>
    <w:rsid w:val="11092167"/>
    <w:rsid w:val="110C3973"/>
    <w:rsid w:val="110D47B0"/>
    <w:rsid w:val="11110225"/>
    <w:rsid w:val="111930E1"/>
    <w:rsid w:val="11252430"/>
    <w:rsid w:val="1143676B"/>
    <w:rsid w:val="11471791"/>
    <w:rsid w:val="117C1012"/>
    <w:rsid w:val="11872569"/>
    <w:rsid w:val="11AB09B5"/>
    <w:rsid w:val="11C36B1F"/>
    <w:rsid w:val="11C52DC5"/>
    <w:rsid w:val="11F221C7"/>
    <w:rsid w:val="11F2605E"/>
    <w:rsid w:val="11F724E3"/>
    <w:rsid w:val="122227BF"/>
    <w:rsid w:val="12313173"/>
    <w:rsid w:val="12313682"/>
    <w:rsid w:val="128157F4"/>
    <w:rsid w:val="12B566A2"/>
    <w:rsid w:val="12C448B1"/>
    <w:rsid w:val="12F05187"/>
    <w:rsid w:val="13142710"/>
    <w:rsid w:val="1335650B"/>
    <w:rsid w:val="133E1FA2"/>
    <w:rsid w:val="139377AA"/>
    <w:rsid w:val="13A44407"/>
    <w:rsid w:val="13E2730D"/>
    <w:rsid w:val="13F85ED3"/>
    <w:rsid w:val="140626B0"/>
    <w:rsid w:val="140C350F"/>
    <w:rsid w:val="14207DA2"/>
    <w:rsid w:val="142101C9"/>
    <w:rsid w:val="143164E8"/>
    <w:rsid w:val="14341A45"/>
    <w:rsid w:val="146856DB"/>
    <w:rsid w:val="14933F94"/>
    <w:rsid w:val="14AA0D30"/>
    <w:rsid w:val="14BA3B44"/>
    <w:rsid w:val="1504334D"/>
    <w:rsid w:val="15085477"/>
    <w:rsid w:val="15664CCA"/>
    <w:rsid w:val="159E0364"/>
    <w:rsid w:val="15B93CF7"/>
    <w:rsid w:val="15D36B14"/>
    <w:rsid w:val="16053674"/>
    <w:rsid w:val="16146EAD"/>
    <w:rsid w:val="161A451C"/>
    <w:rsid w:val="161E395E"/>
    <w:rsid w:val="1621543B"/>
    <w:rsid w:val="163E1726"/>
    <w:rsid w:val="167F1A6B"/>
    <w:rsid w:val="16971C37"/>
    <w:rsid w:val="16BE14E7"/>
    <w:rsid w:val="16BE34FA"/>
    <w:rsid w:val="16ED632E"/>
    <w:rsid w:val="1717031D"/>
    <w:rsid w:val="175D47C3"/>
    <w:rsid w:val="17BC2D29"/>
    <w:rsid w:val="1808589E"/>
    <w:rsid w:val="18272F04"/>
    <w:rsid w:val="18473583"/>
    <w:rsid w:val="188B47DF"/>
    <w:rsid w:val="18916DBC"/>
    <w:rsid w:val="18AA3C15"/>
    <w:rsid w:val="18C07826"/>
    <w:rsid w:val="18C77023"/>
    <w:rsid w:val="18FD3C01"/>
    <w:rsid w:val="19195D82"/>
    <w:rsid w:val="194A216C"/>
    <w:rsid w:val="19517451"/>
    <w:rsid w:val="196D1879"/>
    <w:rsid w:val="199D3E22"/>
    <w:rsid w:val="19A676CD"/>
    <w:rsid w:val="19B34CEE"/>
    <w:rsid w:val="19C57B31"/>
    <w:rsid w:val="19CE54E8"/>
    <w:rsid w:val="19DA0E66"/>
    <w:rsid w:val="1A0868DE"/>
    <w:rsid w:val="1A386BB6"/>
    <w:rsid w:val="1A3E0B9C"/>
    <w:rsid w:val="1A641248"/>
    <w:rsid w:val="1A6B178B"/>
    <w:rsid w:val="1AD90120"/>
    <w:rsid w:val="1AEB035A"/>
    <w:rsid w:val="1AF0114F"/>
    <w:rsid w:val="1B136BC2"/>
    <w:rsid w:val="1B1C5890"/>
    <w:rsid w:val="1B363B76"/>
    <w:rsid w:val="1B394ECA"/>
    <w:rsid w:val="1B6F2A95"/>
    <w:rsid w:val="1B7011A6"/>
    <w:rsid w:val="1B894395"/>
    <w:rsid w:val="1BC84BF9"/>
    <w:rsid w:val="1BE008E5"/>
    <w:rsid w:val="1BE426E0"/>
    <w:rsid w:val="1BEF5EDC"/>
    <w:rsid w:val="1BF3045F"/>
    <w:rsid w:val="1C171374"/>
    <w:rsid w:val="1C4928ED"/>
    <w:rsid w:val="1C706707"/>
    <w:rsid w:val="1C8F4549"/>
    <w:rsid w:val="1C9B1094"/>
    <w:rsid w:val="1C9D7829"/>
    <w:rsid w:val="1CA25487"/>
    <w:rsid w:val="1CD53375"/>
    <w:rsid w:val="1CD770E1"/>
    <w:rsid w:val="1CDF3C35"/>
    <w:rsid w:val="1CED64E7"/>
    <w:rsid w:val="1CF655C7"/>
    <w:rsid w:val="1CF70CE3"/>
    <w:rsid w:val="1D0E4D1B"/>
    <w:rsid w:val="1D201166"/>
    <w:rsid w:val="1D5A4782"/>
    <w:rsid w:val="1D623037"/>
    <w:rsid w:val="1D672CB3"/>
    <w:rsid w:val="1D7C0925"/>
    <w:rsid w:val="1D817975"/>
    <w:rsid w:val="1D951979"/>
    <w:rsid w:val="1DAF110E"/>
    <w:rsid w:val="1DB61054"/>
    <w:rsid w:val="1DC94431"/>
    <w:rsid w:val="1E107489"/>
    <w:rsid w:val="1E120047"/>
    <w:rsid w:val="1E2456FC"/>
    <w:rsid w:val="1E387717"/>
    <w:rsid w:val="1E5227F5"/>
    <w:rsid w:val="1E5B1486"/>
    <w:rsid w:val="1E6C2CB1"/>
    <w:rsid w:val="1E86604F"/>
    <w:rsid w:val="1E8B2478"/>
    <w:rsid w:val="1EA55F87"/>
    <w:rsid w:val="1EBB4C20"/>
    <w:rsid w:val="1EC57AB3"/>
    <w:rsid w:val="1ECE40F1"/>
    <w:rsid w:val="1EF93282"/>
    <w:rsid w:val="1EFC05DA"/>
    <w:rsid w:val="1F242409"/>
    <w:rsid w:val="1F342CDC"/>
    <w:rsid w:val="1F5838AB"/>
    <w:rsid w:val="1F721347"/>
    <w:rsid w:val="1F724421"/>
    <w:rsid w:val="1F8B39C7"/>
    <w:rsid w:val="1FA17CC2"/>
    <w:rsid w:val="1FD866E0"/>
    <w:rsid w:val="1FEA282E"/>
    <w:rsid w:val="1FF92872"/>
    <w:rsid w:val="1FFE4976"/>
    <w:rsid w:val="200945DD"/>
    <w:rsid w:val="200B03E4"/>
    <w:rsid w:val="200E293D"/>
    <w:rsid w:val="201802D4"/>
    <w:rsid w:val="20571955"/>
    <w:rsid w:val="20594713"/>
    <w:rsid w:val="20632091"/>
    <w:rsid w:val="20900DEF"/>
    <w:rsid w:val="209B6228"/>
    <w:rsid w:val="20CA3D8E"/>
    <w:rsid w:val="20F544F1"/>
    <w:rsid w:val="2148186B"/>
    <w:rsid w:val="21776D10"/>
    <w:rsid w:val="218F0CEB"/>
    <w:rsid w:val="21EA64FE"/>
    <w:rsid w:val="223F0861"/>
    <w:rsid w:val="227347E3"/>
    <w:rsid w:val="227D4749"/>
    <w:rsid w:val="22B66C67"/>
    <w:rsid w:val="22B96619"/>
    <w:rsid w:val="22C9349D"/>
    <w:rsid w:val="22CF4CB9"/>
    <w:rsid w:val="22E5714F"/>
    <w:rsid w:val="23073234"/>
    <w:rsid w:val="23153D35"/>
    <w:rsid w:val="231859C4"/>
    <w:rsid w:val="233651B2"/>
    <w:rsid w:val="233C5C01"/>
    <w:rsid w:val="23655593"/>
    <w:rsid w:val="23873CA0"/>
    <w:rsid w:val="23A668C2"/>
    <w:rsid w:val="23F81D1C"/>
    <w:rsid w:val="24004EF0"/>
    <w:rsid w:val="24361C71"/>
    <w:rsid w:val="2455798C"/>
    <w:rsid w:val="246E4FE1"/>
    <w:rsid w:val="247771B1"/>
    <w:rsid w:val="24797436"/>
    <w:rsid w:val="24893698"/>
    <w:rsid w:val="248A0DA1"/>
    <w:rsid w:val="248B0DC9"/>
    <w:rsid w:val="24EF440E"/>
    <w:rsid w:val="25191A92"/>
    <w:rsid w:val="25290357"/>
    <w:rsid w:val="253C3B25"/>
    <w:rsid w:val="255F5B0A"/>
    <w:rsid w:val="25664EB1"/>
    <w:rsid w:val="2573629D"/>
    <w:rsid w:val="257B7E43"/>
    <w:rsid w:val="25A7022D"/>
    <w:rsid w:val="25E2513A"/>
    <w:rsid w:val="25F45922"/>
    <w:rsid w:val="25FD2F48"/>
    <w:rsid w:val="262E21CA"/>
    <w:rsid w:val="26713F63"/>
    <w:rsid w:val="26753166"/>
    <w:rsid w:val="267C5A99"/>
    <w:rsid w:val="2682148D"/>
    <w:rsid w:val="268D22B5"/>
    <w:rsid w:val="269240CC"/>
    <w:rsid w:val="269A47B4"/>
    <w:rsid w:val="26EC7F5B"/>
    <w:rsid w:val="27175BDC"/>
    <w:rsid w:val="271E071C"/>
    <w:rsid w:val="272B00CD"/>
    <w:rsid w:val="27381EB7"/>
    <w:rsid w:val="275E5E47"/>
    <w:rsid w:val="27924AA1"/>
    <w:rsid w:val="27962E21"/>
    <w:rsid w:val="279768B3"/>
    <w:rsid w:val="279A19EA"/>
    <w:rsid w:val="27B169B4"/>
    <w:rsid w:val="27B911ED"/>
    <w:rsid w:val="27D27F60"/>
    <w:rsid w:val="27E744FA"/>
    <w:rsid w:val="27F83B89"/>
    <w:rsid w:val="27FE146D"/>
    <w:rsid w:val="283E36E3"/>
    <w:rsid w:val="284675E2"/>
    <w:rsid w:val="284E0B22"/>
    <w:rsid w:val="28543497"/>
    <w:rsid w:val="28630B61"/>
    <w:rsid w:val="286C012F"/>
    <w:rsid w:val="289B5942"/>
    <w:rsid w:val="28B77612"/>
    <w:rsid w:val="28BB465F"/>
    <w:rsid w:val="29012269"/>
    <w:rsid w:val="291451AB"/>
    <w:rsid w:val="29157417"/>
    <w:rsid w:val="29285E0F"/>
    <w:rsid w:val="29505C1F"/>
    <w:rsid w:val="297158AB"/>
    <w:rsid w:val="29807966"/>
    <w:rsid w:val="29C02FCD"/>
    <w:rsid w:val="29C63807"/>
    <w:rsid w:val="29EB45D3"/>
    <w:rsid w:val="2A0312F6"/>
    <w:rsid w:val="2A07685B"/>
    <w:rsid w:val="2A2569D8"/>
    <w:rsid w:val="2A2F7528"/>
    <w:rsid w:val="2A3E46F3"/>
    <w:rsid w:val="2A7975D0"/>
    <w:rsid w:val="2A7B46D0"/>
    <w:rsid w:val="2A7E694A"/>
    <w:rsid w:val="2A88405F"/>
    <w:rsid w:val="2AC03F74"/>
    <w:rsid w:val="2ACD4D90"/>
    <w:rsid w:val="2ADC43C4"/>
    <w:rsid w:val="2AE07B98"/>
    <w:rsid w:val="2B1B36C2"/>
    <w:rsid w:val="2B7A42C1"/>
    <w:rsid w:val="2B82668D"/>
    <w:rsid w:val="2BBF0C02"/>
    <w:rsid w:val="2BDD28EB"/>
    <w:rsid w:val="2BF43094"/>
    <w:rsid w:val="2BF909AA"/>
    <w:rsid w:val="2C0757B7"/>
    <w:rsid w:val="2C660130"/>
    <w:rsid w:val="2CB9711D"/>
    <w:rsid w:val="2CF3363A"/>
    <w:rsid w:val="2D000C25"/>
    <w:rsid w:val="2D0F4DB4"/>
    <w:rsid w:val="2D2D36A5"/>
    <w:rsid w:val="2D365B16"/>
    <w:rsid w:val="2D5646DC"/>
    <w:rsid w:val="2D6D2070"/>
    <w:rsid w:val="2D9D0838"/>
    <w:rsid w:val="2DB652A4"/>
    <w:rsid w:val="2DB943B8"/>
    <w:rsid w:val="2DBB2419"/>
    <w:rsid w:val="2DBF7001"/>
    <w:rsid w:val="2DBF7788"/>
    <w:rsid w:val="2DC26166"/>
    <w:rsid w:val="2DEA2F76"/>
    <w:rsid w:val="2DF041FF"/>
    <w:rsid w:val="2DF76E1B"/>
    <w:rsid w:val="2E10357E"/>
    <w:rsid w:val="2E177A17"/>
    <w:rsid w:val="2E1B30B3"/>
    <w:rsid w:val="2E3E487D"/>
    <w:rsid w:val="2E41360C"/>
    <w:rsid w:val="2E607FBE"/>
    <w:rsid w:val="2E615CAF"/>
    <w:rsid w:val="2E64456A"/>
    <w:rsid w:val="2E7264C5"/>
    <w:rsid w:val="2E7653DE"/>
    <w:rsid w:val="2E842882"/>
    <w:rsid w:val="2E8C6A3D"/>
    <w:rsid w:val="2EB508B8"/>
    <w:rsid w:val="2ED71BB4"/>
    <w:rsid w:val="2F04472C"/>
    <w:rsid w:val="2F066396"/>
    <w:rsid w:val="2F2655A5"/>
    <w:rsid w:val="2F30138F"/>
    <w:rsid w:val="2F5628C1"/>
    <w:rsid w:val="2F81781A"/>
    <w:rsid w:val="2FBA6AB0"/>
    <w:rsid w:val="2FDA5233"/>
    <w:rsid w:val="30186987"/>
    <w:rsid w:val="30396B3B"/>
    <w:rsid w:val="303D3D8D"/>
    <w:rsid w:val="30410449"/>
    <w:rsid w:val="304B34C7"/>
    <w:rsid w:val="306F3884"/>
    <w:rsid w:val="30AE1C64"/>
    <w:rsid w:val="30D06AF0"/>
    <w:rsid w:val="30DC1248"/>
    <w:rsid w:val="30E16401"/>
    <w:rsid w:val="31405015"/>
    <w:rsid w:val="31537EEC"/>
    <w:rsid w:val="316F0F32"/>
    <w:rsid w:val="31736100"/>
    <w:rsid w:val="31773981"/>
    <w:rsid w:val="319C6FC9"/>
    <w:rsid w:val="3205097C"/>
    <w:rsid w:val="3219245E"/>
    <w:rsid w:val="323677EC"/>
    <w:rsid w:val="323827BE"/>
    <w:rsid w:val="32495754"/>
    <w:rsid w:val="32541D1E"/>
    <w:rsid w:val="32605AA8"/>
    <w:rsid w:val="32615E04"/>
    <w:rsid w:val="326849A2"/>
    <w:rsid w:val="326B0F6E"/>
    <w:rsid w:val="328126D8"/>
    <w:rsid w:val="32A04DB4"/>
    <w:rsid w:val="32D07FAA"/>
    <w:rsid w:val="32DE0BF1"/>
    <w:rsid w:val="32E158F1"/>
    <w:rsid w:val="33031007"/>
    <w:rsid w:val="330A1B9B"/>
    <w:rsid w:val="33341058"/>
    <w:rsid w:val="338032CF"/>
    <w:rsid w:val="339F3BDD"/>
    <w:rsid w:val="33A9773C"/>
    <w:rsid w:val="33E93AE7"/>
    <w:rsid w:val="33FB47B2"/>
    <w:rsid w:val="33FE062C"/>
    <w:rsid w:val="340D123D"/>
    <w:rsid w:val="340D402A"/>
    <w:rsid w:val="34117F4A"/>
    <w:rsid w:val="34157A69"/>
    <w:rsid w:val="342F04EE"/>
    <w:rsid w:val="343278F3"/>
    <w:rsid w:val="343773FE"/>
    <w:rsid w:val="344352BB"/>
    <w:rsid w:val="345F13D2"/>
    <w:rsid w:val="346614E2"/>
    <w:rsid w:val="346F44E7"/>
    <w:rsid w:val="3477121B"/>
    <w:rsid w:val="34C33940"/>
    <w:rsid w:val="34CE5612"/>
    <w:rsid w:val="34DA288E"/>
    <w:rsid w:val="34E07C21"/>
    <w:rsid w:val="34E11C57"/>
    <w:rsid w:val="34E43EEA"/>
    <w:rsid w:val="34F47C15"/>
    <w:rsid w:val="34F540BD"/>
    <w:rsid w:val="34FF3C2C"/>
    <w:rsid w:val="35063B46"/>
    <w:rsid w:val="351C3CD0"/>
    <w:rsid w:val="352F1E92"/>
    <w:rsid w:val="353763F9"/>
    <w:rsid w:val="353C79F3"/>
    <w:rsid w:val="353F5F9A"/>
    <w:rsid w:val="35600779"/>
    <w:rsid w:val="35976ED7"/>
    <w:rsid w:val="35980087"/>
    <w:rsid w:val="35B84DAB"/>
    <w:rsid w:val="35C52894"/>
    <w:rsid w:val="35F036ED"/>
    <w:rsid w:val="35FB5BA7"/>
    <w:rsid w:val="36021E5F"/>
    <w:rsid w:val="36327AC4"/>
    <w:rsid w:val="3634601F"/>
    <w:rsid w:val="36496AF6"/>
    <w:rsid w:val="36547421"/>
    <w:rsid w:val="367251E5"/>
    <w:rsid w:val="36903B9D"/>
    <w:rsid w:val="36C301B0"/>
    <w:rsid w:val="36C40C39"/>
    <w:rsid w:val="36C95739"/>
    <w:rsid w:val="36DE6128"/>
    <w:rsid w:val="36FD0B04"/>
    <w:rsid w:val="370275A1"/>
    <w:rsid w:val="372F7F54"/>
    <w:rsid w:val="374754B1"/>
    <w:rsid w:val="374E45F3"/>
    <w:rsid w:val="37624933"/>
    <w:rsid w:val="377870D5"/>
    <w:rsid w:val="378C7B63"/>
    <w:rsid w:val="37C01AB5"/>
    <w:rsid w:val="37C8480D"/>
    <w:rsid w:val="38107733"/>
    <w:rsid w:val="385F25BB"/>
    <w:rsid w:val="386609E8"/>
    <w:rsid w:val="387B2A25"/>
    <w:rsid w:val="38A0575D"/>
    <w:rsid w:val="38B577A9"/>
    <w:rsid w:val="38B74C05"/>
    <w:rsid w:val="38CC421D"/>
    <w:rsid w:val="38D16635"/>
    <w:rsid w:val="38D373E7"/>
    <w:rsid w:val="38FA57F0"/>
    <w:rsid w:val="3936186D"/>
    <w:rsid w:val="39514E0B"/>
    <w:rsid w:val="39566F53"/>
    <w:rsid w:val="395941C6"/>
    <w:rsid w:val="397905D6"/>
    <w:rsid w:val="39864DE3"/>
    <w:rsid w:val="399D5638"/>
    <w:rsid w:val="39B41C18"/>
    <w:rsid w:val="39B653E7"/>
    <w:rsid w:val="39C538F9"/>
    <w:rsid w:val="39D31839"/>
    <w:rsid w:val="39D7425E"/>
    <w:rsid w:val="3A255D6F"/>
    <w:rsid w:val="3A291776"/>
    <w:rsid w:val="3A43382A"/>
    <w:rsid w:val="3A51108A"/>
    <w:rsid w:val="3A604CCB"/>
    <w:rsid w:val="3A6711EA"/>
    <w:rsid w:val="3A6B021B"/>
    <w:rsid w:val="3A6C27C7"/>
    <w:rsid w:val="3A7E7CFE"/>
    <w:rsid w:val="3AB03D58"/>
    <w:rsid w:val="3AF31112"/>
    <w:rsid w:val="3AF71C4F"/>
    <w:rsid w:val="3B0C28E2"/>
    <w:rsid w:val="3B325752"/>
    <w:rsid w:val="3B4113F9"/>
    <w:rsid w:val="3B6E2308"/>
    <w:rsid w:val="3B700B9E"/>
    <w:rsid w:val="3B7A70C3"/>
    <w:rsid w:val="3B8C568A"/>
    <w:rsid w:val="3B8C6B52"/>
    <w:rsid w:val="3B9265F7"/>
    <w:rsid w:val="3BB36501"/>
    <w:rsid w:val="3BC10F8A"/>
    <w:rsid w:val="3BCA0430"/>
    <w:rsid w:val="3C0D7BA2"/>
    <w:rsid w:val="3C1464E6"/>
    <w:rsid w:val="3C1F3B0A"/>
    <w:rsid w:val="3C2F5079"/>
    <w:rsid w:val="3C820BF8"/>
    <w:rsid w:val="3CB974FB"/>
    <w:rsid w:val="3CFF2A56"/>
    <w:rsid w:val="3D083C3D"/>
    <w:rsid w:val="3D0F0BF5"/>
    <w:rsid w:val="3D254DA7"/>
    <w:rsid w:val="3D367754"/>
    <w:rsid w:val="3D4D01FD"/>
    <w:rsid w:val="3D8116F1"/>
    <w:rsid w:val="3D842DB5"/>
    <w:rsid w:val="3D927E3F"/>
    <w:rsid w:val="3DD76D85"/>
    <w:rsid w:val="3DD83ABF"/>
    <w:rsid w:val="3DDA437C"/>
    <w:rsid w:val="3DF461A3"/>
    <w:rsid w:val="3E0B6234"/>
    <w:rsid w:val="3E1516BF"/>
    <w:rsid w:val="3E600BB4"/>
    <w:rsid w:val="3E8A2129"/>
    <w:rsid w:val="3E8C3990"/>
    <w:rsid w:val="3EDA4D3F"/>
    <w:rsid w:val="3F0B745A"/>
    <w:rsid w:val="3F1708AB"/>
    <w:rsid w:val="3F8A3D39"/>
    <w:rsid w:val="3F8D0174"/>
    <w:rsid w:val="3F987717"/>
    <w:rsid w:val="3FD23300"/>
    <w:rsid w:val="3FF47042"/>
    <w:rsid w:val="3FF54785"/>
    <w:rsid w:val="3FFC0AB7"/>
    <w:rsid w:val="3FFF0B26"/>
    <w:rsid w:val="4015659C"/>
    <w:rsid w:val="401D268F"/>
    <w:rsid w:val="403D5DB4"/>
    <w:rsid w:val="40444047"/>
    <w:rsid w:val="40452250"/>
    <w:rsid w:val="40501155"/>
    <w:rsid w:val="405229A9"/>
    <w:rsid w:val="409E45E2"/>
    <w:rsid w:val="40A52125"/>
    <w:rsid w:val="40B61FF8"/>
    <w:rsid w:val="40C7171A"/>
    <w:rsid w:val="40D724A1"/>
    <w:rsid w:val="40E72D37"/>
    <w:rsid w:val="415A1391"/>
    <w:rsid w:val="415E5B0A"/>
    <w:rsid w:val="41965A41"/>
    <w:rsid w:val="41970D49"/>
    <w:rsid w:val="41B92A4F"/>
    <w:rsid w:val="41C964B4"/>
    <w:rsid w:val="41F92ABD"/>
    <w:rsid w:val="41FC1B6A"/>
    <w:rsid w:val="424D1C7F"/>
    <w:rsid w:val="425846A6"/>
    <w:rsid w:val="42624E34"/>
    <w:rsid w:val="427F218F"/>
    <w:rsid w:val="42840AD6"/>
    <w:rsid w:val="428B63CF"/>
    <w:rsid w:val="42AF67D0"/>
    <w:rsid w:val="42BC0E70"/>
    <w:rsid w:val="42C245CE"/>
    <w:rsid w:val="42DD0E52"/>
    <w:rsid w:val="431A0C24"/>
    <w:rsid w:val="434E1C20"/>
    <w:rsid w:val="43620283"/>
    <w:rsid w:val="4363286E"/>
    <w:rsid w:val="43A73BE3"/>
    <w:rsid w:val="43AE7A7E"/>
    <w:rsid w:val="43CF502D"/>
    <w:rsid w:val="440B02B4"/>
    <w:rsid w:val="441C5080"/>
    <w:rsid w:val="44233849"/>
    <w:rsid w:val="446B500C"/>
    <w:rsid w:val="448508DF"/>
    <w:rsid w:val="44BF18A2"/>
    <w:rsid w:val="44E23735"/>
    <w:rsid w:val="44EA77F7"/>
    <w:rsid w:val="45357785"/>
    <w:rsid w:val="45387766"/>
    <w:rsid w:val="453A760F"/>
    <w:rsid w:val="45491A3E"/>
    <w:rsid w:val="45503B28"/>
    <w:rsid w:val="45853082"/>
    <w:rsid w:val="45891F3C"/>
    <w:rsid w:val="4590274A"/>
    <w:rsid w:val="45FD0891"/>
    <w:rsid w:val="46185D52"/>
    <w:rsid w:val="462C285E"/>
    <w:rsid w:val="4639249F"/>
    <w:rsid w:val="463A0304"/>
    <w:rsid w:val="464A4975"/>
    <w:rsid w:val="467C2D95"/>
    <w:rsid w:val="4695468D"/>
    <w:rsid w:val="469A6A31"/>
    <w:rsid w:val="471553B4"/>
    <w:rsid w:val="471E6457"/>
    <w:rsid w:val="475F6267"/>
    <w:rsid w:val="4760207C"/>
    <w:rsid w:val="47743C9D"/>
    <w:rsid w:val="47906F17"/>
    <w:rsid w:val="479A7A31"/>
    <w:rsid w:val="479B1699"/>
    <w:rsid w:val="47AF51BF"/>
    <w:rsid w:val="47B81E12"/>
    <w:rsid w:val="47D03B18"/>
    <w:rsid w:val="47DB1D58"/>
    <w:rsid w:val="47ED29D3"/>
    <w:rsid w:val="47EF74A3"/>
    <w:rsid w:val="47F50C9B"/>
    <w:rsid w:val="4834394A"/>
    <w:rsid w:val="485A65F3"/>
    <w:rsid w:val="48987720"/>
    <w:rsid w:val="48AA0D47"/>
    <w:rsid w:val="48AB437A"/>
    <w:rsid w:val="48BB5E99"/>
    <w:rsid w:val="48E709AB"/>
    <w:rsid w:val="49074129"/>
    <w:rsid w:val="491E413A"/>
    <w:rsid w:val="492B5D1A"/>
    <w:rsid w:val="49356195"/>
    <w:rsid w:val="493E72F4"/>
    <w:rsid w:val="49477CA3"/>
    <w:rsid w:val="495D4FB7"/>
    <w:rsid w:val="495F0F47"/>
    <w:rsid w:val="49850611"/>
    <w:rsid w:val="49E47F0A"/>
    <w:rsid w:val="4A221E06"/>
    <w:rsid w:val="4A2C05A1"/>
    <w:rsid w:val="4A487A49"/>
    <w:rsid w:val="4A661827"/>
    <w:rsid w:val="4ABE4002"/>
    <w:rsid w:val="4AD3789D"/>
    <w:rsid w:val="4AE61558"/>
    <w:rsid w:val="4AE629A4"/>
    <w:rsid w:val="4AF93679"/>
    <w:rsid w:val="4B1E0386"/>
    <w:rsid w:val="4B327DA5"/>
    <w:rsid w:val="4B483ECE"/>
    <w:rsid w:val="4B4D5DE5"/>
    <w:rsid w:val="4B53713F"/>
    <w:rsid w:val="4B5918B4"/>
    <w:rsid w:val="4B5E178B"/>
    <w:rsid w:val="4B7D53C9"/>
    <w:rsid w:val="4B85293F"/>
    <w:rsid w:val="4B902502"/>
    <w:rsid w:val="4B9B344B"/>
    <w:rsid w:val="4BDB55FA"/>
    <w:rsid w:val="4C3D55C6"/>
    <w:rsid w:val="4C667A5B"/>
    <w:rsid w:val="4C823BCA"/>
    <w:rsid w:val="4C9F1330"/>
    <w:rsid w:val="4CAB3457"/>
    <w:rsid w:val="4CF124C7"/>
    <w:rsid w:val="4CF70170"/>
    <w:rsid w:val="4CFA619E"/>
    <w:rsid w:val="4CFD777A"/>
    <w:rsid w:val="4D201110"/>
    <w:rsid w:val="4D3431C7"/>
    <w:rsid w:val="4D526F59"/>
    <w:rsid w:val="4D650150"/>
    <w:rsid w:val="4DE03AC2"/>
    <w:rsid w:val="4DEF02BD"/>
    <w:rsid w:val="4E0D72D8"/>
    <w:rsid w:val="4E383ED6"/>
    <w:rsid w:val="4E560D60"/>
    <w:rsid w:val="4E564593"/>
    <w:rsid w:val="4E703F51"/>
    <w:rsid w:val="4E942C0A"/>
    <w:rsid w:val="4E98220D"/>
    <w:rsid w:val="4EB7399D"/>
    <w:rsid w:val="4ECD2716"/>
    <w:rsid w:val="4EE73AF5"/>
    <w:rsid w:val="4EE84EA5"/>
    <w:rsid w:val="4EEE4AF5"/>
    <w:rsid w:val="4F0B544D"/>
    <w:rsid w:val="4F301FB1"/>
    <w:rsid w:val="4F4F7329"/>
    <w:rsid w:val="4F5260B5"/>
    <w:rsid w:val="4F58224C"/>
    <w:rsid w:val="4F5A7FFE"/>
    <w:rsid w:val="4F8B2726"/>
    <w:rsid w:val="4F8B4457"/>
    <w:rsid w:val="4FDA01F8"/>
    <w:rsid w:val="4FF221C3"/>
    <w:rsid w:val="4FFA0634"/>
    <w:rsid w:val="500032A2"/>
    <w:rsid w:val="504E08AD"/>
    <w:rsid w:val="505C4D01"/>
    <w:rsid w:val="507419FE"/>
    <w:rsid w:val="508B1CA1"/>
    <w:rsid w:val="50AA168D"/>
    <w:rsid w:val="50AF4B30"/>
    <w:rsid w:val="50BC5CDC"/>
    <w:rsid w:val="50E74C38"/>
    <w:rsid w:val="51025571"/>
    <w:rsid w:val="510819A0"/>
    <w:rsid w:val="51200E5F"/>
    <w:rsid w:val="5123009E"/>
    <w:rsid w:val="512C2CA7"/>
    <w:rsid w:val="512D289E"/>
    <w:rsid w:val="514152FB"/>
    <w:rsid w:val="51434ED1"/>
    <w:rsid w:val="516445A0"/>
    <w:rsid w:val="518956A9"/>
    <w:rsid w:val="52490C2A"/>
    <w:rsid w:val="525505B5"/>
    <w:rsid w:val="5261544F"/>
    <w:rsid w:val="52C504FB"/>
    <w:rsid w:val="52E13756"/>
    <w:rsid w:val="52E65840"/>
    <w:rsid w:val="52EF5C2D"/>
    <w:rsid w:val="52F47582"/>
    <w:rsid w:val="5371534A"/>
    <w:rsid w:val="53720C63"/>
    <w:rsid w:val="537700D3"/>
    <w:rsid w:val="53811681"/>
    <w:rsid w:val="538A520F"/>
    <w:rsid w:val="53933E3F"/>
    <w:rsid w:val="53B418CC"/>
    <w:rsid w:val="53F32910"/>
    <w:rsid w:val="53F4098D"/>
    <w:rsid w:val="53FE04C8"/>
    <w:rsid w:val="54206BE2"/>
    <w:rsid w:val="54297BB6"/>
    <w:rsid w:val="54336DD4"/>
    <w:rsid w:val="543660C2"/>
    <w:rsid w:val="54375971"/>
    <w:rsid w:val="54453F00"/>
    <w:rsid w:val="544D196D"/>
    <w:rsid w:val="5478326E"/>
    <w:rsid w:val="547F6951"/>
    <w:rsid w:val="54854CE2"/>
    <w:rsid w:val="548965FC"/>
    <w:rsid w:val="549F015A"/>
    <w:rsid w:val="54D730B0"/>
    <w:rsid w:val="54E812EA"/>
    <w:rsid w:val="54F76B5C"/>
    <w:rsid w:val="55020A87"/>
    <w:rsid w:val="550341FE"/>
    <w:rsid w:val="55042014"/>
    <w:rsid w:val="55210479"/>
    <w:rsid w:val="552A209A"/>
    <w:rsid w:val="55393BB8"/>
    <w:rsid w:val="55614C5E"/>
    <w:rsid w:val="558C2621"/>
    <w:rsid w:val="55AD3652"/>
    <w:rsid w:val="55B9606B"/>
    <w:rsid w:val="55DE0E54"/>
    <w:rsid w:val="55FF52A6"/>
    <w:rsid w:val="5633198E"/>
    <w:rsid w:val="563E5469"/>
    <w:rsid w:val="566919C6"/>
    <w:rsid w:val="566C5546"/>
    <w:rsid w:val="56745BC9"/>
    <w:rsid w:val="56CF2CF8"/>
    <w:rsid w:val="56E34EAC"/>
    <w:rsid w:val="570203D1"/>
    <w:rsid w:val="571159E3"/>
    <w:rsid w:val="571D3ABE"/>
    <w:rsid w:val="571F6B78"/>
    <w:rsid w:val="57645BA3"/>
    <w:rsid w:val="576A1B6C"/>
    <w:rsid w:val="57936854"/>
    <w:rsid w:val="579848F6"/>
    <w:rsid w:val="57A22474"/>
    <w:rsid w:val="57AF0A2B"/>
    <w:rsid w:val="57C43A36"/>
    <w:rsid w:val="57F62116"/>
    <w:rsid w:val="58101705"/>
    <w:rsid w:val="58335AD6"/>
    <w:rsid w:val="584265A5"/>
    <w:rsid w:val="58707FAE"/>
    <w:rsid w:val="58895B35"/>
    <w:rsid w:val="58C83D7C"/>
    <w:rsid w:val="58E7744A"/>
    <w:rsid w:val="5909370D"/>
    <w:rsid w:val="590D48EB"/>
    <w:rsid w:val="59495353"/>
    <w:rsid w:val="595D2922"/>
    <w:rsid w:val="59634E7E"/>
    <w:rsid w:val="597265E6"/>
    <w:rsid w:val="59A85569"/>
    <w:rsid w:val="59A90DF6"/>
    <w:rsid w:val="59B8686F"/>
    <w:rsid w:val="59B86AAB"/>
    <w:rsid w:val="59BF5B8E"/>
    <w:rsid w:val="59D027D3"/>
    <w:rsid w:val="59DE0C7A"/>
    <w:rsid w:val="59F04D56"/>
    <w:rsid w:val="5A125C89"/>
    <w:rsid w:val="5A4F7A61"/>
    <w:rsid w:val="5AA026B8"/>
    <w:rsid w:val="5AA116D7"/>
    <w:rsid w:val="5AE821DA"/>
    <w:rsid w:val="5AED557F"/>
    <w:rsid w:val="5AFD1904"/>
    <w:rsid w:val="5B2C0607"/>
    <w:rsid w:val="5B3034F1"/>
    <w:rsid w:val="5B424CC5"/>
    <w:rsid w:val="5B63362E"/>
    <w:rsid w:val="5B755268"/>
    <w:rsid w:val="5B9C2FC5"/>
    <w:rsid w:val="5BC86521"/>
    <w:rsid w:val="5C082709"/>
    <w:rsid w:val="5C14060C"/>
    <w:rsid w:val="5C2E582C"/>
    <w:rsid w:val="5C7639BC"/>
    <w:rsid w:val="5CD12F06"/>
    <w:rsid w:val="5CF7084F"/>
    <w:rsid w:val="5D147937"/>
    <w:rsid w:val="5D1634FA"/>
    <w:rsid w:val="5D614E5A"/>
    <w:rsid w:val="5D7A4EBD"/>
    <w:rsid w:val="5D7B2AFB"/>
    <w:rsid w:val="5D9D4948"/>
    <w:rsid w:val="5DA07441"/>
    <w:rsid w:val="5DCD5EDE"/>
    <w:rsid w:val="5DDD01B0"/>
    <w:rsid w:val="5DEE4FE1"/>
    <w:rsid w:val="5E040F9B"/>
    <w:rsid w:val="5E163DAD"/>
    <w:rsid w:val="5E18199F"/>
    <w:rsid w:val="5E276BBA"/>
    <w:rsid w:val="5E4A34BA"/>
    <w:rsid w:val="5E572B7B"/>
    <w:rsid w:val="5ED929BD"/>
    <w:rsid w:val="5EEF44C3"/>
    <w:rsid w:val="5EF64B87"/>
    <w:rsid w:val="5EFE24CD"/>
    <w:rsid w:val="5F1E02ED"/>
    <w:rsid w:val="5F5335CE"/>
    <w:rsid w:val="5F6123D2"/>
    <w:rsid w:val="5F7C6175"/>
    <w:rsid w:val="5F8C113D"/>
    <w:rsid w:val="5FB55859"/>
    <w:rsid w:val="5FEE6A48"/>
    <w:rsid w:val="6028198E"/>
    <w:rsid w:val="6060214E"/>
    <w:rsid w:val="6071387E"/>
    <w:rsid w:val="60932B78"/>
    <w:rsid w:val="60B1182C"/>
    <w:rsid w:val="60B54E5F"/>
    <w:rsid w:val="60D67EB5"/>
    <w:rsid w:val="60E72435"/>
    <w:rsid w:val="60F12408"/>
    <w:rsid w:val="60F915AE"/>
    <w:rsid w:val="61186844"/>
    <w:rsid w:val="61196AEE"/>
    <w:rsid w:val="612015DC"/>
    <w:rsid w:val="613D3456"/>
    <w:rsid w:val="6161246C"/>
    <w:rsid w:val="617A09D3"/>
    <w:rsid w:val="617E2BD9"/>
    <w:rsid w:val="61AB7F4F"/>
    <w:rsid w:val="61BC7327"/>
    <w:rsid w:val="61F12BA4"/>
    <w:rsid w:val="61FC795F"/>
    <w:rsid w:val="622A0453"/>
    <w:rsid w:val="62554D7B"/>
    <w:rsid w:val="62870321"/>
    <w:rsid w:val="62892F39"/>
    <w:rsid w:val="62A52639"/>
    <w:rsid w:val="62C313EC"/>
    <w:rsid w:val="62D2532D"/>
    <w:rsid w:val="62D32926"/>
    <w:rsid w:val="62EB1C80"/>
    <w:rsid w:val="6306529F"/>
    <w:rsid w:val="632B7CB6"/>
    <w:rsid w:val="632D6A8C"/>
    <w:rsid w:val="63326075"/>
    <w:rsid w:val="63577595"/>
    <w:rsid w:val="636D1281"/>
    <w:rsid w:val="63921C8F"/>
    <w:rsid w:val="63C546CA"/>
    <w:rsid w:val="63D43500"/>
    <w:rsid w:val="64463885"/>
    <w:rsid w:val="646C6942"/>
    <w:rsid w:val="648101EB"/>
    <w:rsid w:val="64C649E5"/>
    <w:rsid w:val="64C971FC"/>
    <w:rsid w:val="64D17A33"/>
    <w:rsid w:val="651F176C"/>
    <w:rsid w:val="65243799"/>
    <w:rsid w:val="653730AD"/>
    <w:rsid w:val="65473BE4"/>
    <w:rsid w:val="654823B1"/>
    <w:rsid w:val="658B7760"/>
    <w:rsid w:val="659514FA"/>
    <w:rsid w:val="65B4203E"/>
    <w:rsid w:val="65C562C1"/>
    <w:rsid w:val="65DA30E2"/>
    <w:rsid w:val="65EE7177"/>
    <w:rsid w:val="6635457B"/>
    <w:rsid w:val="663B78CC"/>
    <w:rsid w:val="66645598"/>
    <w:rsid w:val="66713242"/>
    <w:rsid w:val="66A57E71"/>
    <w:rsid w:val="66BD4460"/>
    <w:rsid w:val="66D47A94"/>
    <w:rsid w:val="66E4759D"/>
    <w:rsid w:val="674B4F4A"/>
    <w:rsid w:val="676A3DA6"/>
    <w:rsid w:val="67773A51"/>
    <w:rsid w:val="679805D8"/>
    <w:rsid w:val="67BC3FEE"/>
    <w:rsid w:val="67CA7544"/>
    <w:rsid w:val="67D477F8"/>
    <w:rsid w:val="67FF7C3A"/>
    <w:rsid w:val="6829477F"/>
    <w:rsid w:val="682F4FA9"/>
    <w:rsid w:val="68323C50"/>
    <w:rsid w:val="686332F5"/>
    <w:rsid w:val="68646588"/>
    <w:rsid w:val="688232C2"/>
    <w:rsid w:val="68843A78"/>
    <w:rsid w:val="689F0599"/>
    <w:rsid w:val="68B43376"/>
    <w:rsid w:val="68F053F6"/>
    <w:rsid w:val="68F43A1E"/>
    <w:rsid w:val="69145603"/>
    <w:rsid w:val="69423186"/>
    <w:rsid w:val="69432BE1"/>
    <w:rsid w:val="694D728A"/>
    <w:rsid w:val="6988057F"/>
    <w:rsid w:val="699906A2"/>
    <w:rsid w:val="69AC12C2"/>
    <w:rsid w:val="69C411D0"/>
    <w:rsid w:val="69C62FFA"/>
    <w:rsid w:val="69D86C6D"/>
    <w:rsid w:val="69FA48D7"/>
    <w:rsid w:val="6A0D6DC9"/>
    <w:rsid w:val="6A4A19BA"/>
    <w:rsid w:val="6A564EBF"/>
    <w:rsid w:val="6A645FFB"/>
    <w:rsid w:val="6A6A2D90"/>
    <w:rsid w:val="6A701056"/>
    <w:rsid w:val="6A7A24EF"/>
    <w:rsid w:val="6A7E361E"/>
    <w:rsid w:val="6A9A2282"/>
    <w:rsid w:val="6ABB292C"/>
    <w:rsid w:val="6AC46CE5"/>
    <w:rsid w:val="6ACD0D45"/>
    <w:rsid w:val="6AFE0C80"/>
    <w:rsid w:val="6B2A0779"/>
    <w:rsid w:val="6B2B1D80"/>
    <w:rsid w:val="6B3D3548"/>
    <w:rsid w:val="6B664EB6"/>
    <w:rsid w:val="6BA87D31"/>
    <w:rsid w:val="6BB72998"/>
    <w:rsid w:val="6BBC73BD"/>
    <w:rsid w:val="6BC066B1"/>
    <w:rsid w:val="6C0B1660"/>
    <w:rsid w:val="6C533915"/>
    <w:rsid w:val="6C7F31BE"/>
    <w:rsid w:val="6CD91C0E"/>
    <w:rsid w:val="6CE01353"/>
    <w:rsid w:val="6CEA7AAC"/>
    <w:rsid w:val="6CF35CFC"/>
    <w:rsid w:val="6CFA25E1"/>
    <w:rsid w:val="6D3F29A1"/>
    <w:rsid w:val="6D651DF3"/>
    <w:rsid w:val="6D9E263C"/>
    <w:rsid w:val="6DD658EE"/>
    <w:rsid w:val="6DDD6E36"/>
    <w:rsid w:val="6DEC1C21"/>
    <w:rsid w:val="6E152319"/>
    <w:rsid w:val="6E3B0BAF"/>
    <w:rsid w:val="6E3E0629"/>
    <w:rsid w:val="6E501AEB"/>
    <w:rsid w:val="6E7C11B5"/>
    <w:rsid w:val="6E7F556F"/>
    <w:rsid w:val="6E997C25"/>
    <w:rsid w:val="6E9F07E1"/>
    <w:rsid w:val="6EA14A30"/>
    <w:rsid w:val="6EB6105A"/>
    <w:rsid w:val="6EC629FF"/>
    <w:rsid w:val="6EC7282F"/>
    <w:rsid w:val="6F1C104C"/>
    <w:rsid w:val="6F26499B"/>
    <w:rsid w:val="6F2F3282"/>
    <w:rsid w:val="6F587A8E"/>
    <w:rsid w:val="6F5A7044"/>
    <w:rsid w:val="6F5D5506"/>
    <w:rsid w:val="6F600C59"/>
    <w:rsid w:val="6F7E2770"/>
    <w:rsid w:val="6F8776A7"/>
    <w:rsid w:val="6F957D21"/>
    <w:rsid w:val="6FA57C2A"/>
    <w:rsid w:val="6FD175F7"/>
    <w:rsid w:val="6FD95378"/>
    <w:rsid w:val="703C1CAA"/>
    <w:rsid w:val="703E1108"/>
    <w:rsid w:val="704B7EBD"/>
    <w:rsid w:val="707F7FC1"/>
    <w:rsid w:val="70830694"/>
    <w:rsid w:val="7092075C"/>
    <w:rsid w:val="70AF49AD"/>
    <w:rsid w:val="70E234A9"/>
    <w:rsid w:val="712D7A96"/>
    <w:rsid w:val="71334F8E"/>
    <w:rsid w:val="713C2BF3"/>
    <w:rsid w:val="715517E0"/>
    <w:rsid w:val="71682CDB"/>
    <w:rsid w:val="717C301D"/>
    <w:rsid w:val="71AC3CA8"/>
    <w:rsid w:val="71E67530"/>
    <w:rsid w:val="71F552A8"/>
    <w:rsid w:val="71FD3369"/>
    <w:rsid w:val="7208350E"/>
    <w:rsid w:val="72264502"/>
    <w:rsid w:val="723358B2"/>
    <w:rsid w:val="72363B93"/>
    <w:rsid w:val="72366F69"/>
    <w:rsid w:val="72546CCC"/>
    <w:rsid w:val="72571A57"/>
    <w:rsid w:val="72981E43"/>
    <w:rsid w:val="72AD5CE4"/>
    <w:rsid w:val="72BB344D"/>
    <w:rsid w:val="72BD396A"/>
    <w:rsid w:val="72EA334F"/>
    <w:rsid w:val="730B241D"/>
    <w:rsid w:val="734C24BD"/>
    <w:rsid w:val="7357002D"/>
    <w:rsid w:val="73576104"/>
    <w:rsid w:val="73815738"/>
    <w:rsid w:val="739F3A97"/>
    <w:rsid w:val="73AF1694"/>
    <w:rsid w:val="73B673EF"/>
    <w:rsid w:val="73F02366"/>
    <w:rsid w:val="742254DD"/>
    <w:rsid w:val="7437180D"/>
    <w:rsid w:val="74391D4B"/>
    <w:rsid w:val="74483CFE"/>
    <w:rsid w:val="744B0DA7"/>
    <w:rsid w:val="744D3074"/>
    <w:rsid w:val="74624CC6"/>
    <w:rsid w:val="746A5AD3"/>
    <w:rsid w:val="74723306"/>
    <w:rsid w:val="747A2CC8"/>
    <w:rsid w:val="747F3641"/>
    <w:rsid w:val="74B579B7"/>
    <w:rsid w:val="74BB7061"/>
    <w:rsid w:val="74CE3EB2"/>
    <w:rsid w:val="74E82D21"/>
    <w:rsid w:val="750E03C1"/>
    <w:rsid w:val="751C6251"/>
    <w:rsid w:val="751E470B"/>
    <w:rsid w:val="753D7B6A"/>
    <w:rsid w:val="754026A2"/>
    <w:rsid w:val="75670772"/>
    <w:rsid w:val="757C44C8"/>
    <w:rsid w:val="759A09C5"/>
    <w:rsid w:val="75A6427E"/>
    <w:rsid w:val="75B243A7"/>
    <w:rsid w:val="75DE6DB1"/>
    <w:rsid w:val="75E572CF"/>
    <w:rsid w:val="75FB07A2"/>
    <w:rsid w:val="761375E4"/>
    <w:rsid w:val="76217478"/>
    <w:rsid w:val="763C572C"/>
    <w:rsid w:val="7666354F"/>
    <w:rsid w:val="766B6ECD"/>
    <w:rsid w:val="76855EB9"/>
    <w:rsid w:val="7692691E"/>
    <w:rsid w:val="76996365"/>
    <w:rsid w:val="769A10D0"/>
    <w:rsid w:val="76C2349E"/>
    <w:rsid w:val="76CB35EC"/>
    <w:rsid w:val="76D054CE"/>
    <w:rsid w:val="77040C67"/>
    <w:rsid w:val="773B587C"/>
    <w:rsid w:val="774271F2"/>
    <w:rsid w:val="77453760"/>
    <w:rsid w:val="77653D55"/>
    <w:rsid w:val="776A7D9F"/>
    <w:rsid w:val="77734AD9"/>
    <w:rsid w:val="77767106"/>
    <w:rsid w:val="77AB2363"/>
    <w:rsid w:val="77F3466D"/>
    <w:rsid w:val="780127F5"/>
    <w:rsid w:val="7822274B"/>
    <w:rsid w:val="7840608D"/>
    <w:rsid w:val="78494C44"/>
    <w:rsid w:val="78594455"/>
    <w:rsid w:val="78786AB3"/>
    <w:rsid w:val="78B065B0"/>
    <w:rsid w:val="78C33E4A"/>
    <w:rsid w:val="7901119D"/>
    <w:rsid w:val="790D3EA5"/>
    <w:rsid w:val="791B2495"/>
    <w:rsid w:val="791D2A50"/>
    <w:rsid w:val="79366F18"/>
    <w:rsid w:val="79432736"/>
    <w:rsid w:val="79660E81"/>
    <w:rsid w:val="797940FE"/>
    <w:rsid w:val="79AA4A14"/>
    <w:rsid w:val="79B63FC9"/>
    <w:rsid w:val="79DE02DD"/>
    <w:rsid w:val="79E07E40"/>
    <w:rsid w:val="79EB5D1B"/>
    <w:rsid w:val="79FC6182"/>
    <w:rsid w:val="7A0A6F4F"/>
    <w:rsid w:val="7A456F6D"/>
    <w:rsid w:val="7A5F16CA"/>
    <w:rsid w:val="7A710D8E"/>
    <w:rsid w:val="7AB1300F"/>
    <w:rsid w:val="7AB64E52"/>
    <w:rsid w:val="7ADA0EA4"/>
    <w:rsid w:val="7AE75FBC"/>
    <w:rsid w:val="7AFC56DC"/>
    <w:rsid w:val="7B0D3216"/>
    <w:rsid w:val="7B345398"/>
    <w:rsid w:val="7B355131"/>
    <w:rsid w:val="7B590C27"/>
    <w:rsid w:val="7B6C5EAB"/>
    <w:rsid w:val="7B7814A8"/>
    <w:rsid w:val="7B861DF2"/>
    <w:rsid w:val="7BA33013"/>
    <w:rsid w:val="7BF702E8"/>
    <w:rsid w:val="7BFA0FA5"/>
    <w:rsid w:val="7BFE2BF5"/>
    <w:rsid w:val="7C162A9E"/>
    <w:rsid w:val="7C177BEA"/>
    <w:rsid w:val="7C206AB7"/>
    <w:rsid w:val="7C8646F6"/>
    <w:rsid w:val="7C9B46D0"/>
    <w:rsid w:val="7CA95B93"/>
    <w:rsid w:val="7CBC0850"/>
    <w:rsid w:val="7CD3681B"/>
    <w:rsid w:val="7CF20DD2"/>
    <w:rsid w:val="7CFF7134"/>
    <w:rsid w:val="7D8603E2"/>
    <w:rsid w:val="7D9C553A"/>
    <w:rsid w:val="7DD0508B"/>
    <w:rsid w:val="7DE4119D"/>
    <w:rsid w:val="7DEE5B58"/>
    <w:rsid w:val="7E0B1390"/>
    <w:rsid w:val="7E2B13AE"/>
    <w:rsid w:val="7ED03245"/>
    <w:rsid w:val="7ED25E9B"/>
    <w:rsid w:val="7ED37D6E"/>
    <w:rsid w:val="7F7D2EBD"/>
    <w:rsid w:val="7F8846F0"/>
    <w:rsid w:val="7FAD2052"/>
    <w:rsid w:val="7FEA3B6F"/>
    <w:rsid w:val="BAFFAB79"/>
    <w:rsid w:val="DBEED555"/>
  </w:rsids>
  <m:mathPr>
    <m:lMargin m:val="0"/>
    <m:rMargin m:val="0"/>
    <m:wrapIndent m:val="1440"/>
    <m:brkBin m:val="before"/>
    <m:brkBinSub m:val="--"/>
    <m:defJc m:val="centerGroup"/>
    <m:intLim m:val="subSup"/>
    <m:naryLim m:val="undOvr"/>
    <m:smallFrac m:val="0"/>
    <m:dispDef/>
  </m:mathPr>
  <w:themeFontLang w:val="zh-CN" w:eastAsia="zh-CN" w:bidi="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nhideWhenUsed="0" w:uiPriority="1" w:semiHidden="0" w:name="heading 2"/>
    <w:lsdException w:qFormat="1" w:unhideWhenUsed="0" w:uiPriority="1" w:semiHidden="0" w:name="heading 3"/>
    <w:lsdException w:qFormat="1" w:unhideWhenUsed="0" w:uiPriority="1" w:semiHidden="0" w:name="heading 4"/>
    <w:lsdException w:qFormat="1" w:unhideWhenUsed="0" w:uiPriority="1"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suppressAutoHyphens/>
      <w:bidi w:val="0"/>
      <w:spacing w:before="0" w:after="0"/>
      <w:jc w:val="left"/>
    </w:pPr>
    <w:rPr>
      <w:rFonts w:ascii="Arial Unicode MS" w:hAnsi="Arial Unicode MS" w:eastAsia="Arial Unicode MS" w:cs="Arial Unicode MS"/>
      <w:color w:val="auto"/>
      <w:kern w:val="0"/>
      <w:sz w:val="22"/>
      <w:szCs w:val="22"/>
      <w:lang w:val="zh-CN" w:eastAsia="zh-CN" w:bidi="zh-CN"/>
    </w:rPr>
  </w:style>
  <w:style w:type="paragraph" w:styleId="2">
    <w:name w:val="heading 1"/>
    <w:basedOn w:val="1"/>
    <w:next w:val="1"/>
    <w:qFormat/>
    <w:uiPriority w:val="1"/>
    <w:pPr>
      <w:ind w:left="-40" w:firstLine="0"/>
      <w:outlineLvl w:val="0"/>
    </w:pPr>
    <w:rPr>
      <w:sz w:val="52"/>
      <w:szCs w:val="52"/>
    </w:rPr>
  </w:style>
  <w:style w:type="paragraph" w:styleId="3">
    <w:name w:val="heading 2"/>
    <w:basedOn w:val="1"/>
    <w:next w:val="1"/>
    <w:qFormat/>
    <w:uiPriority w:val="1"/>
    <w:pPr>
      <w:ind w:right="18" w:firstLine="0"/>
      <w:jc w:val="center"/>
      <w:outlineLvl w:val="1"/>
    </w:pPr>
    <w:rPr>
      <w:sz w:val="44"/>
      <w:szCs w:val="44"/>
    </w:rPr>
  </w:style>
  <w:style w:type="paragraph" w:styleId="4">
    <w:name w:val="heading 3"/>
    <w:basedOn w:val="1"/>
    <w:next w:val="1"/>
    <w:qFormat/>
    <w:uiPriority w:val="1"/>
    <w:pPr>
      <w:ind w:left="1" w:firstLine="0"/>
      <w:jc w:val="center"/>
      <w:outlineLvl w:val="2"/>
    </w:pPr>
    <w:rPr>
      <w:sz w:val="40"/>
      <w:szCs w:val="40"/>
    </w:rPr>
  </w:style>
  <w:style w:type="paragraph" w:styleId="5">
    <w:name w:val="heading 4"/>
    <w:basedOn w:val="1"/>
    <w:next w:val="1"/>
    <w:qFormat/>
    <w:uiPriority w:val="1"/>
    <w:pPr>
      <w:jc w:val="center"/>
      <w:outlineLvl w:val="3"/>
    </w:pPr>
    <w:rPr>
      <w:sz w:val="36"/>
      <w:szCs w:val="36"/>
    </w:rPr>
  </w:style>
  <w:style w:type="paragraph" w:styleId="6">
    <w:name w:val="heading 5"/>
    <w:basedOn w:val="1"/>
    <w:next w:val="1"/>
    <w:qFormat/>
    <w:uiPriority w:val="1"/>
    <w:pPr>
      <w:ind w:left="112" w:firstLine="0"/>
      <w:outlineLvl w:val="4"/>
    </w:pPr>
    <w:rPr>
      <w:sz w:val="33"/>
      <w:szCs w:val="33"/>
    </w:rPr>
  </w:style>
  <w:style w:type="character" w:default="1" w:styleId="12">
    <w:name w:val="Default Paragraph Font"/>
    <w:unhideWhenUsed/>
    <w:qFormat/>
    <w:uiPriority w:val="1"/>
  </w:style>
  <w:style w:type="table" w:default="1" w:styleId="13">
    <w:name w:val="Normal Table"/>
    <w:unhideWhenUsed/>
    <w:qFormat/>
    <w:uiPriority w:val="99"/>
    <w:tblPr>
      <w:tblLayout w:type="fixed"/>
      <w:tblCellMar>
        <w:top w:w="0" w:type="dxa"/>
        <w:left w:w="108" w:type="dxa"/>
        <w:bottom w:w="0" w:type="dxa"/>
        <w:right w:w="108" w:type="dxa"/>
      </w:tblCellMar>
    </w:tblPr>
  </w:style>
  <w:style w:type="paragraph" w:styleId="7">
    <w:name w:val="caption"/>
    <w:basedOn w:val="1"/>
    <w:next w:val="1"/>
    <w:qFormat/>
    <w:uiPriority w:val="0"/>
    <w:pPr>
      <w:suppressLineNumbers/>
      <w:spacing w:before="120" w:after="120"/>
    </w:pPr>
    <w:rPr>
      <w:i/>
      <w:iCs/>
      <w:sz w:val="24"/>
      <w:szCs w:val="24"/>
    </w:rPr>
  </w:style>
  <w:style w:type="paragraph" w:styleId="8">
    <w:name w:val="Body Text"/>
    <w:basedOn w:val="1"/>
    <w:qFormat/>
    <w:uiPriority w:val="1"/>
    <w:rPr>
      <w:sz w:val="32"/>
      <w:szCs w:val="32"/>
    </w:rPr>
  </w:style>
  <w:style w:type="paragraph" w:styleId="9">
    <w:name w:val="footer"/>
    <w:basedOn w:val="1"/>
    <w:qFormat/>
    <w:uiPriority w:val="0"/>
    <w:pPr>
      <w:tabs>
        <w:tab w:val="center" w:pos="4153"/>
        <w:tab w:val="right" w:pos="8306"/>
      </w:tabs>
      <w:snapToGrid w:val="0"/>
    </w:pPr>
    <w:rPr>
      <w:sz w:val="18"/>
      <w:szCs w:val="18"/>
    </w:rPr>
  </w:style>
  <w:style w:type="paragraph" w:styleId="10">
    <w:name w:val="header"/>
    <w:basedOn w:val="1"/>
    <w:qFormat/>
    <w:uiPriority w:val="0"/>
    <w:pPr>
      <w:pBdr>
        <w:bottom w:val="single" w:color="000000" w:sz="6" w:space="1"/>
      </w:pBdr>
      <w:tabs>
        <w:tab w:val="center" w:pos="4153"/>
        <w:tab w:val="right" w:pos="8306"/>
      </w:tabs>
      <w:snapToGrid w:val="0"/>
      <w:jc w:val="center"/>
    </w:pPr>
    <w:rPr>
      <w:sz w:val="18"/>
      <w:szCs w:val="18"/>
    </w:rPr>
  </w:style>
  <w:style w:type="paragraph" w:styleId="11">
    <w:name w:val="List"/>
    <w:basedOn w:val="8"/>
    <w:qFormat/>
    <w:uiPriority w:val="0"/>
  </w:style>
  <w:style w:type="table" w:styleId="14">
    <w:name w:val="Table Grid"/>
    <w:basedOn w:val="1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customStyle="1" w:styleId="15">
    <w:name w:val="编号符号"/>
    <w:qFormat/>
    <w:uiPriority w:val="0"/>
  </w:style>
  <w:style w:type="character" w:customStyle="1" w:styleId="16">
    <w:name w:val="页眉 字符"/>
    <w:basedOn w:val="12"/>
    <w:qFormat/>
    <w:uiPriority w:val="0"/>
    <w:rPr>
      <w:rFonts w:ascii="Arial Unicode MS" w:hAnsi="Arial Unicode MS" w:eastAsia="Arial Unicode MS" w:cs="Arial Unicode MS"/>
      <w:sz w:val="18"/>
      <w:szCs w:val="18"/>
      <w:lang w:val="zh-CN" w:bidi="zh-CN"/>
    </w:rPr>
  </w:style>
  <w:style w:type="character" w:customStyle="1" w:styleId="17">
    <w:name w:val="页脚 字符"/>
    <w:basedOn w:val="12"/>
    <w:qFormat/>
    <w:uiPriority w:val="0"/>
    <w:rPr>
      <w:rFonts w:ascii="Arial Unicode MS" w:hAnsi="Arial Unicode MS" w:eastAsia="Arial Unicode MS" w:cs="Arial Unicode MS"/>
      <w:sz w:val="18"/>
      <w:szCs w:val="18"/>
      <w:lang w:val="zh-CN" w:bidi="zh-CN"/>
    </w:rPr>
  </w:style>
  <w:style w:type="paragraph" w:customStyle="1" w:styleId="18">
    <w:name w:val="标题样式"/>
    <w:basedOn w:val="1"/>
    <w:next w:val="8"/>
    <w:qFormat/>
    <w:uiPriority w:val="0"/>
    <w:pPr>
      <w:keepNext/>
      <w:spacing w:before="240" w:after="120"/>
    </w:pPr>
    <w:rPr>
      <w:rFonts w:ascii="Liberation Sans" w:hAnsi="Liberation Sans"/>
      <w:sz w:val="28"/>
      <w:szCs w:val="28"/>
    </w:rPr>
  </w:style>
  <w:style w:type="paragraph" w:customStyle="1" w:styleId="19">
    <w:name w:val="索引"/>
    <w:basedOn w:val="1"/>
    <w:qFormat/>
    <w:uiPriority w:val="0"/>
    <w:pPr>
      <w:suppressLineNumbers/>
    </w:pPr>
  </w:style>
  <w:style w:type="paragraph" w:customStyle="1" w:styleId="20">
    <w:name w:val="页眉与页脚"/>
    <w:basedOn w:val="1"/>
    <w:qFormat/>
    <w:uiPriority w:val="0"/>
  </w:style>
  <w:style w:type="paragraph" w:customStyle="1" w:styleId="21">
    <w:name w:val="List Paragraph"/>
    <w:basedOn w:val="1"/>
    <w:qFormat/>
    <w:uiPriority w:val="1"/>
    <w:pPr>
      <w:ind w:left="2039" w:hanging="782"/>
    </w:pPr>
  </w:style>
  <w:style w:type="paragraph" w:customStyle="1" w:styleId="22">
    <w:name w:val="Table Paragraph"/>
    <w:basedOn w:val="1"/>
    <w:qFormat/>
    <w:uiPriority w:val="1"/>
    <w:rPr>
      <w:rFonts w:ascii="宋体" w:hAnsi="宋体" w:eastAsia="宋体" w:cs="宋体"/>
    </w:rPr>
  </w:style>
  <w:style w:type="paragraph" w:customStyle="1" w:styleId="23">
    <w:name w:val="表格内容"/>
    <w:basedOn w:val="1"/>
    <w:qFormat/>
    <w:uiPriority w:val="0"/>
    <w:pPr>
      <w:suppressLineNumbers/>
    </w:pPr>
  </w:style>
  <w:style w:type="paragraph" w:customStyle="1" w:styleId="24">
    <w:name w:val="表格标题"/>
    <w:basedOn w:val="23"/>
    <w:qFormat/>
    <w:uiPriority w:val="0"/>
    <w:pPr>
      <w:jc w:val="center"/>
    </w:pPr>
    <w:rPr>
      <w:b/>
      <w:bCs/>
    </w:rPr>
  </w:style>
  <w:style w:type="paragraph" w:customStyle="1" w:styleId="25">
    <w:name w:val="预格式化的文本"/>
    <w:basedOn w:val="1"/>
    <w:qFormat/>
    <w:uiPriority w:val="0"/>
    <w:rPr>
      <w:rFonts w:ascii="Liberation Mono" w:hAnsi="Liberation Mono" w:eastAsia="新宋体" w:cs="Liberation Mono"/>
      <w:sz w:val="20"/>
      <w:szCs w:val="20"/>
    </w:rPr>
  </w:style>
  <w:style w:type="table" w:customStyle="1" w:styleId="26">
    <w:name w:val="Table Normal"/>
    <w:unhideWhenUsed/>
    <w:qFormat/>
    <w:uiPriority w:val="2"/>
    <w:tblPr>
      <w:tblLayout w:type="fixed"/>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6" Type="http://schemas.openxmlformats.org/officeDocument/2006/relationships/fontTable" Target="fontTable.xml"/><Relationship Id="rId25" Type="http://schemas.openxmlformats.org/officeDocument/2006/relationships/numbering" Target="numbering.xml"/><Relationship Id="rId24" Type="http://schemas.openxmlformats.org/officeDocument/2006/relationships/customXml" Target="../customXml/item1.xml"/><Relationship Id="rId23" Type="http://schemas.openxmlformats.org/officeDocument/2006/relationships/image" Target="media/image2.png"/><Relationship Id="rId22" Type="http://schemas.openxmlformats.org/officeDocument/2006/relationships/image" Target="media/image1.png"/><Relationship Id="rId21" Type="http://schemas.openxmlformats.org/officeDocument/2006/relationships/theme" Target="theme/theme1.xml"/><Relationship Id="rId20" Type="http://schemas.openxmlformats.org/officeDocument/2006/relationships/footer" Target="footer16.xml"/><Relationship Id="rId2" Type="http://schemas.openxmlformats.org/officeDocument/2006/relationships/settings" Target="settings.xml"/><Relationship Id="rId19" Type="http://schemas.openxmlformats.org/officeDocument/2006/relationships/footer" Target="footer15.xml"/><Relationship Id="rId18" Type="http://schemas.openxmlformats.org/officeDocument/2006/relationships/footer" Target="footer14.xml"/><Relationship Id="rId17" Type="http://schemas.openxmlformats.org/officeDocument/2006/relationships/footer" Target="footer13.xml"/><Relationship Id="rId16" Type="http://schemas.openxmlformats.org/officeDocument/2006/relationships/footer" Target="footer12.xml"/><Relationship Id="rId15" Type="http://schemas.openxmlformats.org/officeDocument/2006/relationships/footer" Target="footer11.xml"/><Relationship Id="rId14" Type="http://schemas.openxmlformats.org/officeDocument/2006/relationships/footer" Target="footer10.xml"/><Relationship Id="rId13" Type="http://schemas.openxmlformats.org/officeDocument/2006/relationships/footer" Target="footer9.xml"/><Relationship Id="rId12" Type="http://schemas.openxmlformats.org/officeDocument/2006/relationships/footer" Target="footer8.xml"/><Relationship Id="rId11" Type="http://schemas.openxmlformats.org/officeDocument/2006/relationships/footer" Target="footer7.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23</Pages>
  <Words>3386</Words>
  <Characters>7333</Characters>
  <Lines>0</Lines>
  <Paragraphs>501</Paragraphs>
  <TotalTime>0</TotalTime>
  <ScaleCrop>false</ScaleCrop>
  <LinksUpToDate>false</LinksUpToDate>
  <CharactersWithSpaces>7399</CharactersWithSpaces>
  <Application>WPS Office_10.8.0.5715_F1E327BC-269C-435d-A152-05C5408002CA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2021-04-16T03:22:00Z</dcterms:created>
  <dc:creator>陈长军(本处室套红)</dc:creator>
  <cp:lastModifiedBy>lenovo</cp:lastModifiedBy>
  <dcterms:modified xsi:type="dcterms:W3CDTF">2021-09-07T03:23:30Z</dcterms:modified>
  <dc:title>部门决算公开</dc:title>
  <cp:revision>175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2021-02-03T00:00:00Z</vt:filetime>
  </property>
  <property fmtid="{D5CDD505-2E9C-101B-9397-08002B2CF9AE}" pid="3" name="Creator">
    <vt:lpwstr>ÿþ¹eckýVEŒ⁄ech Y thV </vt:lpwstr>
  </property>
  <property fmtid="{D5CDD505-2E9C-101B-9397-08002B2CF9AE}" pid="4" name="ICV">
    <vt:lpwstr>C823B2FE72FE4DF285E985223D1A425B</vt:lpwstr>
  </property>
  <property fmtid="{D5CDD505-2E9C-101B-9397-08002B2CF9AE}" pid="5" name="KSOProductBuildVer">
    <vt:lpwstr>2052-10.8.0.5715</vt:lpwstr>
  </property>
  <property fmtid="{D5CDD505-2E9C-101B-9397-08002B2CF9AE}" pid="6" name="LastSaved">
    <vt:filetime>2021-04-15T00:00:00Z</vt:filetime>
  </property>
</Properties>
</file>