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CA4" w:rsidRDefault="00553CA4" w:rsidP="00553CA4">
      <w:pPr>
        <w:pStyle w:val="a7"/>
        <w:widowControl/>
        <w:shd w:val="clear" w:color="auto" w:fill="FFFFFF"/>
        <w:spacing w:beforeAutospacing="0" w:afterAutospacing="0" w:line="600" w:lineRule="exact"/>
        <w:jc w:val="both"/>
        <w:rPr>
          <w:rFonts w:ascii="Times New Roman" w:eastAsia="方正仿宋_GBK" w:hAnsi="Times New Roman"/>
          <w:color w:val="333333"/>
          <w:sz w:val="32"/>
          <w:szCs w:val="32"/>
          <w:shd w:val="clear" w:color="auto" w:fill="FFFFFF"/>
        </w:rPr>
      </w:pPr>
      <w:r>
        <w:rPr>
          <w:rFonts w:ascii="Times New Roman" w:eastAsia="方正仿宋_GBK" w:hAnsi="Times New Roman" w:hint="eastAsia"/>
          <w:color w:val="333333"/>
          <w:sz w:val="32"/>
          <w:szCs w:val="32"/>
          <w:shd w:val="clear" w:color="auto" w:fill="FFFFFF"/>
        </w:rPr>
        <w:t>附件</w:t>
      </w:r>
    </w:p>
    <w:p w:rsidR="00553CA4" w:rsidRDefault="00553CA4" w:rsidP="00553CA4">
      <w:pPr>
        <w:pStyle w:val="a7"/>
        <w:widowControl/>
        <w:shd w:val="clear" w:color="auto" w:fill="FFFFFF"/>
        <w:spacing w:beforeAutospacing="0" w:afterAutospacing="0" w:line="600" w:lineRule="exact"/>
        <w:jc w:val="both"/>
        <w:rPr>
          <w:rFonts w:ascii="Times New Roman" w:eastAsia="方正仿宋_GBK" w:hAnsi="Times New Roman"/>
          <w:color w:val="333333"/>
          <w:sz w:val="32"/>
          <w:szCs w:val="32"/>
          <w:shd w:val="clear" w:color="auto" w:fill="FFFFFF"/>
        </w:rPr>
      </w:pPr>
    </w:p>
    <w:tbl>
      <w:tblPr>
        <w:tblW w:w="15109" w:type="dxa"/>
        <w:tblInd w:w="-420" w:type="dxa"/>
        <w:tblLayout w:type="fixed"/>
        <w:tblLook w:val="04A0" w:firstRow="1" w:lastRow="0" w:firstColumn="1" w:lastColumn="0" w:noHBand="0" w:noVBand="1"/>
      </w:tblPr>
      <w:tblGrid>
        <w:gridCol w:w="982"/>
        <w:gridCol w:w="586"/>
        <w:gridCol w:w="1446"/>
        <w:gridCol w:w="5713"/>
        <w:gridCol w:w="1105"/>
        <w:gridCol w:w="5277"/>
      </w:tblGrid>
      <w:tr w:rsidR="00553CA4" w:rsidTr="00631076">
        <w:trPr>
          <w:tblHeader/>
        </w:trPr>
        <w:tc>
          <w:tcPr>
            <w:tcW w:w="15109" w:type="dxa"/>
            <w:gridSpan w:val="6"/>
            <w:tcBorders>
              <w:top w:val="nil"/>
              <w:left w:val="nil"/>
              <w:bottom w:val="single" w:sz="4" w:space="0" w:color="000000"/>
              <w:right w:val="nil"/>
            </w:tcBorders>
            <w:shd w:val="clear" w:color="auto" w:fill="auto"/>
            <w:vAlign w:val="center"/>
          </w:tcPr>
          <w:p w:rsidR="00553CA4" w:rsidRDefault="00553CA4" w:rsidP="00631076">
            <w:pPr>
              <w:widowControl/>
              <w:snapToGrid w:val="0"/>
              <w:jc w:val="center"/>
              <w:textAlignment w:val="center"/>
              <w:rPr>
                <w:rFonts w:ascii="方正小标宋_GBK" w:eastAsia="方正小标宋_GBK" w:hAnsi="方正小标宋_GBK" w:cs="方正小标宋_GBK"/>
                <w:color w:val="000000"/>
                <w:sz w:val="44"/>
                <w:szCs w:val="44"/>
              </w:rPr>
            </w:pPr>
            <w:r>
              <w:rPr>
                <w:rFonts w:ascii="方正小标宋_GBK" w:eastAsia="方正小标宋_GBK" w:hAnsi="方正小标宋_GBK" w:cs="方正小标宋_GBK" w:hint="eastAsia"/>
                <w:color w:val="000000"/>
                <w:kern w:val="0"/>
                <w:sz w:val="44"/>
                <w:szCs w:val="44"/>
                <w:lang w:bidi="ar"/>
              </w:rPr>
              <w:t>2025年养老服务（护理）科研项目申报通过名单</w:t>
            </w:r>
          </w:p>
        </w:tc>
      </w:tr>
      <w:tr w:rsidR="00553CA4" w:rsidTr="00631076">
        <w:trPr>
          <w:tblHeader/>
        </w:trPr>
        <w:tc>
          <w:tcPr>
            <w:tcW w:w="9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地区</w:t>
            </w:r>
          </w:p>
        </w:tc>
        <w:tc>
          <w:tcPr>
            <w:tcW w:w="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序号</w:t>
            </w:r>
          </w:p>
        </w:tc>
        <w:tc>
          <w:tcPr>
            <w:tcW w:w="14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项目类型</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申报课题项目名称</w:t>
            </w:r>
          </w:p>
        </w:tc>
        <w:tc>
          <w:tcPr>
            <w:tcW w:w="1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申请人</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方正黑体_GBK" w:eastAsia="方正黑体_GBK" w:hAnsi="方正黑体_GBK" w:cs="方正黑体_GBK"/>
                <w:color w:val="000000"/>
                <w:sz w:val="28"/>
                <w:szCs w:val="28"/>
              </w:rPr>
            </w:pPr>
            <w:r>
              <w:rPr>
                <w:rFonts w:ascii="方正黑体_GBK" w:eastAsia="方正黑体_GBK" w:hAnsi="方正黑体_GBK" w:cs="方正黑体_GBK" w:hint="eastAsia"/>
                <w:color w:val="000000"/>
                <w:kern w:val="0"/>
                <w:sz w:val="28"/>
                <w:szCs w:val="28"/>
                <w:lang w:bidi="ar"/>
              </w:rPr>
              <w:t>工作单位</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数智赋能居家社区养老护理服务模式效果评估与标准化构建研究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徐</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峰</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江苏福寿康养老服务有限公司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多模态</w:t>
            </w:r>
            <w:r>
              <w:rPr>
                <w:rStyle w:val="font51"/>
                <w:rFonts w:eastAsia="方正仿宋_GBK"/>
                <w:lang w:bidi="ar"/>
              </w:rPr>
              <w:t>AI</w:t>
            </w:r>
            <w:r>
              <w:rPr>
                <w:rStyle w:val="font31"/>
                <w:rFonts w:ascii="Times New Roman" w:hAnsi="Times New Roman" w:cs="Times New Roman" w:hint="default"/>
                <w:lang w:bidi="ar"/>
              </w:rPr>
              <w:t>融合技术接受模型的老年认知症心理促进路径研究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边森森</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南京康颐养老服务有限公司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养老机构等级评定与养老机构护理质量标准及评价体系的研究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陆</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敏</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江苏省社会福利协会</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养老机构与社区居家场景下老年安宁疗护服务体系的构建与实践研究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石晓燕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江苏省社会福利协会</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5</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基于物联网与大数据的</w:t>
            </w:r>
            <w:r>
              <w:rPr>
                <w:rStyle w:val="font51"/>
                <w:rFonts w:eastAsia="方正仿宋_GBK"/>
                <w:lang w:bidi="ar"/>
              </w:rPr>
              <w:t>“</w:t>
            </w:r>
            <w:r>
              <w:rPr>
                <w:rStyle w:val="font31"/>
                <w:rFonts w:ascii="Times New Roman" w:hAnsi="Times New Roman" w:cs="Times New Roman" w:hint="default"/>
                <w:lang w:bidi="ar"/>
              </w:rPr>
              <w:t>互联网</w:t>
            </w:r>
            <w:r>
              <w:rPr>
                <w:rStyle w:val="font51"/>
                <w:rFonts w:eastAsia="方正仿宋_GBK"/>
                <w:lang w:bidi="ar"/>
              </w:rPr>
              <w:t>+”</w:t>
            </w:r>
            <w:r>
              <w:rPr>
                <w:rStyle w:val="font31"/>
                <w:rFonts w:ascii="Times New Roman" w:hAnsi="Times New Roman" w:cs="Times New Roman" w:hint="default"/>
                <w:lang w:bidi="ar"/>
              </w:rPr>
              <w:t>居家社区智慧养老护理模式创新与应用</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魏</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丹</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南京市江北新区槐兴居家养老服务中心</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6</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江苏省居家养老服务体系的效能评估与提升研究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吴美仪</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南京市鼓楼区霞辉精神关爱中心</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7</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养老机构老年人能力综合评估模式研究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孙将来</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南京高堂和悦养服务有限公司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8</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城市居家社区养老服务整合照护模式探析</w:t>
            </w:r>
            <w:r>
              <w:rPr>
                <w:rStyle w:val="font51"/>
                <w:rFonts w:eastAsia="方正仿宋_GBK"/>
                <w:lang w:bidi="ar"/>
              </w:rPr>
              <w:t>——</w:t>
            </w:r>
            <w:r>
              <w:rPr>
                <w:rStyle w:val="font31"/>
                <w:rFonts w:ascii="Times New Roman" w:hAnsi="Times New Roman" w:cs="Times New Roman" w:hint="default"/>
                <w:lang w:bidi="ar"/>
              </w:rPr>
              <w:t>以普斯康健实践为例</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贺</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勤</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南京普斯康健养老服务中心</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9</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老龄化背景下养老机构安宁疗护法律风险与防控机制研究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陈</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曦</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南京市点将台社会福利院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10</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老年人助医陪诊服务现状及对策研究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冯新转</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南京市祖堂山社会福利院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11</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居家社区养老服务盈利模式</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张</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荣</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南京市鼓楼区助康乐居家养老服务中心</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12</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w:t>
            </w:r>
            <w:r>
              <w:rPr>
                <w:rFonts w:ascii="Times New Roman" w:eastAsia="方正仿宋_GBK" w:hAnsi="Times New Roman" w:cs="Times New Roman"/>
                <w:color w:val="000000"/>
                <w:kern w:val="0"/>
                <w:sz w:val="28"/>
                <w:szCs w:val="28"/>
                <w:lang w:bidi="ar"/>
              </w:rPr>
              <w:t>“</w:t>
            </w:r>
            <w:r>
              <w:rPr>
                <w:rFonts w:ascii="Times New Roman" w:eastAsia="方正仿宋_GBK" w:hAnsi="Times New Roman" w:cs="Times New Roman"/>
                <w:color w:val="000000"/>
                <w:kern w:val="0"/>
                <w:sz w:val="28"/>
                <w:szCs w:val="28"/>
                <w:lang w:bidi="ar"/>
              </w:rPr>
              <w:t>筋骨并重</w:t>
            </w:r>
            <w:r>
              <w:rPr>
                <w:rFonts w:ascii="Times New Roman" w:eastAsia="方正仿宋_GBK" w:hAnsi="Times New Roman" w:cs="Times New Roman"/>
                <w:color w:val="000000"/>
                <w:kern w:val="0"/>
                <w:sz w:val="28"/>
                <w:szCs w:val="28"/>
                <w:lang w:bidi="ar"/>
              </w:rPr>
              <w:t>”</w:t>
            </w:r>
            <w:r>
              <w:rPr>
                <w:rFonts w:ascii="Times New Roman" w:eastAsia="方正仿宋_GBK" w:hAnsi="Times New Roman" w:cs="Times New Roman"/>
                <w:color w:val="000000"/>
                <w:kern w:val="0"/>
                <w:sz w:val="28"/>
                <w:szCs w:val="28"/>
                <w:lang w:bidi="ar"/>
              </w:rPr>
              <w:t>理论下的改良八段锦引导术对老年肌少</w:t>
            </w:r>
            <w:r>
              <w:rPr>
                <w:rStyle w:val="font51"/>
                <w:rFonts w:eastAsia="方正仿宋_GBK"/>
                <w:lang w:bidi="ar"/>
              </w:rPr>
              <w:t>-</w:t>
            </w:r>
            <w:r>
              <w:rPr>
                <w:rStyle w:val="font31"/>
                <w:rFonts w:ascii="Times New Roman" w:hAnsi="Times New Roman" w:cs="Times New Roman" w:hint="default"/>
                <w:lang w:bidi="ar"/>
              </w:rPr>
              <w:t>骨质疏松症的干预作用</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张迎春</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江苏省中医院</w:t>
            </w:r>
          </w:p>
        </w:tc>
      </w:tr>
      <w:tr w:rsidR="00553CA4" w:rsidTr="00631076">
        <w:tc>
          <w:tcPr>
            <w:tcW w:w="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无锡</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13</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分层分类培训体系在养老机构护理员队伍建设中的应用</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赵</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娟</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无锡市滨湖区百禾怡养院</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常州</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14</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打造养老机构示范性安宁疗护体系</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张慧敏</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常州市福利院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15</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养老机构老年人活动动力系统构建与干预研究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梁秀香</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常州市福利院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16</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w:t>
            </w:r>
            <w:r>
              <w:rPr>
                <w:rStyle w:val="font31"/>
                <w:rFonts w:ascii="Times New Roman" w:hAnsi="Times New Roman" w:cs="Times New Roman" w:hint="default"/>
                <w:lang w:bidi="ar"/>
              </w:rPr>
              <w:t>适老化实验室</w:t>
            </w:r>
            <w:r>
              <w:rPr>
                <w:rStyle w:val="font51"/>
                <w:rFonts w:eastAsia="方正仿宋_GBK"/>
                <w:lang w:bidi="ar"/>
              </w:rPr>
              <w:t>+</w:t>
            </w:r>
            <w:r>
              <w:rPr>
                <w:rStyle w:val="font31"/>
                <w:rFonts w:ascii="Times New Roman" w:hAnsi="Times New Roman" w:cs="Times New Roman" w:hint="default"/>
                <w:lang w:bidi="ar"/>
              </w:rPr>
              <w:t>家庭照护者培训</w:t>
            </w:r>
            <w:r>
              <w:rPr>
                <w:rStyle w:val="font51"/>
                <w:rFonts w:eastAsia="方正仿宋_GBK"/>
                <w:lang w:bidi="ar"/>
              </w:rPr>
              <w:t>”</w:t>
            </w:r>
            <w:r>
              <w:rPr>
                <w:rStyle w:val="font31"/>
                <w:rFonts w:ascii="Times New Roman" w:hAnsi="Times New Roman" w:cs="Times New Roman" w:hint="default"/>
                <w:lang w:bidi="ar"/>
              </w:rPr>
              <w:t>的居家养老支持模式研究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丁一凡</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常州牡丹金龄汇健康产业有限公司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17</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居家社区老年健康促进综合模式探索</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戴</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常州净慧养老服务运营管理有限公司</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lastRenderedPageBreak/>
              <w:t>苏州</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18</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《产教融合视角下养老服务专业人才培养模式探索与实践》</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陆</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涛</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苏州市社会福利总院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19</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《数智赋能的社区居家</w:t>
            </w:r>
            <w:r>
              <w:rPr>
                <w:rStyle w:val="font51"/>
                <w:rFonts w:eastAsia="方正仿宋_GBK"/>
                <w:lang w:bidi="ar"/>
              </w:rPr>
              <w:t>“</w:t>
            </w:r>
            <w:r>
              <w:rPr>
                <w:rStyle w:val="font31"/>
                <w:rFonts w:ascii="Times New Roman" w:hAnsi="Times New Roman" w:cs="Times New Roman" w:hint="default"/>
                <w:lang w:bidi="ar"/>
              </w:rPr>
              <w:t>医养结合</w:t>
            </w:r>
            <w:r>
              <w:rPr>
                <w:rStyle w:val="font51"/>
                <w:rFonts w:eastAsia="方正仿宋_GBK"/>
                <w:lang w:bidi="ar"/>
              </w:rPr>
              <w:t>”</w:t>
            </w:r>
            <w:r>
              <w:rPr>
                <w:rStyle w:val="font31"/>
                <w:rFonts w:ascii="Times New Roman" w:hAnsi="Times New Roman" w:cs="Times New Roman" w:hint="default"/>
                <w:lang w:bidi="ar"/>
              </w:rPr>
              <w:t>循环服务体系研究》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孙</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陈</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苏州德颐善金仓养老产业有限公司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20</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w:t>
            </w:r>
            <w:r>
              <w:rPr>
                <w:rStyle w:val="font51"/>
                <w:rFonts w:eastAsia="方正仿宋_GBK"/>
                <w:lang w:bidi="ar"/>
              </w:rPr>
              <w:t>AI</w:t>
            </w:r>
            <w:r>
              <w:rPr>
                <w:rStyle w:val="font31"/>
                <w:rFonts w:ascii="Times New Roman" w:hAnsi="Times New Roman" w:cs="Times New Roman" w:hint="default"/>
                <w:lang w:bidi="ar"/>
              </w:rPr>
              <w:t>云平台的养老机构营养干预有效性及规模化应用研究》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沈全文</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苏州阳光护理院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21</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《养老服务管理人才培养的校企合作模式研究与实践》</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吴玉霞</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苏州市苏康养养老运营管理有限公司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22</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《融合巡视与评估的多模态大模型老年照护多智能体系统构建研究》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陆巳辛</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苏州市社会福利总院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23</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《人工智能赋能下养老机构智慧平台建设优化研究》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陆</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妍</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苏州工业园区健康养老产业发展有限公司</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南通</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24</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基于解释性时序混合方法的养老护理员心理压力缓解路径研究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张爱梅</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如皋申丞护理院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25</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基于膳食质量的营养干预对养老机构老年人多维衰弱的影响</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李子元</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南通申丞市北护理院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26</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 xml:space="preserve">PDCA </w:t>
            </w:r>
            <w:r>
              <w:rPr>
                <w:rStyle w:val="font31"/>
                <w:rFonts w:ascii="Times New Roman" w:hAnsi="Times New Roman" w:cs="Times New Roman" w:hint="default"/>
                <w:lang w:bidi="ar"/>
              </w:rPr>
              <w:t>循环联合</w:t>
            </w:r>
            <w:r>
              <w:rPr>
                <w:rStyle w:val="font51"/>
                <w:rFonts w:eastAsia="方正仿宋_GBK"/>
                <w:lang w:bidi="ar"/>
              </w:rPr>
              <w:t xml:space="preserve">SBAR </w:t>
            </w:r>
            <w:r>
              <w:rPr>
                <w:rStyle w:val="font31"/>
                <w:rFonts w:ascii="Times New Roman" w:hAnsi="Times New Roman" w:cs="Times New Roman" w:hint="default"/>
                <w:lang w:bidi="ar"/>
              </w:rPr>
              <w:t>模式在医养结合机构护理交接班中的应用研究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童小燕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南通市阳光新城康复护理院有限公司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27</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芳香疗法联合耳穴埋籽对养老机构老年人睡眠质量的影响</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尹建芳</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南通市阳光养老产业集团有限公司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28</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基于人文关怀的家庭病床老年患者居家照护路径优化研究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沈爱娣</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如皋申丞护理院</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淮安</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29</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医养结合背景下养老机构安宁服务与医疗资源的联动模式研究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蒋</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苏</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涟水县九如城朱码养护院有限公司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30</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社区嵌入式养老机构</w:t>
            </w:r>
            <w:r>
              <w:rPr>
                <w:rStyle w:val="font51"/>
                <w:rFonts w:eastAsia="方正仿宋_GBK"/>
                <w:lang w:bidi="ar"/>
              </w:rPr>
              <w:t>“</w:t>
            </w:r>
            <w:r>
              <w:rPr>
                <w:rStyle w:val="font31"/>
                <w:rFonts w:ascii="Times New Roman" w:hAnsi="Times New Roman" w:cs="Times New Roman" w:hint="default"/>
                <w:lang w:bidi="ar"/>
              </w:rPr>
              <w:t>医养康养</w:t>
            </w:r>
            <w:r>
              <w:rPr>
                <w:rStyle w:val="font51"/>
                <w:rFonts w:eastAsia="方正仿宋_GBK"/>
                <w:lang w:bidi="ar"/>
              </w:rPr>
              <w:t>”</w:t>
            </w:r>
            <w:r>
              <w:rPr>
                <w:rStyle w:val="font31"/>
                <w:rFonts w:ascii="Times New Roman" w:hAnsi="Times New Roman" w:cs="Times New Roman" w:hint="default"/>
                <w:lang w:bidi="ar"/>
              </w:rPr>
              <w:t>融合服务的资源整合机制与政策协同研究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闵</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兢</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淮阴工学院人文与社会科学学院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31</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基于机器学习的居家失能老人压力性损伤风险预测模型研究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严</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瑾</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涟水县社会福利中心</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32</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养老机构护理员核心胜任力现状及影响因素研究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汤春菊</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江苏护理职业学院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33</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基于人际互动的</w:t>
            </w:r>
            <w:r>
              <w:rPr>
                <w:rStyle w:val="font51"/>
                <w:rFonts w:eastAsia="方正仿宋_GBK"/>
                <w:lang w:bidi="ar"/>
              </w:rPr>
              <w:t>”</w:t>
            </w:r>
            <w:r>
              <w:rPr>
                <w:rStyle w:val="font31"/>
                <w:rFonts w:ascii="Times New Roman" w:hAnsi="Times New Roman" w:cs="Times New Roman" w:hint="default"/>
                <w:lang w:bidi="ar"/>
              </w:rPr>
              <w:t>情感扎根</w:t>
            </w:r>
            <w:r>
              <w:rPr>
                <w:rStyle w:val="font51"/>
                <w:rFonts w:eastAsia="方正仿宋_GBK"/>
                <w:lang w:bidi="ar"/>
              </w:rPr>
              <w:t>”</w:t>
            </w:r>
            <w:r>
              <w:rPr>
                <w:rStyle w:val="font31"/>
                <w:rFonts w:ascii="Times New Roman" w:hAnsi="Times New Roman" w:cs="Times New Roman" w:hint="default"/>
                <w:lang w:bidi="ar"/>
              </w:rPr>
              <w:t>：养老机构老人情感支持路径及实践效果研究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郭凤莲</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淮安市社会福利院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34</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老年人活动管理与干预体系研究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樊</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凡</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淮安市社会福利院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35</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基于养老机构质力提升的</w:t>
            </w:r>
            <w:r>
              <w:rPr>
                <w:rStyle w:val="font51"/>
                <w:rFonts w:eastAsia="方正仿宋_GBK"/>
                <w:lang w:bidi="ar"/>
              </w:rPr>
              <w:t>MDT</w:t>
            </w:r>
            <w:r>
              <w:rPr>
                <w:rStyle w:val="font31"/>
                <w:rFonts w:ascii="Times New Roman" w:hAnsi="Times New Roman" w:cs="Times New Roman" w:hint="default"/>
                <w:lang w:bidi="ar"/>
              </w:rPr>
              <w:t>多学科团队建设研究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赵锦燕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淮安市社会福利院</w:t>
            </w:r>
          </w:p>
        </w:tc>
      </w:tr>
      <w:tr w:rsidR="00553CA4" w:rsidTr="00631076">
        <w:tc>
          <w:tcPr>
            <w:tcW w:w="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扬州</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36</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养老机构中个案管理对提升长者（家属）满意度的干预研究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王晓银</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扬州扬子江玖玖养老服务有限公司</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镇江</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37</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养老机构失能老人护理质量管理评价指标体系构建研究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潘莹莹</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镇江信缘康护理院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38</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养老护理人员心理疏导能力的提升路径研究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常春燕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镇江市丹徒区九如城养老服务有限公司</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39</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智慧化驱动下医养结合机构个性化护理方案构建与质量提升研究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高</w:t>
            </w:r>
            <w:r>
              <w:rPr>
                <w:rFonts w:ascii="Times New Roman" w:eastAsia="方正仿宋_GBK" w:hAnsi="Times New Roman" w:cs="Times New Roman"/>
                <w:color w:val="000000"/>
                <w:kern w:val="0"/>
                <w:sz w:val="28"/>
                <w:szCs w:val="28"/>
                <w:lang w:bidi="ar"/>
              </w:rPr>
              <w:t xml:space="preserve">  </w:t>
            </w:r>
            <w:r>
              <w:rPr>
                <w:rFonts w:ascii="Times New Roman" w:eastAsia="方正仿宋_GBK" w:hAnsi="Times New Roman" w:cs="Times New Roman"/>
                <w:color w:val="000000"/>
                <w:kern w:val="0"/>
                <w:sz w:val="28"/>
                <w:szCs w:val="28"/>
                <w:lang w:bidi="ar"/>
              </w:rPr>
              <w:t>玲</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镇江信缘康米山颐养院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40</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重点项目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基于养老机构失智照护服务模式下的居家老人的认知障碍早期筛查及干预方法探讨</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成林平</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镇江新区星瑞护养院</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41</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日本介护保险制度对中国养老服务体系优化的启示</w:t>
            </w:r>
            <w:r>
              <w:rPr>
                <w:rStyle w:val="font51"/>
                <w:rFonts w:eastAsia="方正仿宋_GBK"/>
                <w:lang w:bidi="ar"/>
              </w:rPr>
              <w:t>-</w:t>
            </w:r>
            <w:r>
              <w:rPr>
                <w:rStyle w:val="font31"/>
                <w:rFonts w:ascii="Times New Roman" w:hAnsi="Times New Roman" w:cs="Times New Roman" w:hint="default"/>
                <w:lang w:bidi="ar"/>
              </w:rPr>
              <w:t>基于丹阳善德养老的实践</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万建勋</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丹阳善德养老发展有限公司</w:t>
            </w:r>
          </w:p>
        </w:tc>
      </w:tr>
      <w:tr w:rsidR="00553CA4" w:rsidTr="00631076">
        <w:tc>
          <w:tcPr>
            <w:tcW w:w="9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泰州</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42</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机构养老服务</w:t>
            </w:r>
            <w:r>
              <w:rPr>
                <w:rFonts w:ascii="Times New Roman" w:eastAsia="方正仿宋_GBK" w:hAnsi="Times New Roman" w:cs="Times New Roman"/>
                <w:color w:val="000000"/>
                <w:kern w:val="0"/>
                <w:sz w:val="28"/>
                <w:szCs w:val="28"/>
                <w:lang w:bidi="ar"/>
              </w:rPr>
              <w:t>——</w:t>
            </w:r>
            <w:r>
              <w:rPr>
                <w:rFonts w:ascii="Times New Roman" w:eastAsia="方正仿宋_GBK" w:hAnsi="Times New Roman" w:cs="Times New Roman"/>
                <w:color w:val="000000"/>
                <w:kern w:val="0"/>
                <w:sz w:val="28"/>
                <w:szCs w:val="28"/>
                <w:lang w:bidi="ar"/>
              </w:rPr>
              <w:t>提升专业化认知障碍照护服务水平</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丁小萍</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泰兴市夕阳红养老院</w:t>
            </w:r>
          </w:p>
        </w:tc>
      </w:tr>
      <w:tr w:rsidR="00553CA4" w:rsidTr="00631076">
        <w:tc>
          <w:tcPr>
            <w:tcW w:w="982"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lastRenderedPageBreak/>
              <w:t>宿迁</w:t>
            </w: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43</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在医养结合模式下中医综合护理调治老人心肾不交型失眠的效果研究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周观林</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宿迁市宿豫区安汇老年公寓</w:t>
            </w:r>
          </w:p>
        </w:tc>
      </w:tr>
      <w:tr w:rsidR="00553CA4" w:rsidTr="00631076">
        <w:tc>
          <w:tcPr>
            <w:tcW w:w="982"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53CA4" w:rsidRDefault="00553CA4" w:rsidP="00631076">
            <w:pPr>
              <w:snapToGrid w:val="0"/>
              <w:jc w:val="center"/>
              <w:rPr>
                <w:rFonts w:ascii="Times New Roman" w:eastAsia="方正仿宋_GBK" w:hAnsi="Times New Roman" w:cs="Times New Roman"/>
                <w:color w:val="000000"/>
                <w:sz w:val="28"/>
                <w:szCs w:val="28"/>
              </w:rPr>
            </w:pPr>
          </w:p>
        </w:tc>
        <w:tc>
          <w:tcPr>
            <w:tcW w:w="5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44</w:t>
            </w:r>
          </w:p>
        </w:tc>
        <w:tc>
          <w:tcPr>
            <w:tcW w:w="14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一般项目</w:t>
            </w:r>
          </w:p>
        </w:tc>
        <w:tc>
          <w:tcPr>
            <w:tcW w:w="57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基于</w:t>
            </w:r>
            <w:r>
              <w:rPr>
                <w:rStyle w:val="font51"/>
                <w:rFonts w:eastAsia="方正仿宋_GBK"/>
                <w:lang w:bidi="ar"/>
              </w:rPr>
              <w:t>FMEA</w:t>
            </w:r>
            <w:r>
              <w:rPr>
                <w:rStyle w:val="font31"/>
                <w:rFonts w:ascii="Times New Roman" w:hAnsi="Times New Roman" w:cs="Times New Roman" w:hint="default"/>
                <w:lang w:bidi="ar"/>
              </w:rPr>
              <w:t>模式的养老机构高风险护理环节失效分析与优化策略研究</w:t>
            </w: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宋晓燕</w:t>
            </w:r>
          </w:p>
        </w:tc>
        <w:tc>
          <w:tcPr>
            <w:tcW w:w="5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53CA4" w:rsidRDefault="00553CA4" w:rsidP="00631076">
            <w:pPr>
              <w:widowControl/>
              <w:snapToGrid w:val="0"/>
              <w:jc w:val="center"/>
              <w:textAlignment w:val="center"/>
              <w:rPr>
                <w:rFonts w:ascii="Times New Roman" w:eastAsia="方正仿宋_GBK" w:hAnsi="Times New Roman" w:cs="Times New Roman"/>
                <w:color w:val="000000"/>
                <w:sz w:val="28"/>
                <w:szCs w:val="28"/>
              </w:rPr>
            </w:pPr>
            <w:r>
              <w:rPr>
                <w:rFonts w:ascii="Times New Roman" w:eastAsia="方正仿宋_GBK" w:hAnsi="Times New Roman" w:cs="Times New Roman"/>
                <w:color w:val="000000"/>
                <w:kern w:val="0"/>
                <w:sz w:val="28"/>
                <w:szCs w:val="28"/>
                <w:lang w:bidi="ar"/>
              </w:rPr>
              <w:t>沭阳禄福养老管理有限公司</w:t>
            </w:r>
          </w:p>
        </w:tc>
      </w:tr>
    </w:tbl>
    <w:p w:rsidR="00553CA4" w:rsidRDefault="00553CA4" w:rsidP="00553CA4">
      <w:pPr>
        <w:pStyle w:val="a7"/>
        <w:widowControl/>
        <w:shd w:val="clear" w:color="auto" w:fill="FFFFFF"/>
        <w:spacing w:beforeAutospacing="0" w:afterAutospacing="0" w:line="600" w:lineRule="exact"/>
        <w:jc w:val="center"/>
        <w:rPr>
          <w:rFonts w:ascii="Times New Roman" w:eastAsia="方正小标宋_GBK" w:hAnsi="Times New Roman"/>
          <w:color w:val="333333"/>
          <w:sz w:val="44"/>
          <w:szCs w:val="44"/>
          <w:shd w:val="clear" w:color="auto" w:fill="FFFFFF"/>
        </w:rPr>
      </w:pPr>
    </w:p>
    <w:p w:rsidR="00553CA4" w:rsidRDefault="00553CA4" w:rsidP="00553CA4">
      <w:pPr>
        <w:spacing w:line="600" w:lineRule="exact"/>
      </w:pPr>
    </w:p>
    <w:p w:rsidR="007401AB" w:rsidRPr="00553CA4" w:rsidRDefault="007401AB">
      <w:bookmarkStart w:id="0" w:name="_GoBack"/>
      <w:bookmarkEnd w:id="0"/>
    </w:p>
    <w:sectPr w:rsidR="007401AB" w:rsidRPr="00553CA4">
      <w:pgSz w:w="16838" w:h="11906" w:orient="landscape"/>
      <w:pgMar w:top="1803" w:right="1440" w:bottom="1803" w:left="1440" w:header="851" w:footer="992" w:gutter="0"/>
      <w:cols w:space="0"/>
      <w:docGrid w:type="lines" w:linePitch="31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43B9" w:rsidRDefault="006E43B9" w:rsidP="00553CA4">
      <w:r>
        <w:separator/>
      </w:r>
    </w:p>
  </w:endnote>
  <w:endnote w:type="continuationSeparator" w:id="0">
    <w:p w:rsidR="006E43B9" w:rsidRDefault="006E43B9" w:rsidP="00553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43B9" w:rsidRDefault="006E43B9" w:rsidP="00553CA4">
      <w:r>
        <w:separator/>
      </w:r>
    </w:p>
  </w:footnote>
  <w:footnote w:type="continuationSeparator" w:id="0">
    <w:p w:rsidR="006E43B9" w:rsidRDefault="006E43B9" w:rsidP="00553C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defaultTabStop w:val="420"/>
  <w:evenAndOddHeaders/>
  <w:drawingGridHorizontalSpacing w:val="158"/>
  <w:drawingGridVerticalSpacing w:val="579"/>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E53"/>
    <w:rsid w:val="00030679"/>
    <w:rsid w:val="00553CA4"/>
    <w:rsid w:val="006E43B9"/>
    <w:rsid w:val="007401AB"/>
    <w:rsid w:val="009E0E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F72F9DC-9ECC-41D8-A993-000791AFB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仿宋_GBK" w:hAnsi="Times New Roman" w:cstheme="minorBidi"/>
        <w:kern w:val="2"/>
        <w:sz w:val="32"/>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3CA4"/>
    <w:pPr>
      <w:widowControl w:val="0"/>
      <w:jc w:val="both"/>
    </w:pPr>
    <w:rPr>
      <w:rFonts w:asciiTheme="minorHAnsi" w:eastAsiaTheme="minorEastAsia" w:hAnsiTheme="minorHAnsi"/>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3CA4"/>
    <w:pPr>
      <w:pBdr>
        <w:bottom w:val="single" w:sz="6" w:space="1" w:color="auto"/>
      </w:pBdr>
      <w:tabs>
        <w:tab w:val="center" w:pos="4153"/>
        <w:tab w:val="right" w:pos="8306"/>
      </w:tabs>
      <w:snapToGrid w:val="0"/>
      <w:jc w:val="center"/>
    </w:pPr>
    <w:rPr>
      <w:rFonts w:ascii="Times New Roman" w:eastAsia="方正仿宋_GBK" w:hAnsi="Times New Roman"/>
      <w:sz w:val="18"/>
      <w:szCs w:val="18"/>
    </w:rPr>
  </w:style>
  <w:style w:type="character" w:customStyle="1" w:styleId="a4">
    <w:name w:val="页眉 字符"/>
    <w:basedOn w:val="a0"/>
    <w:link w:val="a3"/>
    <w:uiPriority w:val="99"/>
    <w:rsid w:val="00553CA4"/>
    <w:rPr>
      <w:sz w:val="18"/>
      <w:szCs w:val="18"/>
    </w:rPr>
  </w:style>
  <w:style w:type="paragraph" w:styleId="a5">
    <w:name w:val="footer"/>
    <w:basedOn w:val="a"/>
    <w:link w:val="a6"/>
    <w:uiPriority w:val="99"/>
    <w:unhideWhenUsed/>
    <w:rsid w:val="00553CA4"/>
    <w:pPr>
      <w:tabs>
        <w:tab w:val="center" w:pos="4153"/>
        <w:tab w:val="right" w:pos="8306"/>
      </w:tabs>
      <w:snapToGrid w:val="0"/>
      <w:jc w:val="left"/>
    </w:pPr>
    <w:rPr>
      <w:rFonts w:ascii="Times New Roman" w:eastAsia="方正仿宋_GBK" w:hAnsi="Times New Roman"/>
      <w:sz w:val="18"/>
      <w:szCs w:val="18"/>
    </w:rPr>
  </w:style>
  <w:style w:type="character" w:customStyle="1" w:styleId="a6">
    <w:name w:val="页脚 字符"/>
    <w:basedOn w:val="a0"/>
    <w:link w:val="a5"/>
    <w:uiPriority w:val="99"/>
    <w:rsid w:val="00553CA4"/>
    <w:rPr>
      <w:sz w:val="18"/>
      <w:szCs w:val="18"/>
    </w:rPr>
  </w:style>
  <w:style w:type="paragraph" w:styleId="a7">
    <w:name w:val="Normal (Web)"/>
    <w:basedOn w:val="a"/>
    <w:rsid w:val="00553CA4"/>
    <w:pPr>
      <w:spacing w:beforeAutospacing="1" w:afterAutospacing="1"/>
      <w:jc w:val="left"/>
    </w:pPr>
    <w:rPr>
      <w:rFonts w:cs="Times New Roman"/>
      <w:kern w:val="0"/>
      <w:sz w:val="24"/>
    </w:rPr>
  </w:style>
  <w:style w:type="character" w:customStyle="1" w:styleId="font51">
    <w:name w:val="font51"/>
    <w:basedOn w:val="a0"/>
    <w:rsid w:val="00553CA4"/>
    <w:rPr>
      <w:rFonts w:ascii="Times New Roman" w:hAnsi="Times New Roman" w:cs="Times New Roman" w:hint="default"/>
      <w:color w:val="000000"/>
      <w:sz w:val="28"/>
      <w:szCs w:val="28"/>
      <w:u w:val="none"/>
    </w:rPr>
  </w:style>
  <w:style w:type="character" w:customStyle="1" w:styleId="font31">
    <w:name w:val="font31"/>
    <w:basedOn w:val="a0"/>
    <w:rsid w:val="00553CA4"/>
    <w:rPr>
      <w:rFonts w:ascii="方正仿宋_GBK" w:eastAsia="方正仿宋_GBK" w:hAnsi="方正仿宋_GBK" w:cs="方正仿宋_GBK" w:hint="eastAsia"/>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360</Words>
  <Characters>2058</Characters>
  <Application>Microsoft Office Word</Application>
  <DocSecurity>0</DocSecurity>
  <Lines>17</Lines>
  <Paragraphs>4</Paragraphs>
  <ScaleCrop>false</ScaleCrop>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2025-12-03T08:46:00Z</dcterms:created>
  <dcterms:modified xsi:type="dcterms:W3CDTF">2025-12-03T08:47:00Z</dcterms:modified>
</cp:coreProperties>
</file>