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eastAsia="方正仿宋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附件2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民办非企业单位20</w:t>
      </w: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22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年度检查结论（第</w:t>
      </w: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二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批）</w:t>
      </w:r>
    </w:p>
    <w:tbl>
      <w:tblPr>
        <w:tblStyle w:val="3"/>
        <w:tblW w:w="8140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4"/>
        <w:gridCol w:w="5786"/>
        <w:gridCol w:w="1670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  <w:t>民办非企业单位名称</w:t>
            </w: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  <w:lang w:val="en-US" w:eastAsia="zh-CN"/>
              </w:rPr>
              <w:t>(按拼音顺序排序)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  <w:lang w:eastAsia="zh-CN"/>
              </w:rPr>
              <w:t>年检</w:t>
            </w: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  <w:t>结论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江苏省苏协环境技术研究院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江苏省五星知识产权服务中心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江苏东进文工团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江苏东南信息技术学校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江苏华夏艺术研究院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江苏金陵理工研修学院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江苏金莎美容美发培训学校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江苏迈特望教育培训中心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江苏南方农药研究中心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江苏省东南教育研究院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江苏省金钟山淮扬菜文化研究中心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江苏省联创软件研究院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江苏省世博诗书画院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江苏省现代交通节能减排工程技术研究中心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江苏省至美青少年书画研究中心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江苏苏建职业培训学校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江苏苏培职业技术培训学校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江苏王春职业培训学校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default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江苏先锋党建研究院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default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江苏现代医院管理研究中心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江苏新时代自贸研究院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江苏远见新经营战略研究院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江苏紫金传媒智库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无锡立信日语进修学院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</w:tbl>
    <w:p>
      <w:pPr>
        <w:widowControl/>
        <w:snapToGrid w:val="0"/>
        <w:spacing w:line="240" w:lineRule="atLeast"/>
        <w:jc w:val="center"/>
        <w:textAlignment w:val="bottom"/>
        <w:rPr>
          <w:rFonts w:hint="eastAsia" w:eastAsia="方正仿宋_GBK"/>
          <w:color w:val="000000"/>
          <w:kern w:val="0"/>
          <w:sz w:val="24"/>
          <w:szCs w:val="24"/>
          <w:lang w:val="en-US" w:eastAsia="zh-CN" w:bidi="ar"/>
        </w:rPr>
      </w:pPr>
    </w:p>
    <w:p>
      <w:pPr>
        <w:rPr>
          <w:rFonts w:hint="eastAsia" w:eastAsia="方正仿宋_GBK"/>
          <w:sz w:val="32"/>
          <w:szCs w:val="32"/>
        </w:rPr>
      </w:pPr>
    </w:p>
    <w:p>
      <w:pPr>
        <w:rPr>
          <w:rFonts w:hint="eastAsia" w:eastAsia="方正仿宋_GBK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183615"/>
    <w:rsid w:val="4618361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2023-08-07T09:47:00Z</dcterms:created>
  <dc:creator>admin</dc:creator>
  <cp:lastModifiedBy>admin</cp:lastModifiedBy>
  <dcterms:modified xsi:type="dcterms:W3CDTF">2023-08-07T09:47:33Z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