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
    <w:p/>
    <w:p/>
    <w:p/>
    <w:p>
      <w:pPr>
        <w:rPr>
          <w:rFonts w:hint="eastAsia"/>
        </w:rPr>
      </w:pPr>
      <w:r>
        <w:rPr>
          <w:rFonts w:hint="eastAsia"/>
        </w:rPr>
        <w:t xml:space="preserve"> </w:t>
      </w:r>
      <w:r>
        <w:t xml:space="preserve"> </w:t>
      </w:r>
    </w:p>
    <w:p>
      <w:pPr>
        <w:ind w:right="284" w:rightChars="129"/>
        <w:jc w:val="both"/>
        <w:rPr>
          <w:rFonts w:ascii="宋体" w:hAnsi="宋体" w:eastAsia="宋体" w:cs="宋体"/>
          <w:b/>
          <w:bCs/>
          <w:sz w:val="52"/>
          <w:szCs w:val="52"/>
        </w:rPr>
      </w:pPr>
    </w:p>
    <w:p>
      <w:pPr>
        <w:ind w:right="284" w:rightChars="129"/>
        <w:jc w:val="center"/>
        <w:rPr>
          <w:rFonts w:hint="eastAsia" w:ascii="宋体" w:hAnsi="宋体" w:eastAsia="宋体" w:cs="宋体"/>
          <w:b/>
          <w:bCs/>
          <w:sz w:val="52"/>
          <w:szCs w:val="52"/>
          <w:lang w:val="en-US" w:eastAsia="zh-CN"/>
        </w:rPr>
      </w:pPr>
      <w:r>
        <w:rPr>
          <w:rFonts w:hint="eastAsia" w:ascii="宋体" w:hAnsi="宋体" w:eastAsia="宋体" w:cs="宋体"/>
          <w:b/>
          <w:bCs/>
          <w:sz w:val="52"/>
          <w:szCs w:val="52"/>
          <w:lang w:val="en-US" w:eastAsia="zh-CN"/>
        </w:rPr>
        <w:t>2021年度江苏省立新农场单位决算公开</w:t>
      </w:r>
    </w:p>
    <w:p>
      <w:pPr>
        <w:ind w:right="284" w:rightChars="129"/>
        <w:jc w:val="center"/>
        <w:rPr>
          <w:rFonts w:hint="eastAsia" w:ascii="宋体" w:hAnsi="宋体" w:eastAsia="宋体" w:cs="宋体"/>
          <w:b/>
          <w:bCs/>
          <w:sz w:val="52"/>
          <w:szCs w:val="52"/>
          <w:lang w:val="en-US" w:eastAsia="zh-CN"/>
        </w:rPr>
      </w:pPr>
    </w:p>
    <w:p>
      <w:pPr>
        <w:ind w:right="284" w:rightChars="129"/>
        <w:jc w:val="both"/>
        <w:rPr>
          <w:rFonts w:hint="eastAsia" w:ascii="宋体" w:hAnsi="宋体" w:eastAsia="宋体" w:cs="宋体"/>
          <w:b/>
          <w:bCs/>
          <w:sz w:val="52"/>
          <w:szCs w:val="52"/>
          <w:lang w:val="en-US" w:eastAsia="zh-CN"/>
        </w:rPr>
      </w:pPr>
    </w:p>
    <w:p>
      <w:pPr>
        <w:keepNext w:val="0"/>
        <w:keepLines w:val="0"/>
        <w:pageBreakBefore w:val="0"/>
        <w:widowControl w:val="0"/>
        <w:kinsoku/>
        <w:wordWrap/>
        <w:overflowPunct/>
        <w:topLinePunct w:val="0"/>
        <w:autoSpaceDE/>
        <w:autoSpaceDN/>
        <w:bidi w:val="0"/>
        <w:adjustRightInd/>
        <w:snapToGrid/>
        <w:spacing w:line="860" w:lineRule="exact"/>
        <w:ind w:right="284" w:rightChars="129" w:firstLine="2209" w:firstLineChars="500"/>
        <w:jc w:val="both"/>
        <w:textAlignment w:val="auto"/>
        <w:rPr>
          <w:rFonts w:hint="default" w:ascii="宋体" w:hAnsi="宋体" w:eastAsia="宋体" w:cs="宋体"/>
          <w:b/>
          <w:bCs/>
          <w:sz w:val="44"/>
          <w:szCs w:val="44"/>
          <w:lang w:val="en-US" w:eastAsia="zh-CN"/>
        </w:rPr>
      </w:pPr>
      <w:r>
        <w:rPr>
          <w:rFonts w:hint="eastAsia" w:ascii="宋体" w:hAnsi="宋体" w:eastAsia="宋体" w:cs="宋体"/>
          <w:b/>
          <w:bCs/>
          <w:sz w:val="44"/>
          <w:szCs w:val="44"/>
          <w:lang w:val="en-US" w:eastAsia="zh-CN"/>
        </w:rPr>
        <w:t>单位负</w:t>
      </w:r>
      <w:bookmarkStart w:id="0" w:name="_GoBack"/>
      <w:bookmarkEnd w:id="0"/>
      <w:r>
        <w:rPr>
          <w:rFonts w:hint="eastAsia" w:ascii="宋体" w:hAnsi="宋体" w:eastAsia="宋体" w:cs="宋体"/>
          <w:b/>
          <w:bCs/>
          <w:sz w:val="44"/>
          <w:szCs w:val="44"/>
          <w:lang w:val="en-US" w:eastAsia="zh-CN"/>
        </w:rPr>
        <w:t>责人：陈  博</w:t>
      </w:r>
    </w:p>
    <w:p>
      <w:pPr>
        <w:keepNext w:val="0"/>
        <w:keepLines w:val="0"/>
        <w:pageBreakBefore w:val="0"/>
        <w:widowControl w:val="0"/>
        <w:kinsoku/>
        <w:wordWrap/>
        <w:overflowPunct/>
        <w:topLinePunct w:val="0"/>
        <w:autoSpaceDE/>
        <w:autoSpaceDN/>
        <w:bidi w:val="0"/>
        <w:adjustRightInd/>
        <w:snapToGrid/>
        <w:spacing w:line="860" w:lineRule="exact"/>
        <w:ind w:right="284" w:rightChars="129" w:firstLine="2209" w:firstLineChars="500"/>
        <w:jc w:val="both"/>
        <w:textAlignment w:val="auto"/>
        <w:rPr>
          <w:rFonts w:hint="default" w:ascii="宋体" w:hAnsi="宋体" w:eastAsia="宋体" w:cs="宋体"/>
          <w:b/>
          <w:bCs/>
          <w:sz w:val="44"/>
          <w:szCs w:val="44"/>
          <w:lang w:val="en-US" w:eastAsia="zh-CN"/>
        </w:rPr>
      </w:pPr>
      <w:r>
        <w:rPr>
          <w:rFonts w:hint="eastAsia" w:ascii="宋体" w:hAnsi="宋体" w:eastAsia="宋体" w:cs="宋体"/>
          <w:b/>
          <w:bCs/>
          <w:sz w:val="44"/>
          <w:szCs w:val="44"/>
          <w:lang w:val="en-US" w:eastAsia="zh-CN"/>
        </w:rPr>
        <w:t>财务负责人：汤  丽</w:t>
      </w:r>
    </w:p>
    <w:p>
      <w:pPr>
        <w:keepNext w:val="0"/>
        <w:keepLines w:val="0"/>
        <w:pageBreakBefore w:val="0"/>
        <w:widowControl w:val="0"/>
        <w:kinsoku/>
        <w:wordWrap/>
        <w:overflowPunct/>
        <w:topLinePunct w:val="0"/>
        <w:autoSpaceDE/>
        <w:autoSpaceDN/>
        <w:bidi w:val="0"/>
        <w:adjustRightInd/>
        <w:snapToGrid/>
        <w:spacing w:line="860" w:lineRule="exact"/>
        <w:ind w:right="284" w:rightChars="129" w:firstLine="2209" w:firstLineChars="500"/>
        <w:jc w:val="both"/>
        <w:textAlignment w:val="auto"/>
        <w:rPr>
          <w:rFonts w:hint="default" w:ascii="宋体" w:hAnsi="宋体" w:eastAsia="宋体" w:cs="宋体"/>
          <w:b/>
          <w:bCs/>
          <w:sz w:val="44"/>
          <w:szCs w:val="44"/>
          <w:lang w:val="en-US" w:eastAsia="zh-CN"/>
        </w:rPr>
      </w:pPr>
      <w:r>
        <w:rPr>
          <w:rFonts w:hint="eastAsia" w:ascii="宋体" w:hAnsi="宋体" w:eastAsia="宋体" w:cs="宋体"/>
          <w:b/>
          <w:bCs/>
          <w:sz w:val="44"/>
          <w:szCs w:val="44"/>
          <w:lang w:val="en-US" w:eastAsia="zh-CN"/>
        </w:rPr>
        <w:t>填  表 人：张  洁</w:t>
      </w:r>
    </w:p>
    <w:p>
      <w:pPr>
        <w:keepNext w:val="0"/>
        <w:keepLines w:val="0"/>
        <w:pageBreakBefore w:val="0"/>
        <w:widowControl w:val="0"/>
        <w:kinsoku/>
        <w:wordWrap/>
        <w:overflowPunct/>
        <w:topLinePunct w:val="0"/>
        <w:autoSpaceDE/>
        <w:autoSpaceDN/>
        <w:bidi w:val="0"/>
        <w:adjustRightInd/>
        <w:snapToGrid/>
        <w:spacing w:line="860" w:lineRule="exact"/>
        <w:ind w:right="284" w:rightChars="129" w:firstLine="2209" w:firstLineChars="500"/>
        <w:jc w:val="both"/>
        <w:textAlignment w:val="auto"/>
        <w:rPr>
          <w:rFonts w:hint="default" w:ascii="宋体" w:hAnsi="宋体" w:eastAsia="宋体" w:cs="宋体"/>
          <w:b/>
          <w:bCs/>
          <w:sz w:val="44"/>
          <w:szCs w:val="44"/>
          <w:lang w:val="en-US" w:eastAsia="zh-CN"/>
        </w:rPr>
      </w:pPr>
      <w:r>
        <w:rPr>
          <w:rFonts w:hint="eastAsia" w:ascii="宋体" w:hAnsi="宋体" w:eastAsia="宋体" w:cs="宋体"/>
          <w:b/>
          <w:bCs/>
          <w:sz w:val="44"/>
          <w:szCs w:val="44"/>
          <w:lang w:val="en-US" w:eastAsia="zh-CN"/>
        </w:rPr>
        <w:t>报送时间：2022年8月26日</w:t>
      </w:r>
    </w:p>
    <w:p>
      <w:pPr>
        <w:ind w:right="284" w:rightChars="129"/>
        <w:jc w:val="both"/>
        <w:rPr>
          <w:rFonts w:hint="eastAsia" w:ascii="宋体" w:hAnsi="宋体" w:eastAsia="宋体" w:cs="宋体"/>
          <w:b/>
          <w:bCs/>
          <w:sz w:val="52"/>
          <w:szCs w:val="52"/>
          <w:lang w:val="en-US" w:eastAsia="zh-CN"/>
        </w:rPr>
      </w:pPr>
    </w:p>
    <w:p>
      <w:pPr>
        <w:ind w:right="284" w:rightChars="129"/>
        <w:jc w:val="both"/>
        <w:rPr>
          <w:rFonts w:hint="default" w:ascii="宋体" w:hAnsi="宋体" w:eastAsia="宋体" w:cs="宋体"/>
          <w:b/>
          <w:bCs/>
          <w:sz w:val="52"/>
          <w:szCs w:val="52"/>
          <w:lang w:val="en-US" w:eastAsia="zh-CN"/>
        </w:rPr>
        <w:sectPr>
          <w:headerReference r:id="rId4" w:type="first"/>
          <w:headerReference r:id="rId3" w:type="default"/>
          <w:pgSz w:w="11906" w:h="16838"/>
          <w:pgMar w:top="1580" w:right="700" w:bottom="770" w:left="1020" w:header="170" w:footer="280" w:gutter="0"/>
          <w:cols w:space="720" w:num="1"/>
          <w:formProt w:val="0"/>
          <w:titlePg/>
          <w:docGrid w:linePitch="100" w:charSpace="0"/>
        </w:sectPr>
      </w:pPr>
      <w:r>
        <w:rPr>
          <w:rFonts w:hint="eastAsia" w:ascii="宋体" w:hAnsi="宋体" w:eastAsia="宋体" w:cs="宋体"/>
          <w:b/>
          <w:bCs/>
          <w:sz w:val="52"/>
          <w:szCs w:val="52"/>
          <w:lang w:val="en-US" w:eastAsia="zh-CN"/>
        </w:rPr>
        <w:t xml:space="preserve">   </w:t>
      </w:r>
    </w:p>
    <w:p>
      <w:pPr>
        <w:pStyle w:val="8"/>
        <w:spacing w:before="4"/>
        <w:rPr>
          <w:rFonts w:ascii="华文仿宋" w:hAnsi="华文仿宋" w:eastAsia="华文仿宋" w:cs="仿宋"/>
          <w:sz w:val="10"/>
        </w:rPr>
      </w:pPr>
    </w:p>
    <w:p>
      <w:pPr>
        <w:pStyle w:val="3"/>
        <w:tabs>
          <w:tab w:val="left" w:pos="880"/>
        </w:tabs>
        <w:spacing w:line="718" w:lineRule="exact"/>
        <w:ind w:right="313"/>
        <w:rPr>
          <w:rFonts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rPr>
          <w:rFonts w:ascii="仿宋" w:hAnsi="仿宋" w:eastAsia="仿宋" w:cs="仿宋"/>
          <w:sz w:val="27"/>
        </w:rPr>
      </w:pPr>
    </w:p>
    <w:p>
      <w:pPr>
        <w:pStyle w:val="8"/>
        <w:spacing w:line="360" w:lineRule="auto"/>
        <w:ind w:left="671" w:leftChars="300" w:hanging="11"/>
        <w:jc w:val="both"/>
        <w:outlineLvl w:val="0"/>
        <w:rPr>
          <w:rFonts w:ascii="黑体" w:hAnsi="黑体" w:eastAsia="黑体" w:cs="黑体"/>
        </w:rPr>
      </w:pPr>
      <w:r>
        <w:rPr>
          <w:rFonts w:hint="eastAsia" w:ascii="黑体" w:hAnsi="黑体" w:eastAsia="黑体" w:cs="黑体"/>
        </w:rPr>
        <w:t xml:space="preserve">第一部分 </w:t>
      </w:r>
      <w:r>
        <w:rPr>
          <w:rFonts w:hint="eastAsia" w:ascii="黑体" w:hAnsi="黑体" w:eastAsia="黑体" w:cs="黑体"/>
          <w:lang w:val="en-US"/>
        </w:rPr>
        <w:t>单位</w:t>
      </w:r>
      <w:r>
        <w:rPr>
          <w:rFonts w:hint="eastAsia" w:ascii="黑体" w:hAnsi="黑体" w:eastAsia="黑体" w:cs="黑体"/>
        </w:rPr>
        <w:t>概况</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一、主要职能</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二、</w:t>
      </w:r>
      <w:r>
        <w:rPr>
          <w:rFonts w:hint="eastAsia" w:ascii="仿宋" w:hAnsi="仿宋" w:eastAsia="仿宋" w:cs="仿宋"/>
          <w:lang w:val="en-US"/>
        </w:rPr>
        <w:t>单位</w:t>
      </w:r>
      <w:r>
        <w:rPr>
          <w:rFonts w:hint="eastAsia" w:ascii="仿宋" w:hAnsi="仿宋" w:eastAsia="仿宋" w:cs="仿宋"/>
        </w:rPr>
        <w:t>机构设置及决算单位构成情况</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三、2021年度主要工作完成情况</w:t>
      </w:r>
    </w:p>
    <w:p>
      <w:pPr>
        <w:pStyle w:val="8"/>
        <w:spacing w:line="360" w:lineRule="auto"/>
        <w:ind w:left="671" w:leftChars="300" w:hanging="11"/>
        <w:jc w:val="both"/>
        <w:rPr>
          <w:rFonts w:ascii="黑体" w:hAnsi="黑体" w:eastAsia="黑体" w:cs="黑体"/>
        </w:rPr>
      </w:pPr>
      <w:r>
        <w:rPr>
          <w:rFonts w:hint="eastAsia" w:ascii="黑体" w:hAnsi="黑体" w:eastAsia="黑体" w:cs="黑体"/>
          <w:lang w:val="en-US"/>
        </w:rPr>
        <w:t>第二部分 2021年度</w:t>
      </w:r>
      <w:r>
        <w:rPr>
          <w:rFonts w:ascii="黑体" w:hAnsi="黑体" w:eastAsia="黑体" w:cs="黑体"/>
        </w:rPr>
        <w:t>单位决算表</w:t>
      </w:r>
    </w:p>
    <w:p>
      <w:pPr>
        <w:pStyle w:val="8"/>
        <w:spacing w:line="360" w:lineRule="auto"/>
        <w:ind w:left="671" w:leftChars="300" w:right="5774" w:hanging="11"/>
        <w:jc w:val="both"/>
        <w:rPr>
          <w:rFonts w:ascii="仿宋" w:hAnsi="仿宋" w:eastAsia="仿宋" w:cs="仿宋"/>
        </w:rPr>
      </w:pPr>
      <w:r>
        <w:rPr>
          <w:rFonts w:hint="eastAsia" w:ascii="仿宋" w:hAnsi="仿宋" w:eastAsia="仿宋" w:cs="仿宋"/>
          <w:spacing w:val="-2"/>
        </w:rPr>
        <w:t>一、收入支出决算总表</w:t>
      </w:r>
    </w:p>
    <w:p>
      <w:pPr>
        <w:pStyle w:val="8"/>
        <w:spacing w:line="360" w:lineRule="auto"/>
        <w:ind w:left="671" w:leftChars="300" w:right="5774" w:hanging="11"/>
        <w:jc w:val="both"/>
        <w:rPr>
          <w:rFonts w:ascii="仿宋" w:hAnsi="仿宋" w:eastAsia="仿宋" w:cs="仿宋"/>
        </w:rPr>
      </w:pPr>
      <w:r>
        <w:rPr>
          <w:rFonts w:hint="eastAsia" w:ascii="仿宋" w:hAnsi="仿宋" w:eastAsia="仿宋" w:cs="仿宋"/>
        </w:rPr>
        <w:t>二、收入决算表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w w:val="95"/>
        </w:rPr>
        <w:t>三、支出决算表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四、财政拨款收入支出决算总表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五、财政拨款支出决算表（功能科目）</w:t>
      </w:r>
    </w:p>
    <w:p>
      <w:pPr>
        <w:pStyle w:val="8"/>
        <w:spacing w:line="360" w:lineRule="auto"/>
        <w:ind w:left="671" w:leftChars="300" w:right="2894" w:hanging="11"/>
        <w:jc w:val="both"/>
        <w:rPr>
          <w:rFonts w:hint="eastAsia" w:ascii="仿宋" w:hAnsi="仿宋" w:eastAsia="仿宋" w:cs="仿宋"/>
        </w:rPr>
      </w:pPr>
      <w:r>
        <w:rPr>
          <w:rFonts w:hint="eastAsia" w:ascii="仿宋" w:hAnsi="仿宋" w:eastAsia="仿宋" w:cs="仿宋"/>
        </w:rPr>
        <w:t>六、财政拨款基本支出决算表（经济科目）</w:t>
      </w:r>
    </w:p>
    <w:p>
      <w:pPr>
        <w:pStyle w:val="8"/>
        <w:spacing w:line="360" w:lineRule="auto"/>
        <w:ind w:left="671" w:leftChars="300" w:right="2894" w:hanging="11"/>
        <w:jc w:val="both"/>
        <w:rPr>
          <w:rFonts w:ascii="仿宋" w:hAnsi="仿宋" w:eastAsia="仿宋" w:cs="仿宋"/>
        </w:rPr>
      </w:pPr>
      <w:r>
        <w:rPr>
          <w:rFonts w:hint="eastAsia" w:ascii="仿宋" w:hAnsi="仿宋" w:eastAsia="仿宋" w:cs="仿宋"/>
        </w:rPr>
        <w:t>七、一般公共预算支出决算表（功能科目）</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八、一般公共预算基本支出决算表（经济科目）</w:t>
      </w:r>
    </w:p>
    <w:p>
      <w:pPr>
        <w:pStyle w:val="8"/>
        <w:spacing w:line="360" w:lineRule="auto"/>
        <w:ind w:left="671" w:leftChars="300" w:hanging="11"/>
        <w:jc w:val="both"/>
        <w:rPr>
          <w:rFonts w:ascii="仿宋" w:hAnsi="仿宋" w:eastAsia="仿宋" w:cs="仿宋"/>
        </w:rPr>
      </w:pPr>
      <w:r>
        <w:rPr>
          <w:rFonts w:hint="eastAsia" w:ascii="仿宋" w:hAnsi="仿宋" w:eastAsia="仿宋" w:cs="仿宋"/>
        </w:rPr>
        <w:t>九、一般公共预算“三公”经费、会议费、培训费支出决算表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十、政府性基金预算支出决算表</w:t>
      </w:r>
    </w:p>
    <w:p>
      <w:pPr>
        <w:pStyle w:val="8"/>
        <w:spacing w:line="360" w:lineRule="auto"/>
        <w:ind w:left="671" w:leftChars="300" w:right="2575" w:hanging="11"/>
        <w:jc w:val="both"/>
        <w:rPr>
          <w:rFonts w:ascii="仿宋" w:hAnsi="仿宋" w:eastAsia="仿宋" w:cs="仿宋"/>
          <w:lang w:val="en-US"/>
        </w:rPr>
      </w:pPr>
      <w:r>
        <w:rPr>
          <w:rFonts w:hint="eastAsia" w:ascii="仿宋" w:hAnsi="仿宋" w:eastAsia="仿宋" w:cs="仿宋"/>
        </w:rPr>
        <w:t>十一、</w:t>
      </w:r>
      <w:r>
        <w:rPr>
          <w:rFonts w:hint="eastAsia" w:ascii="仿宋" w:hAnsi="仿宋" w:eastAsia="仿宋" w:cs="仿宋"/>
          <w:lang w:val="en-US"/>
        </w:rPr>
        <w:t>国有资本经营预算支出决算表</w:t>
      </w:r>
    </w:p>
    <w:p>
      <w:pPr>
        <w:pStyle w:val="8"/>
        <w:spacing w:line="360" w:lineRule="auto"/>
        <w:ind w:left="671" w:leftChars="300" w:right="2575" w:hanging="11"/>
        <w:jc w:val="both"/>
        <w:rPr>
          <w:rFonts w:ascii="仿宋" w:hAnsi="仿宋" w:eastAsia="仿宋" w:cs="仿宋"/>
        </w:rPr>
      </w:pPr>
      <w:r>
        <w:rPr>
          <w:rFonts w:hint="eastAsia" w:ascii="仿宋" w:hAnsi="仿宋" w:eastAsia="仿宋" w:cs="仿宋"/>
        </w:rPr>
        <w:t>十</w:t>
      </w:r>
      <w:r>
        <w:rPr>
          <w:rFonts w:hint="eastAsia" w:ascii="仿宋" w:hAnsi="仿宋" w:eastAsia="仿宋" w:cs="仿宋"/>
          <w:lang w:val="en-US"/>
        </w:rPr>
        <w:t>二</w:t>
      </w:r>
      <w:r>
        <w:rPr>
          <w:rFonts w:hint="eastAsia" w:ascii="仿宋" w:hAnsi="仿宋" w:eastAsia="仿宋" w:cs="仿宋"/>
        </w:rPr>
        <w:t>、一般公共预算机关运行经费支出决算表</w:t>
      </w:r>
    </w:p>
    <w:p>
      <w:pPr>
        <w:pStyle w:val="8"/>
        <w:spacing w:line="360" w:lineRule="auto"/>
        <w:ind w:left="671" w:leftChars="300" w:right="2575" w:hanging="11"/>
        <w:jc w:val="both"/>
        <w:rPr>
          <w:rFonts w:ascii="仿宋" w:hAnsi="仿宋" w:eastAsia="仿宋" w:cs="仿宋"/>
        </w:rPr>
      </w:pPr>
      <w:r>
        <w:rPr>
          <w:rFonts w:hint="eastAsia" w:ascii="仿宋" w:hAnsi="仿宋" w:eastAsia="仿宋" w:cs="仿宋"/>
        </w:rPr>
        <w:t>十</w:t>
      </w:r>
      <w:r>
        <w:rPr>
          <w:rFonts w:hint="eastAsia" w:ascii="仿宋" w:hAnsi="仿宋" w:eastAsia="仿宋" w:cs="仿宋"/>
          <w:lang w:val="en-US"/>
        </w:rPr>
        <w:t>三</w:t>
      </w:r>
      <w:r>
        <w:rPr>
          <w:rFonts w:hint="eastAsia" w:ascii="仿宋" w:hAnsi="仿宋" w:eastAsia="仿宋" w:cs="仿宋"/>
        </w:rPr>
        <w:t>、政府采购支出决算表</w:t>
      </w:r>
    </w:p>
    <w:p>
      <w:pPr>
        <w:pStyle w:val="8"/>
        <w:spacing w:line="360" w:lineRule="auto"/>
        <w:ind w:left="671" w:leftChars="300" w:hanging="11"/>
        <w:jc w:val="both"/>
        <w:rPr>
          <w:rFonts w:ascii="黑体" w:hAnsi="黑体" w:eastAsia="黑体" w:cs="黑体"/>
          <w:lang w:val="en-US"/>
        </w:rPr>
      </w:pPr>
      <w:r>
        <w:rPr>
          <w:rFonts w:hint="eastAsia" w:ascii="黑体" w:hAnsi="黑体" w:eastAsia="黑体" w:cs="黑体"/>
          <w:lang w:val="en-US"/>
        </w:rPr>
        <w:t>第三部分 2021年度</w:t>
      </w:r>
      <w:r>
        <w:rPr>
          <w:rFonts w:ascii="黑体" w:hAnsi="黑体" w:eastAsia="黑体" w:cs="黑体"/>
        </w:rPr>
        <w:t>单位决算情况说明</w:t>
      </w:r>
    </w:p>
    <w:p>
      <w:pPr>
        <w:pStyle w:val="8"/>
        <w:spacing w:line="360" w:lineRule="auto"/>
        <w:ind w:left="671" w:leftChars="300" w:hanging="11"/>
        <w:jc w:val="both"/>
        <w:rPr>
          <w:rFonts w:ascii="仿宋" w:hAnsi="仿宋" w:eastAsia="仿宋" w:cs="仿宋"/>
          <w:b/>
          <w:bCs/>
          <w:color w:val="000000"/>
          <w:sz w:val="30"/>
          <w:szCs w:val="30"/>
          <w:lang w:val="en-US" w:bidi="ar"/>
        </w:rPr>
      </w:pPr>
      <w:r>
        <w:rPr>
          <w:rFonts w:hint="eastAsia" w:ascii="黑体" w:hAnsi="黑体" w:eastAsia="黑体" w:cs="黑体"/>
          <w:lang w:val="en-US"/>
        </w:rPr>
        <w:t>第四部分 名词解释</w:t>
      </w:r>
    </w:p>
    <w:p>
      <w:pPr>
        <w:pStyle w:val="8"/>
        <w:spacing w:line="235" w:lineRule="auto"/>
        <w:ind w:left="669" w:leftChars="300" w:right="2414" w:hanging="9"/>
        <w:jc w:val="both"/>
        <w:rPr>
          <w:rFonts w:ascii="仿宋" w:hAnsi="仿宋" w:eastAsia="仿宋" w:cs="仿宋"/>
        </w:rPr>
        <w:sectPr>
          <w:footerReference r:id="rId5" w:type="default"/>
          <w:pgSz w:w="11906" w:h="16838"/>
          <w:pgMar w:top="1580" w:right="700" w:bottom="770" w:left="1020" w:header="283" w:footer="280" w:gutter="0"/>
          <w:pgNumType w:fmt="numberInDash" w:start="1"/>
          <w:cols w:space="720" w:num="1"/>
          <w:formProt w:val="0"/>
          <w:docGrid w:linePitch="100" w:charSpace="0"/>
        </w:sectPr>
      </w:pPr>
    </w:p>
    <w:p>
      <w:pPr>
        <w:pStyle w:val="8"/>
        <w:spacing w:before="1"/>
        <w:rPr>
          <w:rFonts w:ascii="华文仿宋" w:hAnsi="华文仿宋" w:eastAsia="华文仿宋" w:cs="仿宋"/>
          <w:sz w:val="14"/>
        </w:rPr>
      </w:pPr>
    </w:p>
    <w:p>
      <w:pPr>
        <w:pStyle w:val="5"/>
        <w:tabs>
          <w:tab w:val="left" w:pos="4395"/>
        </w:tabs>
        <w:spacing w:line="606" w:lineRule="exact"/>
        <w:ind w:right="504" w:rightChars="229"/>
        <w:rPr>
          <w:rFonts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rPr>
        <w:t xml:space="preserve"> </w:t>
      </w:r>
      <w:r>
        <w:rPr>
          <w:rFonts w:hint="eastAsia" w:ascii="宋体" w:hAnsi="宋体" w:eastAsia="宋体" w:cs="宋体"/>
          <w:b/>
          <w:bCs/>
        </w:rPr>
        <w:t>单位概况</w:t>
      </w:r>
    </w:p>
    <w:p>
      <w:pPr>
        <w:ind w:right="504" w:rightChars="229"/>
        <w:jc w:val="both"/>
      </w:pP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一、主要职能</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（一）负责安置全省长期流浪人员。对其负责思想教育转化，提供就业技能培训和劳动生产岗位。</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（二）负责安置全省民政系统儿童福利院大龄残疾人员。对其负责教育培养，提供就业技能培训和力所能及的劳动生产岗位。</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（三）履行保障民政服务对象的职能。对场内高龄孤寡老人和失能孤残人员，提供养老和助残服务。</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（四）完成省民政厅交办的其他任务。</w:t>
      </w: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二、</w:t>
      </w:r>
      <w:r>
        <w:rPr>
          <w:rFonts w:ascii="黑体" w:hAnsi="黑体" w:eastAsia="黑体" w:cs="黑体"/>
        </w:rPr>
        <w:t>单位</w:t>
      </w:r>
      <w:r>
        <w:rPr>
          <w:rFonts w:hint="eastAsia" w:ascii="黑体" w:hAnsi="黑体" w:eastAsia="黑体" w:cs="黑体"/>
        </w:rPr>
        <w:t>机构设置及决算单位构成情况</w:t>
      </w:r>
    </w:p>
    <w:p>
      <w:pPr>
        <w:pStyle w:val="8"/>
        <w:spacing w:line="360" w:lineRule="auto"/>
        <w:ind w:left="440" w:leftChars="200" w:right="504" w:rightChars="229" w:firstLine="658"/>
        <w:jc w:val="both"/>
        <w:rPr>
          <w:rFonts w:ascii="仿宋" w:hAnsi="仿宋" w:eastAsia="仿宋" w:cs="仿宋"/>
        </w:rPr>
      </w:pPr>
      <w:r>
        <w:rPr>
          <w:rFonts w:hint="eastAsia" w:ascii="仿宋" w:hAnsi="仿宋" w:eastAsia="仿宋" w:cs="仿宋"/>
        </w:rPr>
        <w:t>根据</w:t>
      </w:r>
      <w:r>
        <w:rPr>
          <w:rFonts w:hint="eastAsia" w:ascii="仿宋" w:hAnsi="仿宋" w:eastAsia="仿宋" w:cs="仿宋"/>
          <w:lang w:val="en-US"/>
        </w:rPr>
        <w:t>单位</w:t>
      </w:r>
      <w:r>
        <w:rPr>
          <w:rFonts w:hint="eastAsia" w:ascii="仿宋" w:hAnsi="仿宋" w:eastAsia="仿宋" w:cs="仿宋"/>
        </w:rPr>
        <w:t>职责分工，</w:t>
      </w:r>
      <w:r>
        <w:rPr>
          <w:rFonts w:ascii="仿宋" w:hAnsi="仿宋" w:eastAsia="仿宋" w:cs="仿宋"/>
        </w:rPr>
        <w:t>本单位内设机构包括（一）办公室（党建办公室）。负责农场日常运转，承担信息、安全、保密、信访、接待、政务公开、督查督办、新闻宣传等工作；承担农场党建、群团工作。（二）国有资产管理科。负责单位国有资产管理工作；负责固定资产及办公用品采购、处置；负责建设项目管理。（三）农业产业发展科。负责全场农业生产及农产品销售，农田水利建设规划、实施和管理，做好全场农业产业结构调整工作。（四）工业生产科。负责承接工业产品代加工业务；协调监督驻场工业企业安全生产工作。（五）社区服务科。承担场区居民社区综合治理工作；负责全场物业管理工作；负责民政服务对象及退休人员服务管理工作。（六）计划财务科。负责农场财务工作，拟订农场事业发展规划；负责农场资金审计、使用、监督工作；负责财务统计工作；协助做好国有资产管理工作。（七）人事科。负责全场人事管理、机构编制工作；组织全场职工教育培训。（八）职工食堂。负责职工食堂经营管理工作。本单位无下属单位。</w:t>
      </w: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三、2021年度主要工作完成情况</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2021年，省立新农场在厅党组的正确领导下，以“加强自身建设，着眼转型发展，确保安全稳定"为总体思路，规范管理，凝聚人心，探索经济发展新模式，打赢疫情防控攻坚战，营造风清气正政治环境，为农场十四五期间转型发展奠定了基础。现将本年度工作总结如下：</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一、以党建为引领，不断加强单位党组织建设</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是充实开展党史学习教育。统筹安排各项内容，通过原原本本学、集中研讨学、对照先进学、联系实际学等方式，推动学习教育往深里走、往心里走、往实里走。邀请专家开展《长夜里的星火》《学党史守初心传承红色家风》《矢志不渝奋发图强在党的指引下走好新时代赶考路》3次专题讲座；赴盐城新四军纪念馆开展接受革命传统教育和扬州双博馆进行现场教学；组织开展“科长论坛”、积极参加厅青年干部培训班等，强化思想教育，提升综合素质。在党史学习教育中着力解决群众“急难愁盼”事。将学习教育、调查研究、检视问题、整改落实贯穿全过程，组织专题学习研讨12次、支部书记上党课2次、专题组织生活会2次。二是充实打造坚强支委班子。严格落实《中国共产党支部工作条例（试行）》，按照党支部标准化、规划范建设要求，围绕健全基本组织、建强基本队伍、开展基本活动、落实基本制度、强化基本保障，不断强化党支部政治功能和服务功能。9月，圆满完成支委换届选举，成立了新一届的支部委员会，在只有1名场领导的情况下，充分发挥支委班子作用，打造坚强领导核心。三是强化干部职工队伍建设。打破“一潭死水”，做到人岗相适、人事相宜，对12名干部职工进行了岗位调整；稳妥做好干部人事档案专项审核，对30多人的年龄、参加工作时间、学历等进行了重新认定；组织13名干部参加在职学历教育、23名职工参加技能培训和办公自动化学习。四是落实全面从严治党责任，加强党风廉政建设。2021年年初，农场主要负责同志与各科室主要负责人签订了《</w:t>
      </w:r>
      <w:r>
        <w:rPr>
          <w:rFonts w:hint="eastAsia" w:ascii="仿宋" w:hAnsi="仿宋" w:eastAsia="仿宋" w:cs="仿宋"/>
          <w:lang w:eastAsia="zh-CN"/>
        </w:rPr>
        <w:t>落实全面从严治党</w:t>
      </w:r>
      <w:r>
        <w:rPr>
          <w:rFonts w:ascii="仿宋" w:hAnsi="仿宋" w:eastAsia="仿宋" w:cs="仿宋"/>
        </w:rPr>
        <w:t>责任书》和《业务管理目标责任书》，排查了各部门廉政风险点；6月，根据驻厅纪检组提出的纪律检查建议，认真研究制定了整改方案。五是加强群团组织建设。2021年五一劳动节，农场成立了工会、妇委会等群团组织，为凝聚全场人心、搭建沟通桥梁，保障职工福利发挥了巨大作用。</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二、着眼转型发展，切实维护群众利益</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是制定农场“三定”方案。历经近一年的充分调研、酝酿，在征求各方意见的基础上，制定了建场以来首个“三定方案”，进一步优化了内部组织架构，提高了部门运行效率，规范了管理运营模式，实现了单位正规化建设的转型。二是将“开源”与“节流”相结合，不断拓宽增收创收渠道。在农场企业关停清算债权债务的过程中，及时追回原五金厂货款91万元，确保了国有资产不流失；调整农场粮食种植模式，采用机械化、集约式种植，由原来每人种35亩，到现在1人种180余亩，每年节约成本约18万元；原五金厂关停后，积极调整经营模式，承接工业产品代加工业务，既解决了职工工作岗位问题，又增加了经济收入，同时也避免了因原材料涨价带来的亏损，有效盘活国有资产；利用农场闲置土地、厂房进行“招商引资”，2021年引入扬州惠多多农产品种植专业合作社、扬州威高机电等3家企业入驻农场；成立职工食堂，开展对外经营，不仅保障了全场职工工作用餐，还能在对外经营中增加创收。2021年实现事业创收94.96万元，其中，工业完成创收29.53万元；农业完成创收40.32万元；其他完成创收25.11万元，超目标责任5.5%（注：目标责任书事业创收90万元）。三是为长远发展奠定基础。在领导支持、多方协调、努力争取下，2021年终于取得了农场土地、建筑设施不动产权登记证书，特别是粮站等地块的确权，节约了300多万土地转让费，为农场今后的建设发展奠定了坚实基础。四是着力解决群众“急难愁盼”事。2021年，投入780余万元解决了职工医疗保险问题，为职工购买了工伤保险、失业保险；按政策发放了遗属生活补贴、交通费，提高了绩效工资标准、住房补贴标准、编外人员工资标准；投入30余万元维修厂房、居民住房；整治环境、清理河道、修建堤坝、维修水电管线，全场群众满意度不断提升。</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三、从建章立制入手，狠抓单位内部管理</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是建立完善制度体系。一年来，农场先后印发了《党支部委员会“三重一大”事项决策制度》《省立新农场工作规则》《工作人员考勤办法（试行）》《职工请休假管理办法》《工作人员绩效分配办法（试行）》《工作人员年度考核办法（试行）》《信访工作管理办法（试行）》《工勤人员跨岗位聘用实施办法（试行）》等10余项单位内部管理规章制度，进一步规范了工程建设项目立项、财务报销、出差审批等流程，切实做到用制度管人、管钱、管物。二是严格执行各项管理规章制度。对经常迟到早退的职工进行了批评教育；购置考勤打卡设备，做到每个月全场公示工作人员考勤情况；落实年度考核制度，对考核优秀人员给予经济奖励，充分调动大家干事的积极性。三是对单位固定资产进行清理整顿。2021年7月，成立了农场固定资产清理整顿领导小组，对多年来积压的有物无账、有账无物、账物不符等情况进行一一梳理、清理整顿，先后3次到厅机关、康复中心学习调研有关管理制度，取得资产云平台绩效评估92.17分，比2020年高出32.02分。</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四、树牢底线意识，建设幸福稳定场区</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是不断加强场区综合治理。一年来，配合地方公安部门处理场区居民治安案件1起，协调化解场区居民纠纷5起，稳妥处理集体上访4次、个人上访6次。二是狠抓安全生产。全年开展安全知识讲座1次，安全专项检查4次，消防演练1次，颁布了《立新农场场区居民防火防盗公约》，与驻场企业签订了《安全生产责任书》，对部分房屋进行了安全检测，排除安全隐患，确保无事故。三是积极做好防灾减灾工作。2021年5至7月，场区先后经历了两次台风和一次暴雨，造成了农作物减产和部分建筑设施受损，面对自然灾害，农场上下团结一心，奋力抗灾，保证了场区居民的生命财产安全。四是打赢疫情防控攻坚战。2021年7至8月的扬州疫情，给农场带来了前所未有的挑战，周边两个乡镇都是中风险地区，在场区范围广、管理难度大等情况下，我们做到未雨绸缪、严防死守，和地方党委政府同心协力、心手相助，打赢了这场疫情防控攻坚战。</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以上这些成绩的取得，是在厅党组的正确领导下，场党支部团结带领全场干部职工共同努力的结果。同时，我们也清醒地看到工作中存在的差距和不足。主要表现在一是单位可持续发展受限；二是场区社会治理力量薄弱；三是干部人才队伍建设存在短板；四是长期积累的隐患问题逐渐暴露。</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针对以上存在的不足，2022年农场将围绕以下几方面开展工作：</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是始终坚持把党的建设摆在首位。要始终把准政治方向，提高政治能力，永葆政治本色，做到在政治上过得硬、靠得住、强起来，不断加强政治建设、组织建设、干部人才队伍建设，管好意识形态，狠抓党风廉政建设，将厅党组各项决策部署落细落实。</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二是牢牢牵住转型发展这个“牛鼻子”。一方面，抓住事业单位机构改革历史机遇，从服务全省民政事业发展大局着眼，结合农场自身实际，紧紧围绕乡村（社区）基层治理、民政领域公共服务、乡村振兴等方向转变职能，探索一条农场转型发展之路。另一方面，贯彻新发展理念，构建新发展格局，秉持“发展才是硬道理”的思想，充分开发农场现有资源，保护利用特有建筑风貌，与驻场企业、相关机构寻求新的合作，拓宽创收增收渠道，在逆境中求生存，在创新中求发展。</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三是积极融入地方社会综合治理大局。农场的发展离不开厅党组的领导支持，也离不开所在地地方党委政府的关心帮助。我们计划明年与所在村党支部签署共建合作协议为契机，进一步提升基层党组织建设质量，形成“资源共享、优势互补”的基层党建工作新格局。以党建带群建，主动纳入地方社会综合治理网格，发挥民政直属单位优势，促进结对共建双方共同发展、共同提高，与所在村一同打造幸福和谐场区。</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四是时刻维护安全稳定良好局面。明年，要把保安全、保稳定作为全场基础性工作来抓，在疫情防控、安全生产、信访维稳、社区治理等工作中，定期开展宣传教育，随时排查安全隐患、及时化解矛盾问题，增强场区居民安全防范意识和能力，真正维护群众切身利益，确保问题不上交，确保农场安全稳定的良好局面得到长期维护。</w:t>
      </w:r>
    </w:p>
    <w:p>
      <w:pPr>
        <w:pStyle w:val="8"/>
        <w:spacing w:line="235" w:lineRule="auto"/>
        <w:ind w:left="669" w:leftChars="300" w:right="2414" w:hanging="9"/>
        <w:jc w:val="both"/>
        <w:rPr>
          <w:rFonts w:ascii="仿宋" w:hAnsi="仿宋" w:eastAsia="仿宋" w:cs="仿宋"/>
        </w:rPr>
        <w:sectPr>
          <w:footerReference r:id="rId6" w:type="default"/>
          <w:pgSz w:w="11906" w:h="16838"/>
          <w:pgMar w:top="1580" w:right="700" w:bottom="770" w:left="1020" w:header="283" w:footer="280" w:gutter="0"/>
          <w:pgNumType w:fmt="numberInDash"/>
          <w:cols w:space="720" w:num="1"/>
          <w:formProt w:val="0"/>
          <w:docGrid w:linePitch="100" w:charSpace="0"/>
        </w:sectPr>
      </w:pPr>
    </w:p>
    <w:p>
      <w:pPr>
        <w:pStyle w:val="8"/>
        <w:spacing w:line="360" w:lineRule="auto"/>
        <w:ind w:left="440" w:leftChars="200" w:right="504" w:rightChars="229" w:firstLine="658"/>
        <w:jc w:val="both"/>
        <w:rPr>
          <w:rFonts w:ascii="仿宋" w:hAnsi="仿宋" w:eastAsia="仿宋" w:cs="仿宋"/>
          <w:lang w:val="en-US"/>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outlineLvl w:val="0"/>
        <w:rPr>
          <w:rFonts w:ascii="宋体" w:hAnsi="宋体" w:eastAsia="宋体" w:cs="宋体"/>
          <w:b/>
          <w:bCs/>
          <w:sz w:val="36"/>
          <w:szCs w:val="36"/>
          <w:lang w:val="en-US"/>
        </w:rPr>
      </w:pPr>
      <w:r>
        <w:rPr>
          <w:rFonts w:hint="eastAsia" w:ascii="宋体" w:hAnsi="宋体" w:eastAsia="宋体" w:cs="宋体"/>
          <w:b/>
          <w:bCs/>
          <w:sz w:val="36"/>
          <w:szCs w:val="36"/>
        </w:rPr>
        <w:t>第二部分</w:t>
      </w:r>
    </w:p>
    <w:p>
      <w:pPr>
        <w:pStyle w:val="21"/>
        <w:tabs>
          <w:tab w:val="left" w:pos="1609"/>
        </w:tabs>
        <w:spacing w:before="12" w:line="300" w:lineRule="auto"/>
        <w:ind w:left="340" w:right="567" w:firstLine="0"/>
        <w:jc w:val="center"/>
        <w:rPr>
          <w:rFonts w:ascii="宋体" w:hAnsi="宋体" w:eastAsia="宋体" w:cs="宋体"/>
          <w:b/>
          <w:bCs/>
          <w:sz w:val="36"/>
          <w:szCs w:val="36"/>
        </w:rPr>
      </w:pPr>
      <w:r>
        <w:rPr>
          <w:rFonts w:hint="eastAsia" w:ascii="宋体" w:hAnsi="宋体" w:eastAsia="宋体" w:cs="宋体"/>
          <w:b/>
          <w:bCs/>
          <w:sz w:val="36"/>
          <w:szCs w:val="36"/>
        </w:rPr>
        <w:t>江苏省立新农场</w:t>
      </w:r>
    </w:p>
    <w:p>
      <w:pPr>
        <w:pStyle w:val="21"/>
        <w:tabs>
          <w:tab w:val="left" w:pos="1609"/>
        </w:tabs>
        <w:spacing w:before="12" w:line="300" w:lineRule="auto"/>
        <w:ind w:left="340" w:right="567" w:firstLine="0"/>
        <w:jc w:val="center"/>
        <w:outlineLvl w:val="1"/>
        <w:rPr>
          <w:rFonts w:ascii="宋体" w:hAnsi="宋体" w:eastAsia="宋体" w:cs="宋体"/>
          <w:b/>
          <w:bCs/>
          <w:sz w:val="36"/>
          <w:szCs w:val="36"/>
        </w:rPr>
      </w:pPr>
      <w:r>
        <w:rPr>
          <w:rFonts w:hint="eastAsia" w:ascii="宋体" w:hAnsi="宋体" w:eastAsia="宋体" w:cs="宋体"/>
          <w:b/>
          <w:bCs/>
          <w:sz w:val="36"/>
          <w:szCs w:val="36"/>
        </w:rPr>
        <w:t>2021年度</w:t>
      </w:r>
      <w:r>
        <w:rPr>
          <w:rFonts w:hint="eastAsia" w:ascii="宋体" w:hAnsi="宋体" w:eastAsia="宋体" w:cs="宋体"/>
          <w:b/>
          <w:bCs/>
          <w:sz w:val="36"/>
          <w:szCs w:val="36"/>
          <w:lang w:val="en-US"/>
        </w:rPr>
        <w:t>单位</w:t>
      </w:r>
      <w:r>
        <w:rPr>
          <w:rFonts w:ascii="宋体" w:hAnsi="宋体" w:eastAsia="宋体" w:cs="宋体"/>
          <w:b/>
          <w:sz w:val="36"/>
        </w:rPr>
        <w:t>决算表</w:t>
      </w:r>
    </w:p>
    <w:tbl>
      <w:tblPr>
        <w:tblStyle w:val="13"/>
        <w:tblW w:w="10447" w:type="dxa"/>
        <w:jc w:val="center"/>
        <w:tblInd w:w="0" w:type="dxa"/>
        <w:tblLayout w:type="fixed"/>
        <w:tblCellMar>
          <w:top w:w="0" w:type="dxa"/>
          <w:left w:w="108" w:type="dxa"/>
          <w:bottom w:w="0" w:type="dxa"/>
          <w:right w:w="108" w:type="dxa"/>
        </w:tblCellMar>
      </w:tblPr>
      <w:tblGrid>
        <w:gridCol w:w="3784"/>
        <w:gridCol w:w="1461"/>
        <w:gridCol w:w="2035"/>
        <w:gridCol w:w="1709"/>
        <w:gridCol w:w="1458"/>
      </w:tblGrid>
      <w:tr>
        <w:tblPrEx>
          <w:tblLayout w:type="fixed"/>
          <w:tblCellMar>
            <w:top w:w="0" w:type="dxa"/>
            <w:left w:w="108" w:type="dxa"/>
            <w:bottom w:w="0" w:type="dxa"/>
            <w:right w:w="108" w:type="dxa"/>
          </w:tblCellMar>
        </w:tblPrEx>
        <w:trPr>
          <w:trHeight w:val="544" w:hRule="atLeast"/>
          <w:jc w:val="center"/>
        </w:trPr>
        <w:tc>
          <w:tcPr>
            <w:tcW w:w="10447" w:type="dxa"/>
            <w:gridSpan w:val="5"/>
          </w:tcPr>
          <w:p>
            <w:pPr>
              <w:pageBreakBefore/>
              <w:jc w:val="center"/>
              <w:rPr>
                <w:rFonts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Layout w:type="fixed"/>
          <w:tblCellMar>
            <w:top w:w="0" w:type="dxa"/>
            <w:left w:w="108" w:type="dxa"/>
            <w:bottom w:w="0" w:type="dxa"/>
            <w:right w:w="108" w:type="dxa"/>
          </w:tblCellMar>
        </w:tblPrEx>
        <w:trPr>
          <w:trHeight w:val="348" w:hRule="atLeast"/>
          <w:jc w:val="center"/>
        </w:trPr>
        <w:tc>
          <w:tcPr>
            <w:tcW w:w="3784" w:type="dxa"/>
          </w:tcPr>
          <w:p>
            <w:pPr>
              <w:rPr>
                <w:rFonts w:ascii="仿宋" w:hAnsi="仿宋" w:eastAsia="仿宋" w:cs="仿宋"/>
                <w:color w:val="000000"/>
                <w:sz w:val="20"/>
              </w:rPr>
            </w:pPr>
          </w:p>
        </w:tc>
        <w:tc>
          <w:tcPr>
            <w:tcW w:w="1461" w:type="dxa"/>
          </w:tcPr>
          <w:p>
            <w:pPr>
              <w:rPr>
                <w:rFonts w:ascii="仿宋" w:hAnsi="仿宋" w:eastAsia="仿宋" w:cs="仿宋"/>
                <w:color w:val="000000"/>
                <w:sz w:val="20"/>
              </w:rPr>
            </w:pPr>
          </w:p>
        </w:tc>
        <w:tc>
          <w:tcPr>
            <w:tcW w:w="5202" w:type="dxa"/>
            <w:gridSpan w:val="3"/>
          </w:tcPr>
          <w:p>
            <w:pPr>
              <w:jc w:val="right"/>
              <w:rPr>
                <w:rFonts w:ascii="仿宋" w:hAnsi="仿宋" w:eastAsia="仿宋" w:cs="仿宋"/>
                <w:color w:val="000000"/>
              </w:rPr>
            </w:pPr>
            <w:r>
              <w:rPr>
                <w:rFonts w:hint="eastAsia" w:ascii="仿宋" w:hAnsi="仿宋" w:eastAsia="仿宋" w:cs="仿宋"/>
                <w:color w:val="000000"/>
                <w:lang w:eastAsia="ar-SA"/>
              </w:rPr>
              <w:t>公开01表</w:t>
            </w:r>
          </w:p>
        </w:tc>
      </w:tr>
      <w:tr>
        <w:tblPrEx>
          <w:tblLayout w:type="fixed"/>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rPr>
                <w:rFonts w:ascii="仿宋" w:hAnsi="仿宋" w:eastAsia="仿宋" w:cs="仿宋"/>
                <w:color w:val="00000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color w:val="000000"/>
                <w:lang w:eastAsia="ar-SA"/>
              </w:rPr>
              <w:t>江苏省立新农场</w:t>
            </w:r>
          </w:p>
        </w:tc>
        <w:tc>
          <w:tcPr>
            <w:tcW w:w="3167" w:type="dxa"/>
            <w:gridSpan w:val="2"/>
            <w:tcBorders>
              <w:bottom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rPr>
              <w:t>金额单位：万元</w:t>
            </w:r>
          </w:p>
        </w:tc>
      </w:tr>
      <w:tr>
        <w:tblPrEx>
          <w:tblLayout w:type="fixed"/>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支出</w:t>
            </w:r>
          </w:p>
        </w:tc>
      </w:tr>
      <w:tr>
        <w:tblPrEx>
          <w:tblLayout w:type="fixed"/>
          <w:tblCellMar>
            <w:top w:w="0" w:type="dxa"/>
            <w:left w:w="108" w:type="dxa"/>
            <w:bottom w:w="0" w:type="dxa"/>
            <w:right w:w="108" w:type="dxa"/>
          </w:tblCellMar>
        </w:tblPrEx>
        <w:trPr>
          <w:trHeight w:val="39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ascii="仿宋" w:hAnsi="仿宋" w:eastAsia="仿宋" w:cs="仿宋"/>
                <w:color w:val="000000"/>
              </w:rPr>
              <w:t>项目</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决算数</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按功能分类</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决算数</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一、一般公共预算财政拨款收入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1,568.76</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一、一般公共服务支出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二、政府性基金预算财政拨款收入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二、外交支出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三、国有资本经营预算财政拨款收入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三、国防支出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四、上级补助收入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四、公共安全支出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五、事业收入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189.40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五、教育支出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六、经营收入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六、科学技术支出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七、附属单位上缴收入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七、文化旅游体育与传媒支出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八、其他收入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八、社会保障和就业支出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1,502.50</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九、卫生健康支出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十、节能环保支出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十一、城乡社区支出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十二、农林水支出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十三、交通运输支出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十四、资源勘探工业信息等支出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十五、商业服务业等支出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十六、金融支出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十七、援助其他地区支出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十八、自然资源海洋气象等支出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十九、住房保障支出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444.91</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二十、粮油物资储备支出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二十一、国有资本经营预算支出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二十二、灾害防治及应急管理支出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二十三、其他支出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二十四、债务还本支出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二十五、债务付息支出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二十六、抗疫特别国债安排的支出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bCs/>
                <w:color w:val="000000"/>
                <w:lang w:eastAsia="ar-SA"/>
              </w:rPr>
              <w:t>本年收入合计</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1,758.16</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b/>
                <w:bCs/>
                <w:color w:val="000000"/>
              </w:rPr>
            </w:pPr>
            <w:r>
              <w:rPr>
                <w:rFonts w:hint="eastAsia" w:ascii="仿宋" w:hAnsi="仿宋" w:eastAsia="仿宋" w:cs="仿宋"/>
                <w:b/>
                <w:bCs/>
                <w:color w:val="000000"/>
                <w:lang w:eastAsia="ar-SA"/>
              </w:rPr>
              <w:t>本年支出合计</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1,947.41</w:t>
            </w: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使用非财政拨款结余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lang w:eastAsia="ar-SA"/>
              </w:rPr>
            </w:pPr>
            <w:r>
              <w:rPr>
                <w:rFonts w:hint="eastAsia" w:ascii="仿宋" w:hAnsi="仿宋" w:eastAsia="仿宋" w:cs="仿宋"/>
                <w:color w:val="000000"/>
                <w:lang w:eastAsia="ar-SA"/>
              </w:rPr>
              <w:t>166.26</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结余分配</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年初结转和结余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lang w:eastAsia="ar-SA"/>
              </w:rPr>
            </w:pPr>
            <w:r>
              <w:rPr>
                <w:rFonts w:hint="eastAsia" w:ascii="仿宋" w:hAnsi="仿宋" w:eastAsia="仿宋" w:cs="仿宋"/>
                <w:color w:val="000000"/>
                <w:lang w:eastAsia="ar-SA"/>
              </w:rPr>
              <w:t>25.49</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年末结转和结余</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2.49</w:t>
            </w:r>
          </w:p>
        </w:tc>
      </w:tr>
      <w:tr>
        <w:tblPrEx>
          <w:tblLayout w:type="fixed"/>
          <w:tblCellMar>
            <w:top w:w="0" w:type="dxa"/>
            <w:left w:w="108" w:type="dxa"/>
            <w:bottom w:w="0" w:type="dxa"/>
            <w:right w:w="108" w:type="dxa"/>
          </w:tblCellMar>
        </w:tblPrEx>
        <w:trPr>
          <w:trHeight w:val="383" w:hRule="atLeast"/>
          <w:jc w:val="center"/>
        </w:trPr>
        <w:tc>
          <w:tcPr>
            <w:tcW w:w="3784"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1461"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3744" w:type="dxa"/>
            <w:gridSpan w:val="2"/>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1458"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r>
      <w:tr>
        <w:tblPrEx>
          <w:tblLayout w:type="fixed"/>
          <w:tblCellMar>
            <w:top w:w="0" w:type="dxa"/>
            <w:left w:w="108" w:type="dxa"/>
            <w:bottom w:w="0" w:type="dxa"/>
            <w:right w:w="108" w:type="dxa"/>
          </w:tblCellMar>
        </w:tblPrEx>
        <w:trPr>
          <w:cantSplit/>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color w:val="000000"/>
                <w:lang w:eastAsia="ar-SA"/>
              </w:rPr>
              <w:t>总计</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1,949.90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color w:val="000000"/>
                <w:lang w:eastAsia="ar-SA"/>
              </w:rPr>
              <w:t>总计</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1,949.90</w:t>
            </w:r>
          </w:p>
        </w:tc>
      </w:tr>
    </w:tbl>
    <w:p>
      <w:pPr>
        <w:spacing w:before="66"/>
        <w:jc w:val="both"/>
        <w:rPr>
          <w:rFonts w:ascii="仿宋" w:hAnsi="仿宋" w:eastAsia="仿宋" w:cs="仿宋"/>
          <w:color w:val="000000"/>
          <w:lang w:val="en-US"/>
        </w:rPr>
      </w:pPr>
      <w:r>
        <w:rPr>
          <w:rFonts w:hint="eastAsia" w:ascii="仿宋" w:hAnsi="仿宋" w:eastAsia="仿宋" w:cs="仿宋"/>
          <w:color w:val="000000"/>
          <w:lang w:val="en-US"/>
        </w:rPr>
        <w:t>注：本表反映本年度的总收支和年末结转结余情况。本表金额单位转换时可能存在尾数误差。</w:t>
      </w:r>
    </w:p>
    <w:p>
      <w:pPr>
        <w:spacing w:before="66"/>
        <w:jc w:val="both"/>
        <w:rPr>
          <w:rFonts w:ascii="仿宋" w:hAnsi="仿宋" w:eastAsia="仿宋" w:cs="仿宋"/>
          <w:color w:val="000000"/>
        </w:rPr>
        <w:sectPr>
          <w:footerReference r:id="rId7" w:type="default"/>
          <w:pgSz w:w="11906" w:h="16838"/>
          <w:pgMar w:top="720" w:right="720" w:bottom="720" w:left="720" w:header="170" w:footer="280" w:gutter="0"/>
          <w:pgNumType w:fmt="numberInDash"/>
          <w:cols w:space="720" w:num="1"/>
          <w:formProt w:val="0"/>
          <w:docGrid w:linePitch="100" w:charSpace="0"/>
        </w:sectPr>
      </w:pPr>
    </w:p>
    <w:tbl>
      <w:tblPr>
        <w:tblStyle w:val="13"/>
        <w:tblW w:w="15439" w:type="dxa"/>
        <w:jc w:val="center"/>
        <w:tblInd w:w="0" w:type="dxa"/>
        <w:tblLayout w:type="fixed"/>
        <w:tblCellMar>
          <w:top w:w="0" w:type="dxa"/>
          <w:left w:w="108" w:type="dxa"/>
          <w:bottom w:w="0" w:type="dxa"/>
          <w:right w:w="108" w:type="dxa"/>
        </w:tblCellMar>
      </w:tblPr>
      <w:tblGrid>
        <w:gridCol w:w="1115"/>
        <w:gridCol w:w="2925"/>
        <w:gridCol w:w="1592"/>
        <w:gridCol w:w="1604"/>
        <w:gridCol w:w="1565"/>
        <w:gridCol w:w="1396"/>
        <w:gridCol w:w="1578"/>
        <w:gridCol w:w="1174"/>
        <w:gridCol w:w="1277"/>
        <w:gridCol w:w="1213"/>
      </w:tblGrid>
      <w:tr>
        <w:tblPrEx>
          <w:tblLayout w:type="fixed"/>
          <w:tblCellMar>
            <w:top w:w="0" w:type="dxa"/>
            <w:left w:w="108" w:type="dxa"/>
            <w:bottom w:w="0" w:type="dxa"/>
            <w:right w:w="108" w:type="dxa"/>
          </w:tblCellMar>
        </w:tblPrEx>
        <w:trPr>
          <w:trHeight w:val="627" w:hRule="atLeast"/>
          <w:jc w:val="center"/>
        </w:trPr>
        <w:tc>
          <w:tcPr>
            <w:tcW w:w="15439" w:type="dxa"/>
            <w:gridSpan w:val="10"/>
            <w:vAlign w:val="center"/>
          </w:tcPr>
          <w:p>
            <w:pPr>
              <w:pStyle w:val="5"/>
              <w:rPr>
                <w:rFonts w:ascii="仿宋" w:hAnsi="仿宋" w:eastAsia="仿宋" w:cs="仿宋"/>
                <w:b/>
                <w:bCs/>
                <w:sz w:val="44"/>
                <w:szCs w:val="44"/>
                <w:lang w:val="en-US"/>
              </w:rPr>
            </w:pPr>
            <w:r>
              <w:rPr>
                <w:rFonts w:hint="eastAsia" w:ascii="宋体" w:hAnsi="宋体" w:eastAsia="宋体" w:cs="宋体"/>
                <w:b/>
                <w:bCs/>
                <w:color w:val="000000"/>
                <w:lang w:eastAsia="ar-SA"/>
              </w:rPr>
              <w:t>收入决算表</w:t>
            </w:r>
          </w:p>
        </w:tc>
      </w:tr>
      <w:tr>
        <w:tblPrEx>
          <w:tblLayout w:type="fixed"/>
          <w:tblCellMar>
            <w:top w:w="0" w:type="dxa"/>
            <w:left w:w="108" w:type="dxa"/>
            <w:bottom w:w="0" w:type="dxa"/>
            <w:right w:w="108" w:type="dxa"/>
          </w:tblCellMar>
        </w:tblPrEx>
        <w:trPr>
          <w:trHeight w:val="314" w:hRule="atLeast"/>
          <w:jc w:val="center"/>
        </w:trPr>
        <w:tc>
          <w:tcPr>
            <w:tcW w:w="4040" w:type="dxa"/>
            <w:gridSpan w:val="2"/>
            <w:vAlign w:val="center"/>
          </w:tcPr>
          <w:p>
            <w:pPr>
              <w:pStyle w:val="22"/>
              <w:jc w:val="center"/>
              <w:rPr>
                <w:rFonts w:ascii="仿宋" w:hAnsi="仿宋" w:eastAsia="仿宋" w:cs="仿宋"/>
              </w:rPr>
            </w:pPr>
          </w:p>
        </w:tc>
        <w:tc>
          <w:tcPr>
            <w:tcW w:w="1592" w:type="dxa"/>
            <w:vAlign w:val="center"/>
          </w:tcPr>
          <w:p>
            <w:pPr>
              <w:pStyle w:val="22"/>
              <w:jc w:val="center"/>
              <w:rPr>
                <w:rFonts w:ascii="仿宋" w:hAnsi="仿宋" w:eastAsia="仿宋" w:cs="仿宋"/>
              </w:rPr>
            </w:pPr>
          </w:p>
        </w:tc>
        <w:tc>
          <w:tcPr>
            <w:tcW w:w="1604" w:type="dxa"/>
            <w:vAlign w:val="center"/>
          </w:tcPr>
          <w:p>
            <w:pPr>
              <w:pStyle w:val="22"/>
              <w:jc w:val="center"/>
              <w:rPr>
                <w:rFonts w:ascii="仿宋" w:hAnsi="仿宋" w:eastAsia="仿宋" w:cs="仿宋"/>
              </w:rPr>
            </w:pPr>
          </w:p>
        </w:tc>
        <w:tc>
          <w:tcPr>
            <w:tcW w:w="1565" w:type="dxa"/>
            <w:vAlign w:val="center"/>
          </w:tcPr>
          <w:p>
            <w:pPr>
              <w:pStyle w:val="22"/>
              <w:jc w:val="center"/>
              <w:rPr>
                <w:rFonts w:ascii="仿宋" w:hAnsi="仿宋" w:eastAsia="仿宋" w:cs="仿宋"/>
              </w:rPr>
            </w:pPr>
          </w:p>
        </w:tc>
        <w:tc>
          <w:tcPr>
            <w:tcW w:w="2974" w:type="dxa"/>
            <w:gridSpan w:val="2"/>
            <w:vAlign w:val="center"/>
          </w:tcPr>
          <w:p>
            <w:pPr>
              <w:pStyle w:val="22"/>
              <w:jc w:val="center"/>
              <w:rPr>
                <w:rFonts w:ascii="仿宋" w:hAnsi="仿宋" w:eastAsia="仿宋" w:cs="仿宋"/>
              </w:rPr>
            </w:pPr>
          </w:p>
        </w:tc>
        <w:tc>
          <w:tcPr>
            <w:tcW w:w="1174" w:type="dxa"/>
            <w:vAlign w:val="center"/>
          </w:tcPr>
          <w:p>
            <w:pPr>
              <w:pStyle w:val="22"/>
              <w:jc w:val="center"/>
              <w:rPr>
                <w:rFonts w:ascii="仿宋" w:hAnsi="仿宋" w:eastAsia="仿宋" w:cs="仿宋"/>
              </w:rPr>
            </w:pPr>
          </w:p>
        </w:tc>
        <w:tc>
          <w:tcPr>
            <w:tcW w:w="2490" w:type="dxa"/>
            <w:gridSpan w:val="2"/>
            <w:vAlign w:val="center"/>
          </w:tcPr>
          <w:p>
            <w:pPr>
              <w:pStyle w:val="22"/>
              <w:jc w:val="right"/>
              <w:rPr>
                <w:rFonts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2949" w:type="dxa"/>
            <w:gridSpan w:val="8"/>
            <w:vAlign w:val="center"/>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2490" w:type="dxa"/>
            <w:gridSpan w:val="2"/>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4040"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1592"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本年收入合计</w:t>
            </w:r>
          </w:p>
        </w:tc>
        <w:tc>
          <w:tcPr>
            <w:tcW w:w="160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财政拨款收入</w:t>
            </w:r>
          </w:p>
        </w:tc>
        <w:tc>
          <w:tcPr>
            <w:tcW w:w="1565"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上级补助收入</w:t>
            </w:r>
          </w:p>
        </w:tc>
        <w:tc>
          <w:tcPr>
            <w:tcW w:w="1396"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财政专户管理教育收费</w:t>
            </w:r>
          </w:p>
        </w:tc>
        <w:tc>
          <w:tcPr>
            <w:tcW w:w="1578"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事业收入（不含专户管理教育收费）</w:t>
            </w:r>
          </w:p>
        </w:tc>
        <w:tc>
          <w:tcPr>
            <w:tcW w:w="117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经营收入</w:t>
            </w:r>
          </w:p>
        </w:tc>
        <w:tc>
          <w:tcPr>
            <w:tcW w:w="1277"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附属单位上缴收入</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220" w:hRule="atLeast"/>
          <w:jc w:val="center"/>
        </w:trPr>
        <w:tc>
          <w:tcPr>
            <w:tcW w:w="111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292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1592" w:type="dxa"/>
            <w:vMerge w:val="continue"/>
            <w:tcBorders>
              <w:left w:val="single" w:color="000000" w:sz="4" w:space="0"/>
              <w:bottom w:val="single" w:color="000000" w:sz="4" w:space="0"/>
            </w:tcBorders>
          </w:tcPr>
          <w:p>
            <w:pPr>
              <w:rPr>
                <w:rFonts w:ascii="仿宋" w:hAnsi="仿宋" w:eastAsia="仿宋" w:cs="仿宋"/>
              </w:rPr>
            </w:pPr>
          </w:p>
        </w:tc>
        <w:tc>
          <w:tcPr>
            <w:tcW w:w="1604" w:type="dxa"/>
            <w:vMerge w:val="continue"/>
            <w:tcBorders>
              <w:left w:val="single" w:color="000000" w:sz="4" w:space="0"/>
              <w:bottom w:val="single" w:color="000000" w:sz="4" w:space="0"/>
            </w:tcBorders>
          </w:tcPr>
          <w:p>
            <w:pPr>
              <w:rPr>
                <w:rFonts w:ascii="仿宋" w:hAnsi="仿宋" w:eastAsia="仿宋" w:cs="仿宋"/>
              </w:rPr>
            </w:pPr>
          </w:p>
        </w:tc>
        <w:tc>
          <w:tcPr>
            <w:tcW w:w="1565" w:type="dxa"/>
            <w:vMerge w:val="continue"/>
            <w:tcBorders>
              <w:left w:val="single" w:color="000000" w:sz="4" w:space="0"/>
              <w:bottom w:val="single" w:color="000000" w:sz="4" w:space="0"/>
            </w:tcBorders>
          </w:tcPr>
          <w:p>
            <w:pPr>
              <w:rPr>
                <w:rFonts w:ascii="仿宋" w:hAnsi="仿宋" w:eastAsia="仿宋" w:cs="仿宋"/>
              </w:rPr>
            </w:pPr>
          </w:p>
        </w:tc>
        <w:tc>
          <w:tcPr>
            <w:tcW w:w="1396"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578"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174" w:type="dxa"/>
            <w:vMerge w:val="continue"/>
            <w:tcBorders>
              <w:left w:val="single" w:color="000000" w:sz="4" w:space="0"/>
              <w:bottom w:val="single" w:color="000000" w:sz="4" w:space="0"/>
            </w:tcBorders>
          </w:tcPr>
          <w:p>
            <w:pPr>
              <w:rPr>
                <w:rFonts w:ascii="仿宋" w:hAnsi="仿宋" w:eastAsia="仿宋" w:cs="仿宋"/>
              </w:rPr>
            </w:pPr>
          </w:p>
        </w:tc>
        <w:tc>
          <w:tcPr>
            <w:tcW w:w="1277" w:type="dxa"/>
            <w:vMerge w:val="continue"/>
            <w:tcBorders>
              <w:left w:val="single" w:color="000000" w:sz="4" w:space="0"/>
              <w:bottom w:val="single" w:color="000000" w:sz="4" w:space="0"/>
            </w:tcBorders>
          </w:tcPr>
          <w:p>
            <w:pPr>
              <w:rPr>
                <w:rFonts w:ascii="仿宋" w:hAnsi="仿宋" w:eastAsia="仿宋" w:cs="仿宋"/>
              </w:rPr>
            </w:pPr>
          </w:p>
        </w:tc>
        <w:tc>
          <w:tcPr>
            <w:tcW w:w="1213"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404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1592"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1,758.16</w:t>
            </w:r>
          </w:p>
        </w:tc>
        <w:tc>
          <w:tcPr>
            <w:tcW w:w="1604"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1,568.76</w:t>
            </w:r>
          </w:p>
        </w:tc>
        <w:tc>
          <w:tcPr>
            <w:tcW w:w="1565" w:type="dxa"/>
            <w:tcBorders>
              <w:left w:val="single" w:color="000000" w:sz="4" w:space="0"/>
              <w:bottom w:val="single" w:color="000000" w:sz="4" w:space="0"/>
            </w:tcBorders>
            <w:vAlign w:val="center"/>
          </w:tcPr>
          <w:p>
            <w:pPr>
              <w:jc w:val="right"/>
              <w:rPr>
                <w:rFonts w:ascii="仿宋" w:hAnsi="仿宋" w:eastAsia="仿宋" w:cs="仿宋"/>
              </w:rPr>
            </w:pPr>
          </w:p>
        </w:tc>
        <w:tc>
          <w:tcPr>
            <w:tcW w:w="1396" w:type="dxa"/>
            <w:tcBorders>
              <w:left w:val="single" w:color="000000" w:sz="4" w:space="0"/>
              <w:bottom w:val="single" w:color="000000" w:sz="4" w:space="0"/>
            </w:tcBorders>
            <w:vAlign w:val="center"/>
          </w:tcPr>
          <w:p>
            <w:pPr>
              <w:jc w:val="right"/>
              <w:rPr>
                <w:rFonts w:ascii="仿宋" w:hAnsi="仿宋" w:eastAsia="仿宋" w:cs="仿宋"/>
              </w:rPr>
            </w:pPr>
          </w:p>
        </w:tc>
        <w:tc>
          <w:tcPr>
            <w:tcW w:w="1578"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189.40</w:t>
            </w:r>
          </w:p>
        </w:tc>
        <w:tc>
          <w:tcPr>
            <w:tcW w:w="1174" w:type="dxa"/>
            <w:tcBorders>
              <w:left w:val="single" w:color="000000" w:sz="4" w:space="0"/>
              <w:bottom w:val="single" w:color="000000" w:sz="4" w:space="0"/>
            </w:tcBorders>
            <w:vAlign w:val="center"/>
          </w:tcPr>
          <w:p>
            <w:pPr>
              <w:jc w:val="right"/>
              <w:rPr>
                <w:rFonts w:ascii="仿宋" w:hAnsi="仿宋" w:eastAsia="仿宋" w:cs="仿宋"/>
              </w:rPr>
            </w:pPr>
          </w:p>
        </w:tc>
        <w:tc>
          <w:tcPr>
            <w:tcW w:w="1277" w:type="dxa"/>
            <w:tcBorders>
              <w:left w:val="single" w:color="000000" w:sz="4" w:space="0"/>
              <w:bottom w:val="single" w:color="000000" w:sz="4" w:space="0"/>
            </w:tcBorders>
            <w:vAlign w:val="center"/>
          </w:tcPr>
          <w:p>
            <w:pPr>
              <w:jc w:val="right"/>
              <w:rPr>
                <w:rFonts w:ascii="仿宋" w:hAnsi="仿宋" w:eastAsia="仿宋" w:cs="仿宋"/>
              </w:rPr>
            </w:pPr>
          </w:p>
        </w:tc>
        <w:tc>
          <w:tcPr>
            <w:tcW w:w="1213"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1,423.31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1,286.48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136.83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91.74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91.74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61.16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61.16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30.58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30.58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20810</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社会福利</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1,331.57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1,194.74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136.83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2081005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社会福利事业单位</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1,331.57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1,194.74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136.83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334.84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52.56</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334.84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52.56</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52.56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52.56</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spacing w:before="66"/>
        <w:jc w:val="both"/>
        <w:rPr>
          <w:rFonts w:ascii="仿宋" w:hAnsi="仿宋" w:eastAsia="仿宋" w:cs="仿宋"/>
        </w:rPr>
      </w:pPr>
      <w:r>
        <w:rPr>
          <w:rFonts w:hint="eastAsia" w:ascii="仿宋" w:hAnsi="仿宋" w:eastAsia="仿宋" w:cs="仿宋"/>
          <w:color w:val="000000"/>
        </w:rPr>
        <w:t>注：</w:t>
      </w:r>
      <w:r>
        <w:rPr>
          <w:rFonts w:hint="eastAsia" w:ascii="仿宋" w:hAnsi="仿宋" w:eastAsia="仿宋" w:cs="仿宋"/>
        </w:rPr>
        <w:t>本表反映本年度取得的各项收入情况。本表金额单位转换时可能存在尾数误差。</w:t>
      </w:r>
    </w:p>
    <w:p>
      <w:pPr>
        <w:spacing w:before="66"/>
        <w:ind w:left="57" w:firstLine="220" w:firstLineChars="100"/>
        <w:jc w:val="both"/>
        <w:rPr>
          <w:rFonts w:ascii="仿宋" w:hAnsi="仿宋" w:eastAsia="仿宋" w:cs="仿宋"/>
        </w:rPr>
        <w:sectPr>
          <w:footerReference r:id="rId8"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4183"/>
        <w:gridCol w:w="2011"/>
        <w:gridCol w:w="1486"/>
        <w:gridCol w:w="1564"/>
        <w:gridCol w:w="1593"/>
        <w:gridCol w:w="1472"/>
        <w:gridCol w:w="1482"/>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rPr>
                <w:rFonts w:ascii="仿宋" w:hAnsi="仿宋" w:eastAsia="仿宋" w:cs="仿宋"/>
                <w:b/>
                <w:bCs/>
                <w:sz w:val="44"/>
                <w:szCs w:val="44"/>
              </w:rPr>
            </w:pPr>
            <w:r>
              <w:rPr>
                <w:rFonts w:hint="eastAsia" w:ascii="宋体" w:hAnsi="宋体" w:eastAsia="宋体" w:cs="宋体"/>
                <w:b/>
                <w:bCs/>
                <w:color w:val="000000"/>
                <w:lang w:eastAsia="ar-SA"/>
              </w:rPr>
              <w:t>支出决算表</w:t>
            </w:r>
          </w:p>
        </w:tc>
      </w:tr>
      <w:tr>
        <w:tblPrEx>
          <w:tblLayout w:type="fixed"/>
          <w:tblCellMar>
            <w:top w:w="55" w:type="dxa"/>
            <w:left w:w="55" w:type="dxa"/>
            <w:bottom w:w="55" w:type="dxa"/>
            <w:right w:w="55" w:type="dxa"/>
          </w:tblCellMar>
        </w:tblPrEx>
        <w:trPr>
          <w:trHeight w:val="321" w:hRule="atLeast"/>
        </w:trPr>
        <w:tc>
          <w:tcPr>
            <w:tcW w:w="5739" w:type="dxa"/>
            <w:gridSpan w:val="2"/>
            <w:vAlign w:val="center"/>
          </w:tcPr>
          <w:p>
            <w:pPr>
              <w:pStyle w:val="22"/>
              <w:jc w:val="center"/>
              <w:rPr>
                <w:rFonts w:ascii="仿宋" w:hAnsi="仿宋" w:eastAsia="仿宋" w:cs="仿宋"/>
              </w:rPr>
            </w:pPr>
          </w:p>
        </w:tc>
        <w:tc>
          <w:tcPr>
            <w:tcW w:w="2011" w:type="dxa"/>
            <w:vAlign w:val="center"/>
          </w:tcPr>
          <w:p>
            <w:pPr>
              <w:pStyle w:val="22"/>
              <w:jc w:val="center"/>
              <w:rPr>
                <w:rFonts w:ascii="仿宋" w:hAnsi="仿宋" w:eastAsia="仿宋" w:cs="仿宋"/>
                <w:sz w:val="20"/>
              </w:rPr>
            </w:pPr>
          </w:p>
        </w:tc>
        <w:tc>
          <w:tcPr>
            <w:tcW w:w="1486" w:type="dxa"/>
            <w:vAlign w:val="center"/>
          </w:tcPr>
          <w:p>
            <w:pPr>
              <w:pStyle w:val="22"/>
              <w:jc w:val="center"/>
              <w:rPr>
                <w:rFonts w:ascii="仿宋" w:hAnsi="仿宋" w:eastAsia="仿宋" w:cs="仿宋"/>
                <w:sz w:val="20"/>
              </w:rPr>
            </w:pPr>
          </w:p>
        </w:tc>
        <w:tc>
          <w:tcPr>
            <w:tcW w:w="1564" w:type="dxa"/>
            <w:vAlign w:val="center"/>
          </w:tcPr>
          <w:p>
            <w:pPr>
              <w:pStyle w:val="22"/>
              <w:jc w:val="center"/>
              <w:rPr>
                <w:rFonts w:ascii="仿宋" w:hAnsi="仿宋" w:eastAsia="仿宋" w:cs="仿宋"/>
                <w:sz w:val="20"/>
              </w:rPr>
            </w:pPr>
          </w:p>
        </w:tc>
        <w:tc>
          <w:tcPr>
            <w:tcW w:w="1593" w:type="dxa"/>
            <w:vAlign w:val="center"/>
          </w:tcPr>
          <w:p>
            <w:pPr>
              <w:pStyle w:val="22"/>
              <w:jc w:val="center"/>
              <w:rPr>
                <w:rFonts w:ascii="仿宋" w:hAnsi="仿宋" w:eastAsia="仿宋" w:cs="仿宋"/>
                <w:sz w:val="20"/>
              </w:rPr>
            </w:pPr>
          </w:p>
        </w:tc>
        <w:tc>
          <w:tcPr>
            <w:tcW w:w="2954" w:type="dxa"/>
            <w:gridSpan w:val="2"/>
            <w:vAlign w:val="center"/>
          </w:tcPr>
          <w:p>
            <w:pPr>
              <w:pStyle w:val="22"/>
              <w:jc w:val="right"/>
              <w:rPr>
                <w:rFonts w:ascii="仿宋" w:hAnsi="仿宋" w:eastAsia="仿宋" w:cs="仿宋"/>
              </w:rPr>
            </w:pPr>
            <w:r>
              <w:rPr>
                <w:rFonts w:hint="eastAsia" w:ascii="仿宋" w:hAnsi="仿宋" w:eastAsia="仿宋" w:cs="仿宋"/>
              </w:rPr>
              <w:t>公开03表</w:t>
            </w:r>
          </w:p>
        </w:tc>
      </w:tr>
      <w:tr>
        <w:tblPrEx>
          <w:tblLayout w:type="fixed"/>
          <w:tblCellMar>
            <w:top w:w="55" w:type="dxa"/>
            <w:left w:w="55" w:type="dxa"/>
            <w:bottom w:w="55" w:type="dxa"/>
            <w:right w:w="55" w:type="dxa"/>
          </w:tblCellMar>
        </w:tblPrEx>
        <w:trPr>
          <w:trHeight w:val="321" w:hRule="atLeast"/>
        </w:trPr>
        <w:tc>
          <w:tcPr>
            <w:tcW w:w="12393" w:type="dxa"/>
            <w:gridSpan w:val="6"/>
            <w:vAlign w:val="center"/>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2954" w:type="dxa"/>
            <w:gridSpan w:val="2"/>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21" w:hRule="atLeast"/>
        </w:trPr>
        <w:tc>
          <w:tcPr>
            <w:tcW w:w="5739"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2011"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1486"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56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c>
          <w:tcPr>
            <w:tcW w:w="1593"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上缴上级支出</w:t>
            </w:r>
          </w:p>
        </w:tc>
        <w:tc>
          <w:tcPr>
            <w:tcW w:w="1472"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经营支出</w:t>
            </w:r>
          </w:p>
        </w:tc>
        <w:tc>
          <w:tcPr>
            <w:tcW w:w="1482"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对附属单位补助支出</w:t>
            </w:r>
          </w:p>
        </w:tc>
      </w:tr>
      <w:tr>
        <w:tblPrEx>
          <w:tblLayout w:type="fixed"/>
          <w:tblCellMar>
            <w:top w:w="55" w:type="dxa"/>
            <w:left w:w="55" w:type="dxa"/>
            <w:bottom w:w="55" w:type="dxa"/>
            <w:right w:w="55" w:type="dxa"/>
          </w:tblCellMar>
        </w:tblPrEx>
        <w:trPr>
          <w:trHeight w:val="370" w:hRule="atLeast"/>
        </w:trPr>
        <w:tc>
          <w:tcPr>
            <w:tcW w:w="1556"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4183"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011" w:type="dxa"/>
            <w:vMerge w:val="continue"/>
            <w:tcBorders>
              <w:left w:val="single" w:color="000000" w:sz="4" w:space="0"/>
              <w:bottom w:val="single" w:color="000000" w:sz="4" w:space="0"/>
            </w:tcBorders>
          </w:tcPr>
          <w:p>
            <w:pPr>
              <w:rPr>
                <w:rFonts w:ascii="仿宋" w:hAnsi="仿宋" w:eastAsia="仿宋" w:cs="仿宋"/>
              </w:rPr>
            </w:pPr>
          </w:p>
        </w:tc>
        <w:tc>
          <w:tcPr>
            <w:tcW w:w="1486" w:type="dxa"/>
            <w:vMerge w:val="continue"/>
            <w:tcBorders>
              <w:left w:val="single" w:color="000000" w:sz="4" w:space="0"/>
              <w:bottom w:val="single" w:color="000000" w:sz="4" w:space="0"/>
            </w:tcBorders>
          </w:tcPr>
          <w:p>
            <w:pPr>
              <w:rPr>
                <w:rFonts w:ascii="仿宋" w:hAnsi="仿宋" w:eastAsia="仿宋" w:cs="仿宋"/>
              </w:rPr>
            </w:pPr>
          </w:p>
        </w:tc>
        <w:tc>
          <w:tcPr>
            <w:tcW w:w="1564" w:type="dxa"/>
            <w:vMerge w:val="continue"/>
            <w:tcBorders>
              <w:left w:val="single" w:color="000000" w:sz="4" w:space="0"/>
              <w:bottom w:val="single" w:color="000000" w:sz="4" w:space="0"/>
            </w:tcBorders>
          </w:tcPr>
          <w:p>
            <w:pPr>
              <w:rPr>
                <w:rFonts w:ascii="仿宋" w:hAnsi="仿宋" w:eastAsia="仿宋" w:cs="仿宋"/>
              </w:rPr>
            </w:pPr>
          </w:p>
        </w:tc>
        <w:tc>
          <w:tcPr>
            <w:tcW w:w="1593" w:type="dxa"/>
            <w:vMerge w:val="continue"/>
            <w:tcBorders>
              <w:left w:val="single" w:color="000000" w:sz="4" w:space="0"/>
              <w:bottom w:val="single" w:color="000000" w:sz="4" w:space="0"/>
            </w:tcBorders>
          </w:tcPr>
          <w:p>
            <w:pPr>
              <w:rPr>
                <w:rFonts w:ascii="仿宋" w:hAnsi="仿宋" w:eastAsia="仿宋" w:cs="仿宋"/>
              </w:rPr>
            </w:pPr>
          </w:p>
        </w:tc>
        <w:tc>
          <w:tcPr>
            <w:tcW w:w="1472" w:type="dxa"/>
            <w:vMerge w:val="continue"/>
            <w:tcBorders>
              <w:left w:val="single" w:color="000000" w:sz="4" w:space="0"/>
              <w:bottom w:val="single" w:color="000000" w:sz="4" w:space="0"/>
            </w:tcBorders>
          </w:tcPr>
          <w:p>
            <w:pPr>
              <w:rPr>
                <w:rFonts w:ascii="仿宋" w:hAnsi="仿宋" w:eastAsia="仿宋" w:cs="仿宋"/>
              </w:rPr>
            </w:pPr>
          </w:p>
        </w:tc>
        <w:tc>
          <w:tcPr>
            <w:tcW w:w="1482"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403" w:hRule="exact"/>
        </w:trPr>
        <w:tc>
          <w:tcPr>
            <w:tcW w:w="5739"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2011"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1,947.41</w:t>
            </w:r>
          </w:p>
        </w:tc>
        <w:tc>
          <w:tcPr>
            <w:tcW w:w="1486"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1,894.42</w:t>
            </w:r>
          </w:p>
        </w:tc>
        <w:tc>
          <w:tcPr>
            <w:tcW w:w="1564"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52.99</w:t>
            </w:r>
          </w:p>
        </w:tc>
        <w:tc>
          <w:tcPr>
            <w:tcW w:w="1593" w:type="dxa"/>
            <w:tcBorders>
              <w:left w:val="single" w:color="000000" w:sz="4" w:space="0"/>
              <w:bottom w:val="single" w:color="000000" w:sz="4" w:space="0"/>
            </w:tcBorders>
            <w:vAlign w:val="center"/>
          </w:tcPr>
          <w:p>
            <w:pPr>
              <w:jc w:val="right"/>
              <w:rPr>
                <w:rFonts w:ascii="仿宋" w:hAnsi="仿宋" w:eastAsia="仿宋" w:cs="仿宋"/>
              </w:rPr>
            </w:pPr>
          </w:p>
        </w:tc>
        <w:tc>
          <w:tcPr>
            <w:tcW w:w="1472" w:type="dxa"/>
            <w:tcBorders>
              <w:left w:val="single" w:color="000000" w:sz="4" w:space="0"/>
              <w:bottom w:val="single" w:color="000000" w:sz="4" w:space="0"/>
            </w:tcBorders>
            <w:vAlign w:val="center"/>
          </w:tcPr>
          <w:p>
            <w:pPr>
              <w:jc w:val="right"/>
              <w:rPr>
                <w:rFonts w:ascii="仿宋" w:hAnsi="仿宋" w:eastAsia="仿宋" w:cs="仿宋"/>
              </w:rPr>
            </w:pPr>
          </w:p>
        </w:tc>
        <w:tc>
          <w:tcPr>
            <w:tcW w:w="1482"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1,502.50</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1,449.50</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52.99</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行政事业单位养老支出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91.74</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91.74</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2080505</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机关事业单位基本养老保险缴费支出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61.16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61.16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2080506</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机关事业单位职业年金缴费支出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30.58</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30.58</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20810</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社会福利</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1,410.76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1,357.76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52.99</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2081005</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社会福利事业单位</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1,410.76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1,357.76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52.99</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住房保障支出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444.91</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444.91</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住房改革支出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444.91</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444.91</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2210201</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住房公积金</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52.56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52.56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提租补贴</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392.35</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392.35</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bl>
    <w:p>
      <w:pPr>
        <w:spacing w:before="59"/>
        <w:rPr>
          <w:rFonts w:ascii="仿宋" w:hAnsi="仿宋" w:eastAsia="仿宋" w:cs="仿宋"/>
        </w:rPr>
      </w:pPr>
      <w:r>
        <w:rPr>
          <w:rFonts w:hint="eastAsia" w:ascii="仿宋" w:hAnsi="仿宋" w:eastAsia="仿宋" w:cs="仿宋"/>
        </w:rPr>
        <w:t>注：本表反映本年度各项支出情况。本表金额单位转换时可能存在尾数误差。</w:t>
      </w:r>
    </w:p>
    <w:p>
      <w:pPr>
        <w:spacing w:before="59"/>
        <w:ind w:left="57"/>
        <w:rPr>
          <w:rFonts w:ascii="仿宋" w:hAnsi="仿宋" w:eastAsia="仿宋" w:cs="仿宋"/>
        </w:rPr>
        <w:sectPr>
          <w:footerReference r:id="rId9"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Layout w:type="fixed"/>
          <w:tblCellMar>
            <w:top w:w="55" w:type="dxa"/>
            <w:left w:w="55" w:type="dxa"/>
            <w:bottom w:w="55" w:type="dxa"/>
            <w:right w:w="55" w:type="dxa"/>
          </w:tblCellMar>
        </w:tblPrEx>
        <w:trPr>
          <w:trHeight w:val="319" w:hRule="atLeast"/>
        </w:trPr>
        <w:tc>
          <w:tcPr>
            <w:tcW w:w="15372" w:type="dxa"/>
            <w:gridSpan w:val="10"/>
          </w:tcPr>
          <w:p>
            <w:pPr>
              <w:pStyle w:val="22"/>
              <w:jc w:val="center"/>
              <w:rPr>
                <w:rFonts w:ascii="仿宋" w:hAnsi="仿宋" w:eastAsia="仿宋" w:cs="仿宋"/>
                <w:b/>
                <w:bCs/>
                <w:sz w:val="44"/>
                <w:szCs w:val="44"/>
              </w:rPr>
            </w:pPr>
            <w:r>
              <w:rPr>
                <w:rFonts w:hint="eastAsia"/>
                <w:b/>
                <w:bCs/>
                <w:color w:val="000000"/>
                <w:sz w:val="36"/>
                <w:szCs w:val="36"/>
                <w:lang w:eastAsia="ar-SA"/>
              </w:rPr>
              <w:t>财政拨款收入支出决算总表</w:t>
            </w:r>
          </w:p>
        </w:tc>
      </w:tr>
      <w:tr>
        <w:tblPrEx>
          <w:tblLayout w:type="fixed"/>
          <w:tblCellMar>
            <w:top w:w="55" w:type="dxa"/>
            <w:left w:w="55" w:type="dxa"/>
            <w:bottom w:w="55" w:type="dxa"/>
            <w:right w:w="55" w:type="dxa"/>
          </w:tblCellMar>
        </w:tblPrEx>
        <w:trPr>
          <w:trHeight w:val="319" w:hRule="atLeast"/>
        </w:trPr>
        <w:tc>
          <w:tcPr>
            <w:tcW w:w="5562" w:type="dxa"/>
            <w:gridSpan w:val="2"/>
          </w:tcPr>
          <w:p>
            <w:pPr>
              <w:pStyle w:val="22"/>
              <w:rPr>
                <w:rFonts w:ascii="仿宋" w:hAnsi="仿宋" w:eastAsia="仿宋" w:cs="仿宋"/>
                <w:sz w:val="20"/>
              </w:rPr>
            </w:pPr>
          </w:p>
        </w:tc>
        <w:tc>
          <w:tcPr>
            <w:tcW w:w="847" w:type="dxa"/>
          </w:tcPr>
          <w:p>
            <w:pPr>
              <w:pStyle w:val="22"/>
              <w:rPr>
                <w:rFonts w:ascii="仿宋" w:hAnsi="仿宋" w:eastAsia="仿宋" w:cs="仿宋"/>
                <w:sz w:val="20"/>
              </w:rPr>
            </w:pPr>
          </w:p>
        </w:tc>
        <w:tc>
          <w:tcPr>
            <w:tcW w:w="1913" w:type="dxa"/>
          </w:tcPr>
          <w:p>
            <w:pPr>
              <w:pStyle w:val="22"/>
              <w:rPr>
                <w:rFonts w:ascii="仿宋" w:hAnsi="仿宋" w:eastAsia="仿宋" w:cs="仿宋"/>
                <w:sz w:val="20"/>
              </w:rPr>
            </w:pPr>
          </w:p>
        </w:tc>
        <w:tc>
          <w:tcPr>
            <w:tcW w:w="2635" w:type="dxa"/>
            <w:gridSpan w:val="2"/>
          </w:tcPr>
          <w:p>
            <w:pPr>
              <w:pStyle w:val="22"/>
              <w:rPr>
                <w:rFonts w:ascii="仿宋" w:hAnsi="仿宋" w:eastAsia="仿宋" w:cs="仿宋"/>
                <w:sz w:val="20"/>
              </w:rPr>
            </w:pPr>
          </w:p>
        </w:tc>
        <w:tc>
          <w:tcPr>
            <w:tcW w:w="1194" w:type="dxa"/>
          </w:tcPr>
          <w:p>
            <w:pPr>
              <w:pStyle w:val="22"/>
              <w:rPr>
                <w:rFonts w:ascii="仿宋" w:hAnsi="仿宋" w:eastAsia="仿宋" w:cs="仿宋"/>
                <w:sz w:val="20"/>
              </w:rPr>
            </w:pPr>
          </w:p>
        </w:tc>
        <w:tc>
          <w:tcPr>
            <w:tcW w:w="3221" w:type="dxa"/>
            <w:gridSpan w:val="3"/>
            <w:vAlign w:val="center"/>
          </w:tcPr>
          <w:p>
            <w:pPr>
              <w:pStyle w:val="22"/>
              <w:jc w:val="right"/>
              <w:rPr>
                <w:rFonts w:ascii="仿宋" w:hAnsi="仿宋" w:eastAsia="仿宋" w:cs="仿宋"/>
              </w:rPr>
            </w:pPr>
            <w:r>
              <w:rPr>
                <w:rFonts w:hint="eastAsia" w:ascii="仿宋" w:hAnsi="仿宋" w:eastAsia="仿宋" w:cs="仿宋"/>
              </w:rPr>
              <w:t>公开04表</w:t>
            </w:r>
          </w:p>
        </w:tc>
      </w:tr>
      <w:tr>
        <w:tblPrEx>
          <w:tblLayout w:type="fixed"/>
          <w:tblCellMar>
            <w:top w:w="55" w:type="dxa"/>
            <w:left w:w="55" w:type="dxa"/>
            <w:bottom w:w="55" w:type="dxa"/>
            <w:right w:w="55" w:type="dxa"/>
          </w:tblCellMar>
        </w:tblPrEx>
        <w:trPr>
          <w:trHeight w:val="319" w:hRule="atLeast"/>
        </w:trPr>
        <w:tc>
          <w:tcPr>
            <w:tcW w:w="12151" w:type="dxa"/>
            <w:gridSpan w:val="7"/>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3221" w:type="dxa"/>
            <w:gridSpan w:val="3"/>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jc w:val="center"/>
              <w:rPr>
                <w:rFonts w:ascii="仿宋" w:hAnsi="仿宋" w:eastAsia="仿宋" w:cs="仿宋"/>
              </w:rPr>
            </w:pPr>
            <w:r>
              <w:rPr>
                <w:rFonts w:hint="eastAsia" w:ascii="仿宋" w:hAnsi="仿宋" w:eastAsia="仿宋" w:cs="仿宋"/>
              </w:rPr>
              <w:t>收</w:t>
            </w:r>
            <w:r>
              <w:rPr>
                <w:rFonts w:hint="eastAsia" w:ascii="仿宋" w:hAnsi="仿宋" w:eastAsia="仿宋" w:cs="仿宋"/>
              </w:rPr>
              <w:tab/>
            </w:r>
            <w:r>
              <w:rPr>
                <w:rFonts w:hint="eastAsia" w:ascii="仿宋" w:hAnsi="仿宋" w:eastAsia="仿宋" w:cs="仿宋"/>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jc w:val="center"/>
              <w:rPr>
                <w:rFonts w:ascii="仿宋" w:hAnsi="仿宋" w:eastAsia="仿宋" w:cs="仿宋"/>
              </w:rPr>
            </w:pPr>
            <w:r>
              <w:rPr>
                <w:rFonts w:hint="eastAsia" w:ascii="仿宋" w:hAnsi="仿宋" w:eastAsia="仿宋" w:cs="仿宋"/>
              </w:rPr>
              <w:t>支</w:t>
            </w:r>
            <w:r>
              <w:rPr>
                <w:rFonts w:hint="eastAsia" w:ascii="仿宋" w:hAnsi="仿宋" w:eastAsia="仿宋" w:cs="仿宋"/>
              </w:rPr>
              <w:tab/>
            </w:r>
            <w:r>
              <w:rPr>
                <w:rFonts w:hint="eastAsia" w:ascii="仿宋" w:hAnsi="仿宋" w:eastAsia="仿宋" w:cs="仿宋"/>
              </w:rPr>
              <w:t>出</w:t>
            </w:r>
          </w:p>
        </w:tc>
      </w:tr>
      <w:tr>
        <w:tblPrEx>
          <w:tblLayout w:type="fixed"/>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837"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决算数</w:t>
            </w:r>
          </w:p>
        </w:tc>
        <w:tc>
          <w:tcPr>
            <w:tcW w:w="3667" w:type="dxa"/>
            <w:gridSpan w:val="3"/>
            <w:vMerge w:val="restart"/>
            <w:tcBorders>
              <w:left w:val="single" w:color="000000" w:sz="4" w:space="0"/>
              <w:bottom w:val="single" w:color="000000" w:sz="4" w:space="0"/>
            </w:tcBorders>
            <w:vAlign w:val="center"/>
          </w:tcPr>
          <w:p>
            <w:pPr>
              <w:jc w:val="center"/>
              <w:rPr>
                <w:rFonts w:ascii="仿宋" w:hAnsi="仿宋" w:eastAsia="仿宋" w:cs="仿宋"/>
              </w:rPr>
            </w:pPr>
            <w:r>
              <w:rPr>
                <w:rFonts w:hint="eastAsia" w:ascii="仿宋" w:hAnsi="仿宋" w:eastAsia="仿宋" w:cs="仿宋"/>
              </w:rPr>
              <w:t>按功能分类</w:t>
            </w:r>
          </w:p>
        </w:tc>
        <w:tc>
          <w:tcPr>
            <w:tcW w:w="6143" w:type="dxa"/>
            <w:gridSpan w:val="5"/>
            <w:tcBorders>
              <w:left w:val="single" w:color="000000" w:sz="4" w:space="0"/>
              <w:bottom w:val="single" w:color="000000" w:sz="4" w:space="0"/>
              <w:right w:val="single" w:color="000000" w:sz="4" w:space="0"/>
            </w:tcBorders>
            <w:vAlign w:val="center"/>
          </w:tcPr>
          <w:p>
            <w:pPr>
              <w:jc w:val="center"/>
              <w:rPr>
                <w:rFonts w:ascii="仿宋" w:hAnsi="仿宋" w:eastAsia="仿宋" w:cs="仿宋"/>
              </w:rPr>
            </w:pPr>
            <w:r>
              <w:rPr>
                <w:rFonts w:hint="eastAsia" w:ascii="仿宋" w:hAnsi="仿宋" w:eastAsia="仿宋" w:cs="仿宋"/>
              </w:rPr>
              <w:t>决算数</w:t>
            </w:r>
          </w:p>
        </w:tc>
      </w:tr>
      <w:tr>
        <w:tblPrEx>
          <w:tblLayout w:type="fixed"/>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rPr>
                <w:rFonts w:ascii="仿宋" w:hAnsi="仿宋" w:eastAsia="仿宋" w:cs="仿宋"/>
              </w:rPr>
            </w:pPr>
          </w:p>
        </w:tc>
        <w:tc>
          <w:tcPr>
            <w:tcW w:w="1837" w:type="dxa"/>
            <w:vMerge w:val="continue"/>
            <w:tcBorders>
              <w:left w:val="single" w:color="000000" w:sz="4" w:space="0"/>
              <w:bottom w:val="single" w:color="000000" w:sz="4" w:space="0"/>
            </w:tcBorders>
          </w:tcPr>
          <w:p>
            <w:pPr>
              <w:pStyle w:val="22"/>
              <w:rPr>
                <w:rFonts w:ascii="仿宋" w:hAnsi="仿宋" w:eastAsia="仿宋" w:cs="仿宋"/>
              </w:rPr>
            </w:pPr>
          </w:p>
        </w:tc>
        <w:tc>
          <w:tcPr>
            <w:tcW w:w="3667" w:type="dxa"/>
            <w:gridSpan w:val="3"/>
            <w:vMerge w:val="continue"/>
            <w:tcBorders>
              <w:left w:val="single" w:color="000000" w:sz="4" w:space="0"/>
              <w:bottom w:val="single" w:color="000000" w:sz="4" w:space="0"/>
            </w:tcBorders>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小计</w:t>
            </w:r>
          </w:p>
        </w:tc>
        <w:tc>
          <w:tcPr>
            <w:tcW w:w="1415"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一般公共预算财政拨款</w:t>
            </w:r>
          </w:p>
        </w:tc>
        <w:tc>
          <w:tcPr>
            <w:tcW w:w="150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国有资本经营预算财政拨款</w:t>
            </w: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1,568.76</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1,309.47</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1,309.47</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本年收入合计</w:t>
            </w:r>
          </w:p>
        </w:tc>
        <w:tc>
          <w:tcPr>
            <w:tcW w:w="1837"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1,568.76</w:t>
            </w:r>
          </w:p>
        </w:tc>
        <w:tc>
          <w:tcPr>
            <w:tcW w:w="3667" w:type="dxa"/>
            <w:gridSpan w:val="3"/>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本年支出合计</w:t>
            </w:r>
          </w:p>
        </w:tc>
        <w:tc>
          <w:tcPr>
            <w:tcW w:w="1728"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1,591.75</w:t>
            </w:r>
          </w:p>
        </w:tc>
        <w:tc>
          <w:tcPr>
            <w:tcW w:w="1415" w:type="dxa"/>
            <w:gridSpan w:val="2"/>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1,591.75</w:t>
            </w:r>
          </w:p>
        </w:tc>
        <w:tc>
          <w:tcPr>
            <w:tcW w:w="1500"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年初财政拨款结转和结余</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25.49</w:t>
            </w: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年末财政拨款结转和结余</w:t>
            </w: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2.49</w:t>
            </w: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2.49</w:t>
            </w: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一、一般公共预算财政拨款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25.49</w:t>
            </w: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二、政府性基金预算财政拨款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三、国有资本经营预算财政拨款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总计</w:t>
            </w:r>
          </w:p>
        </w:tc>
        <w:tc>
          <w:tcPr>
            <w:tcW w:w="1837"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1,594.25</w:t>
            </w:r>
          </w:p>
        </w:tc>
        <w:tc>
          <w:tcPr>
            <w:tcW w:w="3667" w:type="dxa"/>
            <w:gridSpan w:val="3"/>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总计</w:t>
            </w:r>
          </w:p>
        </w:tc>
        <w:tc>
          <w:tcPr>
            <w:tcW w:w="1728"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1,594.25</w:t>
            </w:r>
          </w:p>
        </w:tc>
        <w:tc>
          <w:tcPr>
            <w:tcW w:w="1415" w:type="dxa"/>
            <w:gridSpan w:val="2"/>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1,594.25</w:t>
            </w:r>
          </w:p>
        </w:tc>
        <w:tc>
          <w:tcPr>
            <w:tcW w:w="1500" w:type="dxa"/>
            <w:tcBorders>
              <w:left w:val="single" w:color="000000" w:sz="4" w:space="0"/>
              <w:bottom w:val="single" w:color="000000" w:sz="4" w:space="0"/>
            </w:tcBorders>
            <w:vAlign w:val="center"/>
          </w:tcPr>
          <w:p>
            <w:pPr>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jc w:val="both"/>
        <w:rPr>
          <w:rFonts w:ascii="仿宋" w:hAnsi="仿宋" w:eastAsia="仿宋" w:cs="仿宋"/>
        </w:rPr>
      </w:pPr>
      <w:r>
        <w:rPr>
          <w:rFonts w:hint="eastAsia" w:ascii="仿宋" w:hAnsi="仿宋" w:eastAsia="仿宋" w:cs="仿宋"/>
          <w:lang w:val="en-US"/>
        </w:rPr>
        <w:t>注：</w:t>
      </w:r>
      <w:r>
        <w:rPr>
          <w:rFonts w:hint="eastAsia" w:ascii="仿宋" w:hAnsi="仿宋" w:eastAsia="仿宋" w:cs="仿宋"/>
        </w:rPr>
        <w:t>本表反映本年度一般公共预算财政拨款、政府性基金预算财政拨款和国有资本经营预算财政拨款的总收支和年末结转结余情况。本表金额单位转换时可能存在尾数误差。</w:t>
      </w:r>
    </w:p>
    <w:p>
      <w:pPr>
        <w:jc w:val="both"/>
        <w:rPr>
          <w:rFonts w:ascii="仿宋" w:hAnsi="仿宋" w:eastAsia="仿宋" w:cs="仿宋"/>
        </w:rPr>
        <w:sectPr>
          <w:footerReference r:id="rId10"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Layout w:type="fixed"/>
          <w:tblCellMar>
            <w:top w:w="55" w:type="dxa"/>
            <w:left w:w="55" w:type="dxa"/>
            <w:bottom w:w="55" w:type="dxa"/>
            <w:right w:w="55" w:type="dxa"/>
          </w:tblCellMar>
        </w:tblPrEx>
        <w:trPr>
          <w:trHeight w:val="321" w:hRule="atLeast"/>
        </w:trPr>
        <w:tc>
          <w:tcPr>
            <w:tcW w:w="15417"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财政拨款支出决算表（功能科目）</w:t>
            </w:r>
          </w:p>
        </w:tc>
      </w:tr>
      <w:tr>
        <w:tblPrEx>
          <w:tblLayout w:type="fixed"/>
          <w:tblCellMar>
            <w:top w:w="55" w:type="dxa"/>
            <w:left w:w="55" w:type="dxa"/>
            <w:bottom w:w="55" w:type="dxa"/>
            <w:right w:w="55" w:type="dxa"/>
          </w:tblCellMar>
        </w:tblPrEx>
        <w:trPr>
          <w:trHeight w:val="321" w:hRule="atLeast"/>
        </w:trPr>
        <w:tc>
          <w:tcPr>
            <w:tcW w:w="6300" w:type="dxa"/>
            <w:gridSpan w:val="2"/>
          </w:tcPr>
          <w:p>
            <w:pPr>
              <w:pStyle w:val="22"/>
              <w:rPr>
                <w:rFonts w:ascii="仿宋" w:hAnsi="仿宋" w:eastAsia="仿宋" w:cs="仿宋"/>
                <w:sz w:val="20"/>
              </w:rPr>
            </w:pPr>
          </w:p>
        </w:tc>
        <w:tc>
          <w:tcPr>
            <w:tcW w:w="3184" w:type="dxa"/>
          </w:tcPr>
          <w:p>
            <w:pPr>
              <w:pStyle w:val="22"/>
              <w:rPr>
                <w:rFonts w:ascii="仿宋" w:hAnsi="仿宋" w:eastAsia="仿宋" w:cs="仿宋"/>
                <w:sz w:val="27"/>
              </w:rPr>
            </w:pPr>
          </w:p>
        </w:tc>
        <w:tc>
          <w:tcPr>
            <w:tcW w:w="5933" w:type="dxa"/>
            <w:gridSpan w:val="2"/>
            <w:vAlign w:val="center"/>
          </w:tcPr>
          <w:p>
            <w:pPr>
              <w:pStyle w:val="22"/>
              <w:jc w:val="right"/>
              <w:rPr>
                <w:rFonts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300" w:type="dxa"/>
            <w:gridSpan w:val="2"/>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3184" w:type="dxa"/>
          </w:tcPr>
          <w:p>
            <w:pPr>
              <w:pStyle w:val="22"/>
              <w:rPr>
                <w:rFonts w:ascii="仿宋" w:hAnsi="仿宋" w:eastAsia="仿宋" w:cs="仿宋"/>
                <w:sz w:val="27"/>
              </w:rPr>
            </w:pPr>
          </w:p>
        </w:tc>
        <w:tc>
          <w:tcPr>
            <w:tcW w:w="2778" w:type="dxa"/>
            <w:vAlign w:val="center"/>
          </w:tcPr>
          <w:p>
            <w:pPr>
              <w:pStyle w:val="22"/>
              <w:jc w:val="right"/>
              <w:rPr>
                <w:rFonts w:ascii="仿宋" w:hAnsi="仿宋" w:eastAsia="仿宋" w:cs="仿宋"/>
                <w:sz w:val="27"/>
              </w:rPr>
            </w:pPr>
          </w:p>
        </w:tc>
        <w:tc>
          <w:tcPr>
            <w:tcW w:w="3155"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3184"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5022"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3184" w:type="dxa"/>
            <w:vMerge w:val="continue"/>
            <w:tcBorders>
              <w:left w:val="single" w:color="000000" w:sz="6" w:space="0"/>
              <w:bottom w:val="single" w:color="000000" w:sz="6" w:space="0"/>
            </w:tcBorders>
          </w:tcPr>
          <w:p>
            <w:pPr>
              <w:rPr>
                <w:rFonts w:ascii="仿宋" w:hAnsi="仿宋" w:eastAsia="仿宋" w:cs="仿宋"/>
              </w:rPr>
            </w:pPr>
          </w:p>
        </w:tc>
        <w:tc>
          <w:tcPr>
            <w:tcW w:w="2778" w:type="dxa"/>
            <w:vMerge w:val="continue"/>
            <w:tcBorders>
              <w:left w:val="single" w:color="000000" w:sz="6" w:space="0"/>
              <w:bottom w:val="single" w:color="000000" w:sz="6" w:space="0"/>
            </w:tcBorders>
          </w:tcPr>
          <w:p>
            <w:pPr>
              <w:rPr>
                <w:rFonts w:ascii="仿宋" w:hAnsi="仿宋" w:eastAsia="仿宋" w:cs="仿宋"/>
              </w:rPr>
            </w:pPr>
          </w:p>
        </w:tc>
        <w:tc>
          <w:tcPr>
            <w:tcW w:w="3155" w:type="dxa"/>
            <w:vMerge w:val="continue"/>
            <w:tcBorders>
              <w:left w:val="single" w:color="000000" w:sz="6" w:space="0"/>
              <w:bottom w:val="single" w:color="000000" w:sz="6" w:space="0"/>
              <w:right w:val="single" w:color="000000" w:sz="6"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3184"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1</w:t>
            </w:r>
          </w:p>
        </w:tc>
        <w:tc>
          <w:tcPr>
            <w:tcW w:w="2778"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2</w:t>
            </w:r>
          </w:p>
        </w:tc>
        <w:tc>
          <w:tcPr>
            <w:tcW w:w="3155" w:type="dxa"/>
            <w:tcBorders>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3184" w:type="dxa"/>
            <w:tcBorders>
              <w:left w:val="single" w:color="000000" w:sz="6" w:space="0"/>
              <w:bottom w:val="single" w:color="000000" w:sz="6" w:space="0"/>
            </w:tcBorders>
          </w:tcPr>
          <w:p>
            <w:pPr>
              <w:pStyle w:val="22"/>
              <w:jc w:val="right"/>
              <w:rPr>
                <w:rFonts w:ascii="仿宋" w:hAnsi="仿宋" w:eastAsia="仿宋" w:cs="仿宋"/>
              </w:rPr>
            </w:pPr>
            <w:r>
              <w:rPr>
                <w:rFonts w:hint="eastAsia" w:ascii="仿宋" w:hAnsi="仿宋" w:eastAsia="仿宋" w:cs="仿宋"/>
              </w:rPr>
              <w:t>1,591.75</w:t>
            </w:r>
          </w:p>
        </w:tc>
        <w:tc>
          <w:tcPr>
            <w:tcW w:w="2778" w:type="dxa"/>
            <w:tcBorders>
              <w:left w:val="single" w:color="000000" w:sz="6" w:space="0"/>
              <w:bottom w:val="single" w:color="000000" w:sz="6" w:space="0"/>
            </w:tcBorders>
          </w:tcPr>
          <w:p>
            <w:pPr>
              <w:pStyle w:val="22"/>
              <w:jc w:val="right"/>
              <w:rPr>
                <w:rFonts w:ascii="仿宋" w:hAnsi="仿宋" w:eastAsia="仿宋" w:cs="仿宋"/>
              </w:rPr>
            </w:pPr>
            <w:r>
              <w:rPr>
                <w:rFonts w:hint="eastAsia" w:ascii="仿宋" w:hAnsi="仿宋" w:eastAsia="仿宋" w:cs="仿宋"/>
              </w:rPr>
              <w:t>1,538.76</w:t>
            </w:r>
          </w:p>
        </w:tc>
        <w:tc>
          <w:tcPr>
            <w:tcW w:w="3155" w:type="dxa"/>
            <w:tcBorders>
              <w:left w:val="single" w:color="000000" w:sz="6" w:space="0"/>
              <w:bottom w:val="single" w:color="000000" w:sz="6" w:space="0"/>
              <w:right w:val="single" w:color="000000" w:sz="6" w:space="0"/>
            </w:tcBorders>
          </w:tcPr>
          <w:p>
            <w:pPr>
              <w:pStyle w:val="22"/>
              <w:jc w:val="right"/>
              <w:rPr>
                <w:rFonts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1,309.47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1,256.48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91.74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91.74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61.16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61.16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30.58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30.58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20810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社会福利</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1,217.73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1,164.74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2081005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社会福利事业单位</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1,217.73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1,164.74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bl>
    <w:p>
      <w:pPr>
        <w:tabs>
          <w:tab w:val="left" w:pos="0"/>
        </w:tabs>
        <w:jc w:val="both"/>
        <w:rPr>
          <w:rFonts w:ascii="仿宋" w:hAnsi="仿宋" w:eastAsia="仿宋" w:cs="仿宋"/>
        </w:rPr>
      </w:pPr>
      <w:r>
        <w:rPr>
          <w:rFonts w:hint="eastAsia" w:ascii="仿宋" w:hAnsi="仿宋" w:eastAsia="仿宋" w:cs="仿宋"/>
        </w:rPr>
        <w:t>注：本表反映本年度一般公共预算财政拨款、政府性基金预算财政拨款和国有资本经营预算财政拨款支出情况。本表金额单位转换时可能存在尾数误差。</w:t>
      </w:r>
    </w:p>
    <w:p>
      <w:pPr>
        <w:tabs>
          <w:tab w:val="left" w:pos="55"/>
        </w:tabs>
        <w:jc w:val="both"/>
        <w:rPr>
          <w:rFonts w:ascii="仿宋" w:hAnsi="仿宋" w:eastAsia="仿宋" w:cs="仿宋"/>
        </w:rPr>
        <w:sectPr>
          <w:footerReference r:id="rId11"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Layout w:type="fixed"/>
          <w:tblCellMar>
            <w:top w:w="55" w:type="dxa"/>
            <w:left w:w="55" w:type="dxa"/>
            <w:bottom w:w="55" w:type="dxa"/>
            <w:right w:w="55" w:type="dxa"/>
          </w:tblCellMar>
        </w:tblPrEx>
        <w:trPr>
          <w:trHeight w:val="319" w:hRule="atLeast"/>
        </w:trPr>
        <w:tc>
          <w:tcPr>
            <w:tcW w:w="10515"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532" w:type="dxa"/>
            <w:gridSpan w:val="2"/>
          </w:tcPr>
          <w:p>
            <w:pPr>
              <w:pStyle w:val="22"/>
              <w:rPr>
                <w:rFonts w:ascii="仿宋" w:hAnsi="仿宋" w:eastAsia="仿宋" w:cs="仿宋"/>
                <w:sz w:val="20"/>
              </w:rPr>
            </w:pPr>
          </w:p>
        </w:tc>
        <w:tc>
          <w:tcPr>
            <w:tcW w:w="2047" w:type="dxa"/>
          </w:tcPr>
          <w:p>
            <w:pPr>
              <w:pStyle w:val="22"/>
              <w:rPr>
                <w:rFonts w:ascii="仿宋" w:hAnsi="仿宋" w:eastAsia="仿宋" w:cs="仿宋"/>
                <w:sz w:val="20"/>
              </w:rPr>
            </w:pPr>
          </w:p>
        </w:tc>
        <w:tc>
          <w:tcPr>
            <w:tcW w:w="2040" w:type="dxa"/>
          </w:tcPr>
          <w:p>
            <w:pPr>
              <w:pStyle w:val="22"/>
              <w:rPr>
                <w:rFonts w:ascii="仿宋" w:hAnsi="仿宋" w:eastAsia="仿宋" w:cs="仿宋"/>
                <w:sz w:val="20"/>
              </w:rPr>
            </w:pPr>
          </w:p>
        </w:tc>
        <w:tc>
          <w:tcPr>
            <w:tcW w:w="1896" w:type="dxa"/>
            <w:vAlign w:val="center"/>
          </w:tcPr>
          <w:p>
            <w:pPr>
              <w:pStyle w:val="22"/>
              <w:jc w:val="right"/>
              <w:rPr>
                <w:rFonts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619" w:type="dxa"/>
            <w:gridSpan w:val="4"/>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1896" w:type="dxa"/>
            <w:vAlign w:val="center"/>
          </w:tcPr>
          <w:p>
            <w:pPr>
              <w:pStyle w:val="22"/>
              <w:jc w:val="right"/>
              <w:rPr>
                <w:rFonts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1,538.76</w:t>
            </w:r>
          </w:p>
        </w:tc>
        <w:tc>
          <w:tcPr>
            <w:tcW w:w="2040"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1,411.46</w:t>
            </w:r>
          </w:p>
        </w:tc>
        <w:tc>
          <w:tcPr>
            <w:tcW w:w="1896"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127.30</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678.06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678.06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164.10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164.10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29.03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331.27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331.27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58.97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58.97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29.43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6.54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6.54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55.38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55.38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127.30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127.30</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0.41</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1.30</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16.98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16.98</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6.33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6.33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11.47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9.76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9.76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0.40</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13.70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13.70</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50.03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50.03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0.38</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10.11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10.11</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733.40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733.40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450.12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450.12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tabs>
          <w:tab w:val="left" w:pos="660"/>
          <w:tab w:val="left" w:pos="10780"/>
        </w:tabs>
        <w:spacing w:before="25" w:line="290" w:lineRule="auto"/>
        <w:jc w:val="both"/>
        <w:rPr>
          <w:rFonts w:ascii="仿宋" w:hAnsi="仿宋" w:eastAsia="仿宋" w:cs="仿宋"/>
        </w:rPr>
      </w:pPr>
      <w:r>
        <w:rPr>
          <w:rFonts w:hint="eastAsia" w:ascii="仿宋" w:hAnsi="仿宋" w:eastAsia="仿宋" w:cs="仿宋"/>
        </w:rPr>
        <w:t>注：本表反映本年度一般公共预算财政拨款、政府性基金预算财政拨款和国有资本经营预算财政拨款基本支出情况。本表金额单位转换时可能存在尾数误差。</w:t>
      </w:r>
    </w:p>
    <w:p>
      <w:pPr>
        <w:spacing w:line="255" w:lineRule="exact"/>
        <w:jc w:val="both"/>
        <w:rPr>
          <w:rFonts w:ascii="仿宋" w:hAnsi="仿宋" w:eastAsia="仿宋" w:cs="仿宋"/>
        </w:rPr>
        <w:sectPr>
          <w:footerReference r:id="rId12" w:type="default"/>
          <w:pgSz w:w="11906" w:h="16838"/>
          <w:pgMar w:top="720" w:right="720" w:bottom="720" w:left="720" w:header="170" w:footer="280" w:gutter="0"/>
          <w:pgNumType w:fmt="numberInDash"/>
          <w:cols w:space="720" w:num="1"/>
          <w:formProt w:val="0"/>
          <w:docGrid w:linePitch="100" w:charSpace="0"/>
        </w:sectPr>
      </w:pPr>
    </w:p>
    <w:tbl>
      <w:tblPr>
        <w:tblStyle w:val="13"/>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blPrEx>
          <w:tblLayout w:type="fixed"/>
          <w:tblCellMar>
            <w:top w:w="55" w:type="dxa"/>
            <w:left w:w="55" w:type="dxa"/>
            <w:bottom w:w="55" w:type="dxa"/>
            <w:right w:w="55" w:type="dxa"/>
          </w:tblCellMar>
        </w:tblPrEx>
        <w:trPr>
          <w:trHeight w:val="560" w:hRule="atLeast"/>
        </w:trPr>
        <w:tc>
          <w:tcPr>
            <w:tcW w:w="10446"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一般公共预算支出决算表（功能科目）</w:t>
            </w:r>
          </w:p>
        </w:tc>
      </w:tr>
      <w:tr>
        <w:tblPrEx>
          <w:tblLayout w:type="fixed"/>
          <w:tblCellMar>
            <w:top w:w="55" w:type="dxa"/>
            <w:left w:w="55" w:type="dxa"/>
            <w:bottom w:w="55" w:type="dxa"/>
            <w:right w:w="55" w:type="dxa"/>
          </w:tblCellMar>
        </w:tblPrEx>
        <w:trPr>
          <w:trHeight w:val="147" w:hRule="atLeast"/>
        </w:trPr>
        <w:tc>
          <w:tcPr>
            <w:tcW w:w="5466" w:type="dxa"/>
            <w:gridSpan w:val="2"/>
          </w:tcPr>
          <w:p>
            <w:pPr>
              <w:pStyle w:val="22"/>
              <w:rPr>
                <w:rFonts w:ascii="仿宋" w:hAnsi="仿宋" w:eastAsia="仿宋" w:cs="仿宋"/>
                <w:sz w:val="20"/>
              </w:rPr>
            </w:pPr>
          </w:p>
        </w:tc>
        <w:tc>
          <w:tcPr>
            <w:tcW w:w="1969" w:type="dxa"/>
          </w:tcPr>
          <w:p>
            <w:pPr>
              <w:pStyle w:val="22"/>
              <w:rPr>
                <w:rFonts w:ascii="仿宋" w:hAnsi="仿宋" w:eastAsia="仿宋" w:cs="仿宋"/>
                <w:sz w:val="20"/>
              </w:rPr>
            </w:pPr>
          </w:p>
        </w:tc>
        <w:tc>
          <w:tcPr>
            <w:tcW w:w="1499" w:type="dxa"/>
          </w:tcPr>
          <w:p>
            <w:pPr>
              <w:pStyle w:val="22"/>
              <w:rPr>
                <w:rFonts w:ascii="仿宋" w:hAnsi="仿宋" w:eastAsia="仿宋" w:cs="仿宋"/>
                <w:sz w:val="20"/>
              </w:rPr>
            </w:pPr>
          </w:p>
        </w:tc>
        <w:tc>
          <w:tcPr>
            <w:tcW w:w="1512" w:type="dxa"/>
            <w:vAlign w:val="center"/>
          </w:tcPr>
          <w:p>
            <w:pPr>
              <w:pStyle w:val="22"/>
              <w:jc w:val="right"/>
              <w:rPr>
                <w:rFonts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303" w:hRule="atLeast"/>
        </w:trPr>
        <w:tc>
          <w:tcPr>
            <w:tcW w:w="7435" w:type="dxa"/>
            <w:gridSpan w:val="3"/>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3011" w:type="dxa"/>
            <w:gridSpan w:val="2"/>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rPr>
                <w:rFonts w:ascii="仿宋" w:hAnsi="仿宋" w:eastAsia="仿宋" w:cs="仿宋"/>
                <w:sz w:val="2"/>
                <w:szCs w:val="2"/>
              </w:rPr>
            </w:pPr>
          </w:p>
        </w:tc>
        <w:tc>
          <w:tcPr>
            <w:tcW w:w="1499" w:type="dxa"/>
            <w:vMerge w:val="continue"/>
            <w:tcBorders>
              <w:left w:val="single" w:color="000000" w:sz="6" w:space="0"/>
              <w:bottom w:val="single" w:color="000000" w:sz="6" w:space="0"/>
            </w:tcBorders>
          </w:tcPr>
          <w:p>
            <w:pPr>
              <w:rPr>
                <w:rFonts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rPr>
                <w:rFonts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jc w:val="center"/>
              <w:rPr>
                <w:rFonts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jc w:val="right"/>
              <w:rPr>
                <w:rFonts w:ascii="仿宋" w:hAnsi="仿宋" w:eastAsia="仿宋" w:cs="仿宋"/>
              </w:rPr>
            </w:pPr>
            <w:r>
              <w:rPr>
                <w:rFonts w:hint="eastAsia" w:ascii="仿宋" w:hAnsi="仿宋" w:eastAsia="仿宋" w:cs="仿宋"/>
              </w:rPr>
              <w:t>1,591.75</w:t>
            </w:r>
          </w:p>
        </w:tc>
        <w:tc>
          <w:tcPr>
            <w:tcW w:w="1499" w:type="dxa"/>
            <w:tcBorders>
              <w:left w:val="single" w:color="000000" w:sz="6" w:space="0"/>
              <w:bottom w:val="single" w:color="000000" w:sz="6" w:space="0"/>
            </w:tcBorders>
            <w:vAlign w:val="center"/>
          </w:tcPr>
          <w:p>
            <w:pPr>
              <w:pStyle w:val="22"/>
              <w:jc w:val="right"/>
              <w:rPr>
                <w:rFonts w:ascii="仿宋" w:hAnsi="仿宋" w:eastAsia="仿宋" w:cs="仿宋"/>
              </w:rPr>
            </w:pPr>
            <w:r>
              <w:rPr>
                <w:rFonts w:hint="eastAsia" w:ascii="仿宋" w:hAnsi="仿宋" w:eastAsia="仿宋" w:cs="仿宋"/>
              </w:rPr>
              <w:t>1,538.76</w:t>
            </w:r>
          </w:p>
        </w:tc>
        <w:tc>
          <w:tcPr>
            <w:tcW w:w="1512" w:type="dxa"/>
            <w:tcBorders>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1,309.47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1,256.48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91.74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91.74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61.16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61.16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30.58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30.58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20810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社会福利</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1,217.73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1,164.74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2081005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社会福利事业单位</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1,217.73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1,164.74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52.99</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bl>
    <w:p>
      <w:pPr>
        <w:tabs>
          <w:tab w:val="left" w:pos="0"/>
        </w:tabs>
        <w:spacing w:before="25"/>
        <w:jc w:val="both"/>
        <w:rPr>
          <w:rFonts w:ascii="仿宋" w:hAnsi="仿宋" w:eastAsia="仿宋" w:cs="仿宋"/>
        </w:rPr>
      </w:pPr>
      <w:r>
        <w:rPr>
          <w:rFonts w:hint="eastAsia" w:ascii="仿宋" w:hAnsi="仿宋" w:eastAsia="仿宋" w:cs="仿宋"/>
        </w:rPr>
        <w:t>注：本表反映本年度一般公共预算财政拨款支出情况。本表金额单位转换时可能存在尾数误差。</w:t>
      </w:r>
    </w:p>
    <w:p>
      <w:pPr>
        <w:spacing w:before="25"/>
        <w:jc w:val="both"/>
        <w:rPr>
          <w:rFonts w:ascii="仿宋" w:hAnsi="仿宋" w:eastAsia="仿宋" w:cs="仿宋"/>
        </w:rPr>
        <w:sectPr>
          <w:footerReference r:id="rId13" w:type="default"/>
          <w:pgSz w:w="11906" w:h="16838"/>
          <w:pgMar w:top="720" w:right="720" w:bottom="720" w:left="720" w:header="170" w:footer="280" w:gutter="0"/>
          <w:pgNumType w:fmt="numberInDash"/>
          <w:cols w:space="720" w:num="1"/>
          <w:formProt w:val="0"/>
          <w:docGrid w:linePitch="100" w:charSpace="0"/>
        </w:sectPr>
      </w:pPr>
    </w:p>
    <w:tbl>
      <w:tblPr>
        <w:tblStyle w:val="13"/>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Layout w:type="fixed"/>
          <w:tblCellMar>
            <w:top w:w="55" w:type="dxa"/>
            <w:left w:w="55" w:type="dxa"/>
            <w:bottom w:w="55" w:type="dxa"/>
            <w:right w:w="55" w:type="dxa"/>
          </w:tblCellMar>
        </w:tblPrEx>
        <w:trPr>
          <w:trHeight w:val="319" w:hRule="atLeast"/>
        </w:trPr>
        <w:tc>
          <w:tcPr>
            <w:tcW w:w="10473" w:type="dxa"/>
            <w:gridSpan w:val="5"/>
          </w:tcPr>
          <w:p>
            <w:pPr>
              <w:pStyle w:val="22"/>
              <w:jc w:val="center"/>
              <w:rPr>
                <w:rFonts w:ascii="仿宋" w:hAnsi="仿宋" w:eastAsia="仿宋" w:cs="仿宋"/>
                <w:b/>
                <w:bCs/>
                <w:sz w:val="44"/>
                <w:szCs w:val="44"/>
              </w:rPr>
            </w:pPr>
            <w:r>
              <w:rPr>
                <w:rFonts w:hint="eastAsia"/>
                <w:b/>
                <w:bCs/>
                <w:color w:val="000000"/>
                <w:sz w:val="36"/>
                <w:szCs w:val="36"/>
                <w:lang w:eastAsia="ar-SA"/>
              </w:rPr>
              <w:t>一般公共预算基本支出决算表（经济科目）</w:t>
            </w:r>
          </w:p>
        </w:tc>
      </w:tr>
      <w:tr>
        <w:tblPrEx>
          <w:tblLayout w:type="fixed"/>
          <w:tblCellMar>
            <w:top w:w="55" w:type="dxa"/>
            <w:left w:w="55" w:type="dxa"/>
            <w:bottom w:w="55" w:type="dxa"/>
            <w:right w:w="55" w:type="dxa"/>
          </w:tblCellMar>
        </w:tblPrEx>
        <w:trPr>
          <w:trHeight w:val="199" w:hRule="atLeast"/>
        </w:trPr>
        <w:tc>
          <w:tcPr>
            <w:tcW w:w="8595" w:type="dxa"/>
            <w:gridSpan w:val="4"/>
            <w:vAlign w:val="center"/>
          </w:tcPr>
          <w:p>
            <w:pPr>
              <w:pStyle w:val="22"/>
              <w:jc w:val="right"/>
              <w:rPr>
                <w:rFonts w:ascii="仿宋" w:hAnsi="仿宋" w:eastAsia="仿宋" w:cs="仿宋"/>
                <w:color w:val="000000"/>
              </w:rPr>
            </w:pPr>
          </w:p>
        </w:tc>
        <w:tc>
          <w:tcPr>
            <w:tcW w:w="1878" w:type="dxa"/>
            <w:vAlign w:val="center"/>
          </w:tcPr>
          <w:p>
            <w:pPr>
              <w:pStyle w:val="22"/>
              <w:jc w:val="right"/>
              <w:rPr>
                <w:rFonts w:ascii="仿宋" w:hAnsi="仿宋" w:eastAsia="仿宋" w:cs="仿宋"/>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320" w:hRule="atLeast"/>
        </w:trPr>
        <w:tc>
          <w:tcPr>
            <w:tcW w:w="8595"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1878" w:type="dxa"/>
            <w:vAlign w:val="center"/>
          </w:tcPr>
          <w:p>
            <w:pPr>
              <w:pStyle w:val="22"/>
              <w:jc w:val="right"/>
              <w:rPr>
                <w:rFonts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1,538.76</w:t>
            </w:r>
          </w:p>
        </w:tc>
        <w:tc>
          <w:tcPr>
            <w:tcW w:w="1708"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1,411.46</w:t>
            </w:r>
          </w:p>
        </w:tc>
        <w:tc>
          <w:tcPr>
            <w:tcW w:w="187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127.30</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678.06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678.06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164.10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164.10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29.03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29.03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331.27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331.27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58.97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58.97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29.43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29.43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6.54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6.54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55.38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55.38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127.30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127.30</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2.93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0.41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0.41</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1.30</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16.98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16.98</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6.33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6.33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11.47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11.47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9.76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9.76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0.40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0.40</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13.70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13.70</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50.03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50.03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0.38</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10.11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10.11</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733.40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733.40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282.28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450.12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450.12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spacing w:before="25"/>
        <w:ind w:right="-92" w:rightChars="-42"/>
        <w:jc w:val="both"/>
        <w:rPr>
          <w:rFonts w:ascii="仿宋" w:hAnsi="仿宋" w:eastAsia="仿宋" w:cs="仿宋"/>
        </w:rPr>
      </w:pPr>
      <w:r>
        <w:rPr>
          <w:rFonts w:hint="eastAsia" w:ascii="仿宋" w:hAnsi="仿宋" w:eastAsia="仿宋" w:cs="仿宋"/>
        </w:rPr>
        <w:t>注：本表反映本年度一般公共预算财政拨款基本支出情况。本表金额单位转换时可能存在尾数误差。</w:t>
      </w:r>
    </w:p>
    <w:p>
      <w:pPr>
        <w:spacing w:before="25"/>
        <w:jc w:val="both"/>
        <w:rPr>
          <w:rFonts w:ascii="仿宋" w:hAnsi="仿宋" w:eastAsia="仿宋" w:cs="仿宋"/>
        </w:rPr>
        <w:sectPr>
          <w:footerReference r:id="rId14" w:type="default"/>
          <w:pgSz w:w="11906" w:h="16838"/>
          <w:pgMar w:top="720" w:right="720" w:bottom="720" w:left="720" w:header="170" w:footer="280" w:gutter="0"/>
          <w:pgNumType w:fmt="numberInDash"/>
          <w:cols w:space="720" w:num="1"/>
          <w:formProt w:val="0"/>
          <w:docGrid w:linePitch="100" w:charSpace="0"/>
        </w:sectPr>
      </w:pPr>
    </w:p>
    <w:tbl>
      <w:tblPr>
        <w:tblStyle w:val="13"/>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Layout w:type="fixed"/>
          <w:tblCellMar>
            <w:top w:w="55" w:type="dxa"/>
            <w:left w:w="55" w:type="dxa"/>
            <w:bottom w:w="55" w:type="dxa"/>
            <w:right w:w="55" w:type="dxa"/>
          </w:tblCellMar>
        </w:tblPrEx>
        <w:trPr>
          <w:trHeight w:val="321" w:hRule="atLeast"/>
        </w:trPr>
        <w:tc>
          <w:tcPr>
            <w:tcW w:w="16486" w:type="dxa"/>
            <w:gridSpan w:val="16"/>
          </w:tcPr>
          <w:p>
            <w:pPr>
              <w:pStyle w:val="22"/>
              <w:jc w:val="center"/>
              <w:rPr>
                <w:rFonts w:ascii="仿宋" w:hAnsi="仿宋" w:eastAsia="仿宋" w:cs="仿宋"/>
                <w:b/>
                <w:bCs/>
                <w:sz w:val="44"/>
                <w:szCs w:val="44"/>
              </w:rPr>
            </w:pPr>
            <w:r>
              <w:rPr>
                <w:rFonts w:hint="eastAsia"/>
                <w:b/>
                <w:bCs/>
                <w:color w:val="000000"/>
                <w:sz w:val="36"/>
                <w:szCs w:val="36"/>
                <w:lang w:eastAsia="ar-SA"/>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6486" w:type="dxa"/>
            <w:gridSpan w:val="16"/>
          </w:tcPr>
          <w:p>
            <w:pPr>
              <w:pStyle w:val="22"/>
              <w:jc w:val="right"/>
              <w:rPr>
                <w:rFonts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8274" w:type="dxa"/>
            <w:gridSpan w:val="8"/>
            <w:tcBorders>
              <w:bottom w:val="single" w:color="auto" w:sz="4" w:space="0"/>
            </w:tcBorders>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jc w:val="center"/>
              <w:rPr>
                <w:rFonts w:ascii="仿宋" w:hAnsi="仿宋" w:eastAsia="仿宋" w:cs="仿宋"/>
              </w:rPr>
            </w:pPr>
            <w:r>
              <w:rPr>
                <w:rFonts w:hint="eastAsia" w:ascii="仿宋" w:hAnsi="仿宋" w:eastAsia="仿宋" w:cs="仿宋"/>
                <w:lang w:val="en-US"/>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jc w:val="center"/>
              <w:rPr>
                <w:rFonts w:ascii="仿宋" w:hAnsi="仿宋" w:eastAsia="仿宋" w:cs="仿宋"/>
                <w:lang w:val="en-US"/>
              </w:rPr>
            </w:pPr>
            <w:r>
              <w:rPr>
                <w:rFonts w:hint="eastAsia" w:ascii="仿宋" w:hAnsi="仿宋" w:eastAsia="仿宋" w:cs="仿宋"/>
                <w:lang w:val="en-US"/>
              </w:rPr>
              <w:t>决算数</w:t>
            </w:r>
          </w:p>
        </w:tc>
      </w:tr>
      <w:tr>
        <w:tblPrEx>
          <w:tblLayout w:type="fixed"/>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w:t>
            </w:r>
          </w:p>
          <w:p>
            <w:pPr>
              <w:pStyle w:val="22"/>
              <w:jc w:val="center"/>
              <w:rPr>
                <w:rFonts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jc w:val="center"/>
              <w:rPr>
                <w:rFonts w:ascii="仿宋" w:hAnsi="仿宋" w:eastAsia="仿宋" w:cs="仿宋"/>
                <w:sz w:val="20"/>
              </w:rPr>
            </w:pPr>
          </w:p>
        </w:tc>
        <w:tc>
          <w:tcPr>
            <w:tcW w:w="1010"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w:t>
            </w:r>
          </w:p>
          <w:p>
            <w:pPr>
              <w:pStyle w:val="22"/>
              <w:jc w:val="center"/>
              <w:rPr>
                <w:rFonts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c>
          <w:tcPr>
            <w:tcW w:w="1027"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r>
      <w:tr>
        <w:tblPrEx>
          <w:tblLayout w:type="fixed"/>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rPr>
                <w:rFonts w:ascii="仿宋" w:hAnsi="仿宋" w:eastAsia="仿宋" w:cs="仿宋"/>
                <w:sz w:val="2"/>
                <w:szCs w:val="2"/>
              </w:rPr>
            </w:pPr>
          </w:p>
        </w:tc>
        <w:tc>
          <w:tcPr>
            <w:tcW w:w="1042" w:type="dxa"/>
            <w:vMerge w:val="continue"/>
            <w:tcBorders>
              <w:left w:val="single" w:color="000000" w:sz="4" w:space="0"/>
              <w:bottom w:val="single" w:color="000000" w:sz="4" w:space="0"/>
            </w:tcBorders>
          </w:tcPr>
          <w:p>
            <w:pPr>
              <w:rPr>
                <w:rFonts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rPr>
                <w:rFonts w:ascii="仿宋" w:hAnsi="仿宋" w:eastAsia="仿宋" w:cs="仿宋"/>
                <w:sz w:val="2"/>
                <w:szCs w:val="2"/>
              </w:rPr>
            </w:pPr>
          </w:p>
        </w:tc>
        <w:tc>
          <w:tcPr>
            <w:tcW w:w="1043" w:type="dxa"/>
            <w:vMerge w:val="continue"/>
            <w:tcBorders>
              <w:left w:val="single" w:color="000000" w:sz="4" w:space="0"/>
              <w:bottom w:val="single" w:color="000000" w:sz="4" w:space="0"/>
            </w:tcBorders>
          </w:tcPr>
          <w:p>
            <w:pPr>
              <w:rPr>
                <w:rFonts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r>
      <w:tr>
        <w:tblPrEx>
          <w:tblLayout w:type="fixed"/>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9"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6"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89"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57"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7"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r>
    </w:tbl>
    <w:p>
      <w:pPr>
        <w:spacing w:before="30" w:after="33"/>
        <w:ind w:left="220" w:leftChars="100"/>
        <w:rPr>
          <w:rFonts w:ascii="仿宋" w:hAnsi="仿宋" w:eastAsia="仿宋" w:cs="仿宋"/>
        </w:rPr>
      </w:pPr>
      <w:r>
        <w:rPr>
          <w:rFonts w:hint="eastAsia" w:ascii="仿宋" w:hAnsi="仿宋" w:eastAsia="仿宋" w:cs="仿宋"/>
        </w:rPr>
        <w:t>相关统计数：</w:t>
      </w:r>
    </w:p>
    <w:tbl>
      <w:tblPr>
        <w:tblStyle w:val="13"/>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ascii="仿宋" w:hAnsi="仿宋" w:eastAsia="仿宋" w:cs="仿宋"/>
              </w:rPr>
              <w:t>项目</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统计数</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统计数</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bl>
    <w:p>
      <w:pPr>
        <w:ind w:right="-2"/>
        <w:jc w:val="both"/>
        <w:rPr>
          <w:rFonts w:ascii="仿宋" w:hAnsi="仿宋" w:eastAsia="仿宋" w:cs="仿宋"/>
        </w:rPr>
      </w:pPr>
      <w:r>
        <w:rPr>
          <w:rFonts w:hint="eastAsia" w:ascii="仿宋" w:hAnsi="仿宋" w:eastAsia="仿宋" w:cs="仿宋"/>
        </w:rPr>
        <w:t>注：</w:t>
      </w:r>
      <w:r>
        <w:rPr>
          <w:rFonts w:hint="eastAsia" w:ascii="仿宋" w:hAnsi="仿宋" w:eastAsia="仿宋" w:cs="仿宋"/>
          <w:lang w:val="en-US"/>
        </w:rPr>
        <w:t>本表反映本年度一般公共预算“三公”经费、会议费和培训费支出情况。其中，预算数为全年预算数，反映按规定程序调整后的预算数；决算数是包括当年一般公共预算财政拨款和以前年度结转资金安排的实际支出。</w:t>
      </w:r>
    </w:p>
    <w:p>
      <w:pPr>
        <w:ind w:left="440" w:leftChars="200"/>
        <w:jc w:val="both"/>
        <w:rPr>
          <w:rFonts w:ascii="仿宋" w:hAnsi="仿宋" w:eastAsia="仿宋" w:cs="仿宋"/>
        </w:rPr>
      </w:pPr>
      <w:r>
        <w:rPr>
          <w:rFonts w:hint="eastAsia" w:ascii="仿宋" w:hAnsi="仿宋" w:eastAsia="仿宋" w:cs="仿宋"/>
        </w:rPr>
        <w:t>本</w:t>
      </w:r>
      <w:r>
        <w:rPr>
          <w:rFonts w:ascii="仿宋" w:hAnsi="仿宋" w:eastAsia="仿宋" w:cs="仿宋"/>
        </w:rPr>
        <w:t>单位</w:t>
      </w:r>
      <w:r>
        <w:rPr>
          <w:rFonts w:hint="eastAsia" w:ascii="仿宋" w:hAnsi="仿宋" w:eastAsia="仿宋" w:cs="仿宋"/>
        </w:rPr>
        <w:t>无一般公共预算“三公”经费、会议费、培训费支出决算，故本表为空。</w:t>
      </w:r>
    </w:p>
    <w:p>
      <w:pPr>
        <w:ind w:left="227" w:firstLine="220" w:firstLineChars="100"/>
        <w:jc w:val="both"/>
        <w:rPr>
          <w:rFonts w:ascii="仿宋" w:hAnsi="仿宋" w:eastAsia="仿宋" w:cs="仿宋"/>
        </w:rPr>
        <w:sectPr>
          <w:footerReference r:id="rId15" w:type="default"/>
          <w:pgSz w:w="16838" w:h="11906" w:orient="landscape"/>
          <w:pgMar w:top="720" w:right="153" w:bottom="720" w:left="153" w:header="170" w:footer="280" w:gutter="0"/>
          <w:pgNumType w:fmt="numberInDash"/>
          <w:cols w:space="720" w:num="1"/>
          <w:formProt w:val="0"/>
          <w:docGrid w:linePitch="100" w:charSpace="0"/>
        </w:sectPr>
      </w:pPr>
    </w:p>
    <w:tbl>
      <w:tblPr>
        <w:tblStyle w:val="13"/>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政府性基金预算支出决算表</w:t>
            </w:r>
          </w:p>
        </w:tc>
      </w:tr>
      <w:tr>
        <w:tblPrEx>
          <w:tblLayout w:type="fixed"/>
          <w:tblCellMar>
            <w:top w:w="55" w:type="dxa"/>
            <w:left w:w="55" w:type="dxa"/>
            <w:bottom w:w="55" w:type="dxa"/>
            <w:right w:w="55" w:type="dxa"/>
          </w:tblCellMar>
        </w:tblPrEx>
        <w:trPr>
          <w:trHeight w:val="323" w:hRule="atLeast"/>
        </w:trPr>
        <w:tc>
          <w:tcPr>
            <w:tcW w:w="8426" w:type="dxa"/>
            <w:gridSpan w:val="2"/>
          </w:tcPr>
          <w:p>
            <w:pPr>
              <w:pStyle w:val="22"/>
              <w:rPr>
                <w:rFonts w:ascii="仿宋" w:hAnsi="仿宋" w:eastAsia="仿宋" w:cs="仿宋"/>
                <w:sz w:val="20"/>
              </w:rPr>
            </w:pPr>
          </w:p>
        </w:tc>
        <w:tc>
          <w:tcPr>
            <w:tcW w:w="2684" w:type="dxa"/>
          </w:tcPr>
          <w:p>
            <w:pPr>
              <w:pStyle w:val="22"/>
              <w:rPr>
                <w:rFonts w:ascii="仿宋" w:hAnsi="仿宋" w:eastAsia="仿宋" w:cs="仿宋"/>
                <w:sz w:val="27"/>
              </w:rPr>
            </w:pPr>
          </w:p>
        </w:tc>
        <w:tc>
          <w:tcPr>
            <w:tcW w:w="2432" w:type="dxa"/>
          </w:tcPr>
          <w:p>
            <w:pPr>
              <w:pStyle w:val="22"/>
              <w:rPr>
                <w:rFonts w:ascii="仿宋" w:hAnsi="仿宋" w:eastAsia="仿宋" w:cs="仿宋"/>
                <w:sz w:val="20"/>
              </w:rPr>
            </w:pPr>
          </w:p>
        </w:tc>
        <w:tc>
          <w:tcPr>
            <w:tcW w:w="1858" w:type="dxa"/>
            <w:vAlign w:val="center"/>
          </w:tcPr>
          <w:p>
            <w:pPr>
              <w:pStyle w:val="22"/>
              <w:jc w:val="right"/>
              <w:rPr>
                <w:rFonts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52" w:hRule="atLeast"/>
        </w:trPr>
        <w:tc>
          <w:tcPr>
            <w:tcW w:w="13542"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1858"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rPr>
                <w:rFonts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1</w:t>
            </w:r>
          </w:p>
        </w:tc>
        <w:tc>
          <w:tcPr>
            <w:tcW w:w="243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2</w:t>
            </w:r>
          </w:p>
        </w:tc>
      </w:tr>
      <w:tr>
        <w:tblPrEx>
          <w:tblLayout w:type="fixed"/>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432"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spacing w:before="25"/>
        <w:jc w:val="both"/>
        <w:rPr>
          <w:rFonts w:ascii="仿宋" w:hAnsi="仿宋" w:eastAsia="仿宋" w:cs="仿宋"/>
        </w:rPr>
      </w:pPr>
      <w:r>
        <w:rPr>
          <w:rFonts w:hint="eastAsia" w:ascii="仿宋" w:hAnsi="仿宋" w:eastAsia="仿宋" w:cs="仿宋"/>
        </w:rPr>
        <w:t>注：本表反映本年度政府性基金预算财政拨款支出情况。</w:t>
      </w:r>
    </w:p>
    <w:p>
      <w:pPr>
        <w:spacing w:before="25"/>
        <w:ind w:left="440" w:leftChars="200"/>
        <w:jc w:val="both"/>
        <w:rPr>
          <w:rFonts w:ascii="仿宋" w:hAnsi="仿宋" w:eastAsia="仿宋" w:cs="仿宋"/>
          <w:lang w:val="en-US"/>
        </w:rPr>
      </w:pPr>
      <w:r>
        <w:rPr>
          <w:rFonts w:ascii="仿宋" w:hAnsi="仿宋" w:eastAsia="仿宋" w:cs="仿宋"/>
        </w:rPr>
        <w:t>本单位无政府性基金预算收入支出决算，故本表为空。</w:t>
      </w:r>
    </w:p>
    <w:p>
      <w:pPr>
        <w:spacing w:before="25"/>
        <w:jc w:val="both"/>
        <w:rPr>
          <w:rFonts w:ascii="仿宋" w:hAnsi="仿宋" w:eastAsia="仿宋" w:cs="仿宋"/>
          <w:lang w:val="en-US"/>
        </w:rPr>
        <w:sectPr>
          <w:footerReference r:id="rId16"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国有资本经营预算支出决算表</w:t>
            </w:r>
          </w:p>
        </w:tc>
      </w:tr>
      <w:tr>
        <w:tblPrEx>
          <w:tblLayout w:type="fixed"/>
          <w:tblCellMar>
            <w:top w:w="55" w:type="dxa"/>
            <w:left w:w="55" w:type="dxa"/>
            <w:bottom w:w="55" w:type="dxa"/>
            <w:right w:w="55" w:type="dxa"/>
          </w:tblCellMar>
        </w:tblPrEx>
        <w:trPr>
          <w:trHeight w:val="323" w:hRule="atLeast"/>
        </w:trPr>
        <w:tc>
          <w:tcPr>
            <w:tcW w:w="8520" w:type="dxa"/>
            <w:gridSpan w:val="2"/>
          </w:tcPr>
          <w:p>
            <w:pPr>
              <w:pStyle w:val="22"/>
              <w:rPr>
                <w:rFonts w:ascii="仿宋" w:hAnsi="仿宋" w:eastAsia="仿宋" w:cs="仿宋"/>
                <w:sz w:val="20"/>
              </w:rPr>
            </w:pPr>
          </w:p>
        </w:tc>
        <w:tc>
          <w:tcPr>
            <w:tcW w:w="2510" w:type="dxa"/>
          </w:tcPr>
          <w:p>
            <w:pPr>
              <w:pStyle w:val="22"/>
              <w:rPr>
                <w:rFonts w:ascii="仿宋" w:hAnsi="仿宋" w:eastAsia="仿宋" w:cs="仿宋"/>
                <w:sz w:val="27"/>
              </w:rPr>
            </w:pPr>
          </w:p>
        </w:tc>
        <w:tc>
          <w:tcPr>
            <w:tcW w:w="2309" w:type="dxa"/>
          </w:tcPr>
          <w:p>
            <w:pPr>
              <w:pStyle w:val="22"/>
              <w:rPr>
                <w:rFonts w:ascii="仿宋" w:hAnsi="仿宋" w:eastAsia="仿宋" w:cs="仿宋"/>
                <w:sz w:val="20"/>
              </w:rPr>
            </w:pPr>
          </w:p>
        </w:tc>
        <w:tc>
          <w:tcPr>
            <w:tcW w:w="2061" w:type="dxa"/>
            <w:vAlign w:val="center"/>
          </w:tcPr>
          <w:p>
            <w:pPr>
              <w:pStyle w:val="22"/>
              <w:jc w:val="right"/>
              <w:rPr>
                <w:rFonts w:ascii="仿宋" w:hAnsi="仿宋" w:eastAsia="仿宋" w:cs="仿宋"/>
                <w:sz w:val="27"/>
              </w:rPr>
            </w:pPr>
            <w:r>
              <w:rPr>
                <w:rFonts w:hint="eastAsia" w:ascii="仿宋" w:hAnsi="仿宋" w:eastAsia="仿宋" w:cs="仿宋"/>
              </w:rPr>
              <w:t>公开1</w:t>
            </w:r>
            <w:r>
              <w:rPr>
                <w:rFonts w:hint="eastAsia" w:ascii="仿宋" w:hAnsi="仿宋" w:eastAsia="仿宋" w:cs="仿宋"/>
                <w:lang w:val="en-US"/>
              </w:rPr>
              <w:t>1</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152" w:hRule="atLeast"/>
        </w:trPr>
        <w:tc>
          <w:tcPr>
            <w:tcW w:w="13339"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2061"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rPr>
                <w:rFonts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1</w:t>
            </w:r>
          </w:p>
        </w:tc>
        <w:tc>
          <w:tcPr>
            <w:tcW w:w="2309"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2</w:t>
            </w:r>
          </w:p>
        </w:tc>
      </w:tr>
      <w:tr>
        <w:tblPrEx>
          <w:tblLayout w:type="fixed"/>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309"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jc w:val="both"/>
        <w:rPr>
          <w:rFonts w:ascii="仿宋" w:hAnsi="仿宋" w:eastAsia="仿宋" w:cs="仿宋"/>
        </w:rPr>
      </w:pPr>
      <w:r>
        <w:rPr>
          <w:rFonts w:hint="eastAsia" w:ascii="仿宋" w:hAnsi="仿宋" w:eastAsia="仿宋" w:cs="仿宋"/>
        </w:rPr>
        <w:t>注：本表反映本年度国有资本经营预算财政拨款支出情况。</w:t>
      </w:r>
    </w:p>
    <w:p>
      <w:pPr>
        <w:ind w:left="440" w:leftChars="200"/>
        <w:jc w:val="both"/>
        <w:rPr>
          <w:rFonts w:ascii="仿宋" w:hAnsi="仿宋" w:eastAsia="仿宋" w:cs="仿宋"/>
          <w:lang w:val="en-US"/>
        </w:rPr>
      </w:pPr>
      <w:r>
        <w:rPr>
          <w:rFonts w:ascii="仿宋" w:hAnsi="仿宋" w:eastAsia="仿宋" w:cs="仿宋"/>
        </w:rPr>
        <w:t>本单位无</w:t>
      </w:r>
      <w:r>
        <w:rPr>
          <w:rFonts w:hint="eastAsia" w:ascii="仿宋" w:hAnsi="仿宋" w:eastAsia="仿宋" w:cs="仿宋"/>
        </w:rPr>
        <w:t>国有资本经营预算支出</w:t>
      </w:r>
      <w:r>
        <w:rPr>
          <w:rFonts w:hint="eastAsia" w:ascii="仿宋" w:hAnsi="仿宋" w:eastAsia="仿宋" w:cs="仿宋"/>
          <w:lang w:val="en-US"/>
        </w:rPr>
        <w:t>决算，故本表为空。</w:t>
      </w:r>
    </w:p>
    <w:p>
      <w:pPr>
        <w:spacing w:before="25"/>
        <w:ind w:left="-220" w:leftChars="-100"/>
        <w:jc w:val="both"/>
        <w:rPr>
          <w:rFonts w:ascii="仿宋" w:hAnsi="仿宋" w:eastAsia="仿宋" w:cs="仿宋"/>
          <w:lang w:val="en-US"/>
        </w:rPr>
        <w:sectPr>
          <w:pgSz w:w="16838" w:h="11906" w:orient="landscape"/>
          <w:pgMar w:top="720" w:right="720" w:bottom="720" w:left="720" w:header="170" w:footer="280" w:gutter="0"/>
          <w:pgNumType w:fmt="numberInDash"/>
          <w:cols w:space="720" w:num="1"/>
          <w:formProt w:val="0"/>
          <w:docGrid w:linePitch="100" w:charSpace="0"/>
        </w:sectPr>
      </w:pPr>
    </w:p>
    <w:tbl>
      <w:tblPr>
        <w:tblStyle w:val="13"/>
        <w:tblW w:w="10466" w:type="dxa"/>
        <w:tblInd w:w="53" w:type="dxa"/>
        <w:tblLayout w:type="fixed"/>
        <w:tblCellMar>
          <w:top w:w="55" w:type="dxa"/>
          <w:left w:w="55" w:type="dxa"/>
          <w:bottom w:w="55" w:type="dxa"/>
          <w:right w:w="55" w:type="dxa"/>
        </w:tblCellMar>
      </w:tblPr>
      <w:tblGrid>
        <w:gridCol w:w="1642"/>
        <w:gridCol w:w="4990"/>
        <w:gridCol w:w="3834"/>
      </w:tblGrid>
      <w:tr>
        <w:tblPrEx>
          <w:tblLayout w:type="fixed"/>
          <w:tblCellMar>
            <w:top w:w="55" w:type="dxa"/>
            <w:left w:w="55" w:type="dxa"/>
            <w:bottom w:w="55" w:type="dxa"/>
            <w:right w:w="55" w:type="dxa"/>
          </w:tblCellMar>
        </w:tblPrEx>
        <w:trPr>
          <w:trHeight w:val="319" w:hRule="atLeast"/>
        </w:trPr>
        <w:tc>
          <w:tcPr>
            <w:tcW w:w="10466" w:type="dxa"/>
            <w:gridSpan w:val="3"/>
          </w:tcPr>
          <w:p>
            <w:pPr>
              <w:pStyle w:val="22"/>
              <w:tabs>
                <w:tab w:val="left" w:pos="610"/>
              </w:tabs>
              <w:spacing w:before="28"/>
              <w:ind w:left="8"/>
              <w:jc w:val="center"/>
              <w:rPr>
                <w:rFonts w:ascii="仿宋" w:hAnsi="仿宋" w:eastAsia="仿宋" w:cs="仿宋"/>
                <w:b/>
                <w:bCs/>
                <w:sz w:val="44"/>
                <w:szCs w:val="44"/>
              </w:rPr>
            </w:pPr>
            <w:r>
              <w:rPr>
                <w:rFonts w:hint="eastAsia"/>
                <w:b/>
                <w:bCs/>
                <w:color w:val="000000"/>
                <w:sz w:val="36"/>
                <w:szCs w:val="36"/>
                <w:lang w:eastAsia="ar-SA"/>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6632" w:type="dxa"/>
            <w:gridSpan w:val="2"/>
          </w:tcPr>
          <w:p>
            <w:pPr>
              <w:pStyle w:val="22"/>
              <w:rPr>
                <w:rFonts w:ascii="仿宋" w:hAnsi="仿宋" w:eastAsia="仿宋" w:cs="仿宋"/>
                <w:sz w:val="20"/>
              </w:rPr>
            </w:pPr>
          </w:p>
        </w:tc>
        <w:tc>
          <w:tcPr>
            <w:tcW w:w="3834" w:type="dxa"/>
            <w:vAlign w:val="center"/>
          </w:tcPr>
          <w:p>
            <w:pPr>
              <w:pStyle w:val="22"/>
              <w:jc w:val="right"/>
              <w:rPr>
                <w:rFonts w:ascii="仿宋" w:hAnsi="仿宋" w:eastAsia="仿宋" w:cs="仿宋"/>
              </w:rPr>
            </w:pPr>
            <w:r>
              <w:rPr>
                <w:rFonts w:hint="eastAsia" w:ascii="仿宋" w:hAnsi="仿宋" w:eastAsia="仿宋" w:cs="仿宋"/>
              </w:rPr>
              <w:t>公开1</w:t>
            </w:r>
            <w:r>
              <w:rPr>
                <w:rFonts w:hint="eastAsia" w:ascii="仿宋" w:hAnsi="仿宋" w:eastAsia="仿宋" w:cs="仿宋"/>
                <w:lang w:val="en-US"/>
              </w:rPr>
              <w:t>2</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6632" w:type="dxa"/>
            <w:gridSpan w:val="2"/>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3834"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机关运行经费支出决算</w:t>
            </w:r>
          </w:p>
        </w:tc>
      </w:tr>
      <w:tr>
        <w:tblPrEx>
          <w:tblLayout w:type="fixed"/>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科目编码</w:t>
            </w:r>
          </w:p>
        </w:tc>
        <w:tc>
          <w:tcPr>
            <w:tcW w:w="499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3834"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3834"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spacing w:before="25"/>
        <w:ind w:right="-92" w:rightChars="-42"/>
        <w:jc w:val="both"/>
        <w:rPr>
          <w:rFonts w:ascii="仿宋" w:hAnsi="仿宋" w:eastAsia="仿宋" w:cs="仿宋"/>
          <w:lang w:val="en-US"/>
        </w:rPr>
      </w:pPr>
      <w:r>
        <w:rPr>
          <w:rFonts w:hint="eastAsia" w:ascii="仿宋" w:hAnsi="仿宋" w:eastAsia="仿宋" w:cs="仿宋"/>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tabs>
          <w:tab w:val="left" w:pos="440"/>
        </w:tabs>
        <w:spacing w:before="25"/>
        <w:ind w:left="440" w:leftChars="200"/>
        <w:jc w:val="both"/>
        <w:rPr>
          <w:rFonts w:ascii="仿宋" w:hAnsi="仿宋" w:eastAsia="仿宋" w:cs="仿宋"/>
        </w:rPr>
      </w:pPr>
      <w:r>
        <w:rPr>
          <w:rFonts w:hint="eastAsia" w:ascii="仿宋" w:hAnsi="仿宋" w:eastAsia="仿宋" w:cs="仿宋"/>
        </w:rPr>
        <w:t>本</w:t>
      </w:r>
      <w:r>
        <w:rPr>
          <w:rFonts w:ascii="仿宋" w:hAnsi="仿宋" w:eastAsia="仿宋" w:cs="仿宋"/>
        </w:rPr>
        <w:t>单位</w:t>
      </w:r>
      <w:r>
        <w:rPr>
          <w:rFonts w:hint="eastAsia" w:ascii="仿宋" w:hAnsi="仿宋" w:eastAsia="仿宋" w:cs="仿宋"/>
        </w:rPr>
        <w:t>无一般公共预算机关运行经费支出决算，故本表为空。</w:t>
      </w:r>
    </w:p>
    <w:p>
      <w:pPr>
        <w:tabs>
          <w:tab w:val="left" w:pos="440"/>
        </w:tabs>
        <w:spacing w:before="25"/>
        <w:ind w:left="440" w:leftChars="200"/>
        <w:jc w:val="both"/>
        <w:rPr>
          <w:rFonts w:ascii="仿宋" w:hAnsi="仿宋" w:eastAsia="仿宋" w:cs="仿宋"/>
          <w:lang w:val="en-US"/>
        </w:rPr>
        <w:sectPr>
          <w:footerReference r:id="rId17" w:type="default"/>
          <w:type w:val="continuous"/>
          <w:pgSz w:w="11906" w:h="16838"/>
          <w:pgMar w:top="720" w:right="720" w:bottom="720" w:left="720" w:header="170" w:footer="280" w:gutter="0"/>
          <w:pgNumType w:fmt="numberInDash"/>
          <w:cols w:space="720" w:num="1"/>
          <w:formProt w:val="0"/>
          <w:docGrid w:linePitch="100" w:charSpace="0"/>
        </w:sectPr>
      </w:pPr>
    </w:p>
    <w:tbl>
      <w:tblPr>
        <w:tblStyle w:val="13"/>
        <w:tblW w:w="10459" w:type="dxa"/>
        <w:tblInd w:w="45" w:type="dxa"/>
        <w:tblLayout w:type="fixed"/>
        <w:tblCellMar>
          <w:top w:w="55" w:type="dxa"/>
          <w:left w:w="55" w:type="dxa"/>
          <w:bottom w:w="55" w:type="dxa"/>
          <w:right w:w="55" w:type="dxa"/>
        </w:tblCellMar>
      </w:tblPr>
      <w:tblGrid>
        <w:gridCol w:w="4472"/>
        <w:gridCol w:w="722"/>
        <w:gridCol w:w="1992"/>
        <w:gridCol w:w="3273"/>
      </w:tblGrid>
      <w:tr>
        <w:tblPrEx>
          <w:tblLayout w:type="fixed"/>
          <w:tblCellMar>
            <w:top w:w="55" w:type="dxa"/>
            <w:left w:w="55" w:type="dxa"/>
            <w:bottom w:w="55" w:type="dxa"/>
            <w:right w:w="55" w:type="dxa"/>
          </w:tblCellMar>
        </w:tblPrEx>
        <w:trPr>
          <w:trHeight w:val="333" w:hRule="atLeast"/>
        </w:trPr>
        <w:tc>
          <w:tcPr>
            <w:tcW w:w="10459" w:type="dxa"/>
            <w:gridSpan w:val="4"/>
            <w:vAlign w:val="center"/>
          </w:tcPr>
          <w:p>
            <w:pPr>
              <w:pStyle w:val="22"/>
              <w:jc w:val="center"/>
              <w:rPr>
                <w:rFonts w:ascii="仿宋" w:hAnsi="仿宋" w:eastAsia="仿宋" w:cs="仿宋"/>
                <w:b/>
                <w:bCs/>
                <w:sz w:val="44"/>
                <w:szCs w:val="44"/>
              </w:rPr>
            </w:pPr>
            <w:r>
              <w:rPr>
                <w:rFonts w:hint="eastAsia"/>
                <w:b/>
                <w:bCs/>
                <w:color w:val="000000"/>
                <w:sz w:val="36"/>
                <w:szCs w:val="36"/>
                <w:lang w:eastAsia="ar-SA"/>
              </w:rPr>
              <w:t>政府采购支出决算表</w:t>
            </w:r>
          </w:p>
        </w:tc>
      </w:tr>
      <w:tr>
        <w:tblPrEx>
          <w:tblLayout w:type="fixed"/>
          <w:tblCellMar>
            <w:top w:w="55" w:type="dxa"/>
            <w:left w:w="55" w:type="dxa"/>
            <w:bottom w:w="55" w:type="dxa"/>
            <w:right w:w="55" w:type="dxa"/>
          </w:tblCellMar>
        </w:tblPrEx>
        <w:trPr>
          <w:trHeight w:val="333" w:hRule="atLeast"/>
        </w:trPr>
        <w:tc>
          <w:tcPr>
            <w:tcW w:w="4472" w:type="dxa"/>
          </w:tcPr>
          <w:p>
            <w:pPr>
              <w:pStyle w:val="22"/>
              <w:rPr>
                <w:rFonts w:ascii="仿宋" w:hAnsi="仿宋" w:eastAsia="仿宋" w:cs="仿宋"/>
              </w:rPr>
            </w:pPr>
          </w:p>
        </w:tc>
        <w:tc>
          <w:tcPr>
            <w:tcW w:w="722" w:type="dxa"/>
          </w:tcPr>
          <w:p>
            <w:pPr>
              <w:pStyle w:val="22"/>
              <w:rPr>
                <w:rFonts w:ascii="仿宋" w:hAnsi="仿宋" w:eastAsia="仿宋" w:cs="仿宋"/>
              </w:rPr>
            </w:pPr>
          </w:p>
        </w:tc>
        <w:tc>
          <w:tcPr>
            <w:tcW w:w="1992" w:type="dxa"/>
          </w:tcPr>
          <w:p>
            <w:pPr>
              <w:pStyle w:val="22"/>
              <w:rPr>
                <w:rFonts w:ascii="仿宋" w:hAnsi="仿宋" w:eastAsia="仿宋" w:cs="仿宋"/>
              </w:rPr>
            </w:pPr>
          </w:p>
        </w:tc>
        <w:tc>
          <w:tcPr>
            <w:tcW w:w="3273" w:type="dxa"/>
            <w:vAlign w:val="center"/>
          </w:tcPr>
          <w:p>
            <w:pPr>
              <w:pStyle w:val="22"/>
              <w:jc w:val="right"/>
              <w:rPr>
                <w:rFonts w:ascii="仿宋" w:hAnsi="仿宋" w:eastAsia="仿宋" w:cs="仿宋"/>
              </w:rPr>
            </w:pPr>
            <w:r>
              <w:rPr>
                <w:rFonts w:hint="eastAsia" w:ascii="仿宋" w:hAnsi="仿宋" w:eastAsia="仿宋" w:cs="仿宋"/>
              </w:rPr>
              <w:t>公开1</w:t>
            </w:r>
            <w:r>
              <w:rPr>
                <w:rFonts w:hint="eastAsia" w:ascii="仿宋" w:hAnsi="仿宋" w:eastAsia="仿宋" w:cs="仿宋"/>
                <w:lang w:val="en-US"/>
              </w:rPr>
              <w:t>3</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江苏省立新农场</w:t>
            </w:r>
          </w:p>
        </w:tc>
        <w:tc>
          <w:tcPr>
            <w:tcW w:w="3273" w:type="dxa"/>
            <w:vAlign w:val="center"/>
          </w:tcPr>
          <w:p>
            <w:pPr>
              <w:pStyle w:val="22"/>
              <w:jc w:val="right"/>
              <w:rPr>
                <w:rFonts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lang w:val="en-US"/>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25.97</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25.97</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21.67</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21.67</w:t>
            </w:r>
          </w:p>
        </w:tc>
      </w:tr>
    </w:tbl>
    <w:p>
      <w:pPr>
        <w:jc w:val="both"/>
        <w:rPr>
          <w:rFonts w:ascii="仿宋" w:hAnsi="仿宋" w:eastAsia="仿宋" w:cs="仿宋"/>
          <w:lang w:val="en-US"/>
        </w:rPr>
      </w:pPr>
      <w:r>
        <w:rPr>
          <w:rFonts w:hint="eastAsia" w:ascii="仿宋" w:hAnsi="仿宋" w:eastAsia="仿宋" w:cs="仿宋"/>
        </w:rPr>
        <w:t>注：</w:t>
      </w:r>
      <w:r>
        <w:rPr>
          <w:rFonts w:hint="eastAsia" w:ascii="仿宋" w:hAnsi="仿宋" w:eastAsia="仿宋" w:cs="仿宋"/>
          <w:lang w:val="en-US"/>
        </w:rPr>
        <w:t>政府采购支出信息为单位纳入部门预算范围的各项政府采购支出情况。本表金额单位转换时可能存在尾数误差</w:t>
      </w:r>
      <w:r>
        <w:rPr>
          <w:rFonts w:hint="eastAsia" w:ascii="仿宋" w:hAnsi="仿宋" w:eastAsia="仿宋" w:cs="仿宋"/>
        </w:rPr>
        <w:t>。</w:t>
      </w:r>
    </w:p>
    <w:p>
      <w:pPr>
        <w:ind w:left="440" w:leftChars="200"/>
        <w:jc w:val="both"/>
        <w:rPr>
          <w:rFonts w:ascii="仿宋" w:hAnsi="仿宋" w:eastAsia="仿宋" w:cs="仿宋"/>
        </w:rPr>
        <w:sectPr>
          <w:pgSz w:w="11906" w:h="16838"/>
          <w:pgMar w:top="720" w:right="720" w:bottom="720" w:left="720" w:header="170" w:footer="280" w:gutter="0"/>
          <w:pgNumType w:fmt="numberInDash"/>
          <w:cols w:space="720" w:num="1"/>
          <w:formProt w:val="0"/>
          <w:docGrid w:linePitch="100" w:charSpace="0"/>
        </w:sectPr>
      </w:pPr>
    </w:p>
    <w:p>
      <w:pPr>
        <w:pStyle w:val="5"/>
        <w:tabs>
          <w:tab w:val="left" w:pos="3077"/>
        </w:tabs>
        <w:spacing w:line="616" w:lineRule="exact"/>
        <w:rPr>
          <w:rFonts w:ascii="宋体" w:hAnsi="宋体" w:eastAsia="宋体" w:cs="宋体"/>
          <w:b/>
          <w:bCs/>
          <w:color w:val="000000"/>
          <w:lang w:eastAsia="ar-SA"/>
        </w:rPr>
      </w:pPr>
      <w:r>
        <w:rPr>
          <w:rFonts w:hint="eastAsia" w:ascii="宋体" w:hAnsi="宋体" w:eastAsia="宋体" w:cs="宋体"/>
          <w:b/>
          <w:bCs/>
          <w:color w:val="000000"/>
          <w:lang w:eastAsia="ar-SA"/>
        </w:rPr>
        <w:t>第三部分</w:t>
      </w:r>
      <w:r>
        <w:rPr>
          <w:rFonts w:hint="eastAsia" w:ascii="宋体" w:hAnsi="宋体" w:eastAsia="宋体" w:cs="宋体"/>
          <w:b/>
          <w:bCs/>
          <w:color w:val="000000"/>
          <w:lang w:val="en-US"/>
        </w:rPr>
        <w:t xml:space="preserve"> </w:t>
      </w:r>
      <w:r>
        <w:rPr>
          <w:rFonts w:hint="eastAsia" w:ascii="宋体" w:hAnsi="宋体" w:eastAsia="宋体" w:cs="宋体"/>
          <w:b/>
          <w:bCs/>
          <w:color w:val="000000"/>
        </w:rPr>
        <w:t>2021</w:t>
      </w:r>
      <w:r>
        <w:rPr>
          <w:rFonts w:hint="eastAsia" w:ascii="宋体" w:hAnsi="宋体" w:eastAsia="宋体" w:cs="宋体"/>
          <w:b/>
          <w:bCs/>
          <w:color w:val="000000"/>
          <w:lang w:eastAsia="ar-SA"/>
        </w:rPr>
        <w:t>年度</w:t>
      </w:r>
      <w:r>
        <w:rPr>
          <w:rFonts w:ascii="宋体" w:hAnsi="宋体" w:eastAsia="宋体" w:cs="宋体"/>
          <w:b/>
          <w:color w:val="000000"/>
        </w:rPr>
        <w:t>单位决算情况说明</w:t>
      </w:r>
    </w:p>
    <w:p>
      <w:pPr>
        <w:pStyle w:val="8"/>
        <w:tabs>
          <w:tab w:val="left" w:pos="3864"/>
          <w:tab w:val="left" w:pos="6248"/>
          <w:tab w:val="left" w:pos="7386"/>
        </w:tabs>
        <w:spacing w:before="1" w:line="360" w:lineRule="auto"/>
        <w:ind w:left="348" w:right="420" w:firstLine="640"/>
        <w:jc w:val="both"/>
        <w:rPr>
          <w:rFonts w:ascii="仿宋" w:hAnsi="仿宋" w:eastAsia="仿宋" w:cs="仿宋"/>
          <w:lang w:val="en-US"/>
        </w:rPr>
      </w:pP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一、收入支出决算总体情况说明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2021年度收入、支出决算总计1,949.9万元。与上年相比，收、支总计各增加106.02万元，增长5.75%。其中：</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（一）收入决算总计1,949.9万元。包括：</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1.本年收入决算合计1,758.16万元。与上年相比，减少21.35万元，减少1.2%，变动原因：2021年因政策原因关闭所投资的两家企业，导致事业收入减少。</w:t>
      </w:r>
    </w:p>
    <w:p>
      <w:pPr>
        <w:pStyle w:val="8"/>
        <w:tabs>
          <w:tab w:val="left" w:pos="3864"/>
          <w:tab w:val="left" w:pos="6248"/>
          <w:tab w:val="left" w:pos="7386"/>
        </w:tabs>
        <w:overflowPunct w:val="0"/>
        <w:spacing w:before="1" w:line="360" w:lineRule="auto"/>
        <w:ind w:left="440" w:leftChars="200" w:right="420" w:firstLine="659" w:firstLineChars="206"/>
        <w:jc w:val="both"/>
        <w:rPr>
          <w:rFonts w:hint="default" w:ascii="仿宋" w:hAnsi="仿宋" w:eastAsia="仿宋" w:cs="仿宋"/>
          <w:lang w:val="en-US" w:eastAsia="zh-CN"/>
        </w:rPr>
      </w:pPr>
      <w:r>
        <w:rPr>
          <w:rFonts w:ascii="仿宋" w:hAnsi="仿宋" w:eastAsia="仿宋" w:cs="仿宋"/>
        </w:rPr>
        <w:t>2.使用非财政拨款结余166.26万元。与上年相比，增加166.26万元（上年决算数为0万元，无法计算增减比率），变动原因：</w:t>
      </w:r>
      <w:r>
        <w:rPr>
          <w:rFonts w:hint="eastAsia" w:ascii="仿宋" w:hAnsi="仿宋" w:eastAsia="仿宋" w:cs="仿宋"/>
          <w:lang w:val="en-US" w:eastAsia="zh-CN"/>
        </w:rPr>
        <w:t>2021年本年收入小于本年支出，用非财政拨款结余来弥补差额。</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3.年初结转和结余25.49万元。与上年相比，减少38.87万元，减少60.39%，变动原因：</w:t>
      </w:r>
      <w:r>
        <w:rPr>
          <w:rFonts w:hint="eastAsia" w:ascii="仿宋" w:hAnsi="仿宋" w:eastAsia="仿宋" w:cs="仿宋"/>
          <w:lang w:val="en-US" w:eastAsia="zh-CN"/>
        </w:rPr>
        <w:t>项目资金结余的影响，</w:t>
      </w:r>
      <w:r>
        <w:rPr>
          <w:rFonts w:ascii="仿宋" w:hAnsi="仿宋" w:eastAsia="仿宋" w:cs="仿宋"/>
        </w:rPr>
        <w:t>2020年利用设施维修专项资金对我场设施进行了维修。</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（二）支出决算总计1,949.9万元。包括：</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1.本年支出决算合计1,947.41万元。与上年相比，增加305.45万元，增长18.6%，变动原因：主要为对个人和家庭的补助的增加，2021年经上级主管部门同意我单位一次性为退休职工支付城镇职工医疗保险。</w:t>
      </w:r>
    </w:p>
    <w:p>
      <w:pPr>
        <w:pStyle w:val="8"/>
        <w:tabs>
          <w:tab w:val="left" w:pos="3864"/>
          <w:tab w:val="left" w:pos="6248"/>
          <w:tab w:val="left" w:pos="7386"/>
        </w:tabs>
        <w:overflowPunct w:val="0"/>
        <w:spacing w:before="1" w:line="360" w:lineRule="auto"/>
        <w:ind w:left="440" w:leftChars="200" w:right="420" w:firstLine="659" w:firstLineChars="206"/>
        <w:jc w:val="both"/>
        <w:rPr>
          <w:rFonts w:hint="default" w:ascii="仿宋" w:hAnsi="仿宋" w:eastAsia="仿宋" w:cs="仿宋"/>
          <w:lang w:val="en-US" w:eastAsia="zh-CN"/>
        </w:rPr>
      </w:pPr>
      <w:r>
        <w:rPr>
          <w:rFonts w:ascii="仿宋" w:hAnsi="仿宋" w:eastAsia="仿宋" w:cs="仿宋"/>
        </w:rPr>
        <w:t>2.结余分配0万元。与上年相比，减少169.97万元，减少100%，变动原因：</w:t>
      </w:r>
      <w:r>
        <w:rPr>
          <w:rFonts w:hint="eastAsia" w:ascii="仿宋" w:hAnsi="仿宋" w:eastAsia="仿宋" w:cs="仿宋"/>
          <w:lang w:val="en-US" w:eastAsia="zh-CN"/>
        </w:rPr>
        <w:t>2021年本年收入小于本年支出，用非财政拨款结余弥补差额，没有结余分配。</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年末结转和结余2.49万元。结转和结余事项：2021年设施维修专项。与上年相比，减少29.46万元，减少92.21%，变动原因：2021年两次受夏季台风影响，房屋损坏严重，利用设施维修专项资金进行维修，并对职工食堂进行了维修。</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二、收入决算情况说明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年收入决算合计1,758.16万元，其中：财政拨款收入1,568.76万元，占89.23%；上级补助收入0万元，占0%；财政专户管理教育收费0万元，占0%；事业收入（不含专户管理教育收费）189.4万元，占10.77%；经营收入0万元，占0%；附属单位上缴收入0万元，占0%；其他收入0万元，占0%。</w:t>
      </w:r>
    </w:p>
    <w:p>
      <w:pPr>
        <w:pStyle w:val="8"/>
        <w:tabs>
          <w:tab w:val="left" w:pos="3864"/>
          <w:tab w:val="left" w:pos="6248"/>
          <w:tab w:val="left" w:pos="7386"/>
        </w:tabs>
        <w:overflowPunct w:val="0"/>
        <w:spacing w:before="1" w:line="360" w:lineRule="auto"/>
        <w:ind w:left="-3" w:right="420" w:firstLine="3"/>
        <w:jc w:val="center"/>
        <w:rPr>
          <w:rFonts w:ascii="仿宋" w:hAnsi="仿宋" w:eastAsia="仿宋" w:cs="仿宋"/>
          <w:lang w:val="en-US"/>
        </w:rPr>
      </w:pPr>
      <w:r>
        <w:rPr>
          <w:rFonts w:hint="eastAsia" w:ascii="仿宋" w:hAnsi="仿宋" w:eastAsia="仿宋" w:cs="仿宋"/>
          <w:lang w:val="en-US"/>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19"/>
                    <a:stretch>
                      <a:fillRect/>
                    </a:stretch>
                  </pic:blipFill>
                  <pic:spPr>
                    <a:xfrm>
                      <a:off x="0" y="0"/>
                      <a:ext cx="6134100" cy="3429000"/>
                    </a:xfrm>
                    <a:prstGeom prst="rect">
                      <a:avLst/>
                    </a:prstGeom>
                  </pic:spPr>
                </pic:pic>
              </a:graphicData>
            </a:graphic>
          </wp:inline>
        </w:drawing>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三、支出决算情况说明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2021年度本年支出决算合计1,947.41万元，其中：基本支出1,894.42万元，占97.28%；项目支出52.99万元，占2.72%；上缴上级支出0万元，占0%；经营支出0万元，占0%；对附属单位补助支出0万元，占0%。</w:t>
      </w:r>
    </w:p>
    <w:p>
      <w:pPr>
        <w:pStyle w:val="8"/>
        <w:tabs>
          <w:tab w:val="left" w:pos="3864"/>
          <w:tab w:val="left" w:pos="6248"/>
          <w:tab w:val="left" w:pos="7386"/>
        </w:tabs>
        <w:overflowPunct w:val="0"/>
        <w:spacing w:before="1" w:line="360" w:lineRule="auto"/>
        <w:ind w:left="-3" w:right="420" w:firstLine="3"/>
        <w:jc w:val="center"/>
        <w:rPr>
          <w:rFonts w:ascii="仿宋" w:hAnsi="仿宋" w:eastAsia="仿宋" w:cs="仿宋"/>
          <w:lang w:val="en-US"/>
        </w:rPr>
      </w:pPr>
      <w:r>
        <w:rPr>
          <w:rFonts w:hint="eastAsia" w:ascii="仿宋" w:hAnsi="仿宋" w:eastAsia="仿宋" w:cs="仿宋"/>
          <w:lang w:val="en-US"/>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四、财政拨款收入支出决算总体情况说明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2021年度财政拨款收入、支出决算总计1,594.25万元。与上年相比，收、支总计各减少38.87万元，减少2.38%，变动原因：项目资金年初结余数影响，2020年年初项目资金结余64.36万元，2021年年初项目资金结余25.49万元。</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五、财政拨款支出决算情况说明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2021年度财政拨款支出决算1,591.75万元，占本年支出合计的81.74%。与2021年度财政拨款支出年初预算1,568.76万元相比，完成年初预算的101.47%。其中：</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（一）社会保障和就业支出（类）</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1.行政事业单位养老支出（款）机关事业单位基本养老保险缴费支出（项）。年初预算61.16万元，支出决算61.16万元，完成年初预算的100%。决算数与年初预算数相同。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2.行政事业单位养老支出（款）机关事业单位职业年金缴费支出（项）。年初预算30.58万元，支出决算30.58万元，完成年初预算的100%。决算数与年初预算数相同。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社会福利（款）社会福利事业单位（项）。年初预算1,194.74万元，支出决算1,217.73万元，完成年初预算的101.92%。决算数与年初预算数的差异原因：2021年使用年初结转的项目资金25.49万元，年末本年项目结余2.5万元，造成支出决算比预算多22.99万元。</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（二）住房保障支出（类）</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住房改革支出（款）提租补贴（项）。年初预算282.28万元，支出决算282.28万元，完成年初预算的100%。决算数与年初预算数相同。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六、财政拨款基本支出决算情况说明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2021年度财政拨款基本支出决算1,538.76万元，其中：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（一）人员经费1,411.46万元。</w:t>
      </w:r>
      <w:r>
        <w:rPr>
          <w:rFonts w:ascii="仿宋" w:hAnsi="仿宋" w:eastAsia="仿宋" w:cs="仿宋"/>
        </w:rPr>
        <w:t>主要包括：基本工资、津贴补贴、绩效工资、机关事业单位基本养老保险缴费、职业年金缴费、职工基本医疗保险缴费、医疗费、其他工资福利支出、退休费、医疗费补助、奖励金。</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（二）公用经费127.3万元。</w:t>
      </w:r>
      <w:r>
        <w:rPr>
          <w:rFonts w:ascii="仿宋" w:hAnsi="仿宋" w:eastAsia="仿宋" w:cs="仿宋"/>
        </w:rPr>
        <w:t>主要包括：办公费、印刷费、手续费、水费、电费、邮电费、物业管理费、差旅费、维修（护）费、劳务费、委托业务费、工会经费、税金及附加费用、其他商品和服务支出。</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七、一般公共预算支出决算情况说明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2021年度一般公共预算财政拨款支出决算1,591.75万元。与上年相比，减少9.43万元，减少0.59%，变动原因：2021年人员退休使基本支出减少。</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八、一般公共预算基本支出决算情况说明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2021年度一般公共预算财政拨款基本支出决算1,538.76万元，其中：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（一）人员经费1,411.46万元。</w:t>
      </w:r>
      <w:r>
        <w:rPr>
          <w:rFonts w:ascii="仿宋" w:hAnsi="仿宋" w:eastAsia="仿宋" w:cs="仿宋"/>
        </w:rPr>
        <w:t>主要包括：基本工资、津贴补贴、绩效工资、机关事业单位基本养老保险缴费、职业年金缴费、职工基本医疗保险缴费、医疗费、其他工资福利支出、退休费、医疗费补助、奖励金。</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（二）公用经费127.3万元。</w:t>
      </w:r>
      <w:r>
        <w:rPr>
          <w:rFonts w:ascii="仿宋" w:hAnsi="仿宋" w:eastAsia="仿宋" w:cs="仿宋"/>
        </w:rPr>
        <w:t>主要包括：办公费、印刷费、手续费、水费、电费、邮电费、物业管理费、差旅费、维修（护）费、劳务费、委托业务费、工会经费、税金及附加费用、其他商品和服务支出。</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九、一般公共预算“三公”经费、会议费、培训费支出情况说明</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（一）一般公共预算“三公”经费支出总体情况说明。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2021年度一般公共预算“三公”经费支出决算0万元。与上年决算数相同。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（二）一般公共预算“三公”经费支出具体情况说明。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1．因公出国（境）费支出预算0万元，支出决算0万元，完成预算的100%，决算数与预算数相同。全年使用一般公共预算财政拨款涉及的出国（境）团组0个，累计0人次。</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2．公务用车购置及运行维护费支出预算0万元，支出决算0万元，完成预算的100%，决算数与预算数相同。其中：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（1）公务用车购置支出决算0万元。本年度使用一般公共预算财政拨款购置公务用车0辆。</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公务用车运行维护费支出决算0万元。公务用车运行维护费主要用于按规定保留的公务用车的燃料费、维修费、过桥过路费、保险费、安全奖励费用等支出。截至2021年12月31日，使用一般公共预算财政拨款开支的公务用车保有量为0辆。</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3．公务接待费支出预算0万元，支出决算0万元，完成预算的100%，决算数与预算数相同。其中：国内公务接待支出0万元，接待0批次，0人次；国（境）外公务接待支出0万元，接待0批次0人次。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（三）一般公共预算会议费支出决算情况说明。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2021年度一般公共预算财政拨款会议费支出预算0万元，支出决算0万元，完成预算的100%，决算数与预算数相同。2021年度全年召开会议0个，参加会议0人次。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（四）一般公共预算培训费支出决算情况说明。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2021年度一般公共预算财政拨款培训费支出预算0万元，支出决算0万元，完成预算的100%，决算数与预算数相同。2021年度全年组织培训0个，组织培训0人次。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十、政府性基金预算财政拨款支出决算情况说明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2021年度政府性基金预算财政拨款支出决算0万元。与上年决算数相同。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十一、国有资本经营预算财政拨款支出决算情况说明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2021年度国有资本经营预算财政拨款支出决算0万元。与上年决算数相同。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十二、一般公共预算机关运行经费支出决算情况说明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2021年度机关运行经费支出决算0万元。与上年决算数相同。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十三、政府采购支出决算情况说明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政府采购支出总额25.97万元，其中：政府采购货物支出0万元、政府采购工程支出25.97万元、政府采购服务支出0万元。政府采购授予中小企业合同金额21.67万元，占政府采购支出总额的83.44%，其中：授予小微企业合同金额21.67万元，占政府采购支出总额的83.44%。</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十四、国有资产占用情况说明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截至2021年12月31日，本单位共有车辆1辆，其中：副部(省)级及以上领导用车0辆、主要领导干部用车0辆、机要通信用车0辆、应急保障用车0辆、执法执勤用车0辆、特种专业技术用车0辆、离退休干部用车0辆、其他用车1辆；单价50万元（含）以上的通用设备0台（套），单价100万元（含）以上的专用设备0台（套）。</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十五、预算绩效评价工作开展情况</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2021年度，本单位共0个项目开展了财政重点绩效评价，涉及财政性资金合计0万元；本单位未开展单位整体支出财政重点绩效评价，涉及财政性资金0万元。</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本单位共对上年度已实施完成的1个项目开展了绩效自评价，涉及财政性资金合计30万元；本单位共开展1项单位整体支出绩效自评价，涉及财政性资金合计1,568.76万元。</w:t>
      </w:r>
    </w:p>
    <w:p>
      <w:pPr>
        <w:pStyle w:val="5"/>
        <w:tabs>
          <w:tab w:val="left" w:pos="3077"/>
        </w:tabs>
        <w:spacing w:line="616" w:lineRule="exact"/>
        <w:rPr>
          <w:rFonts w:ascii="宋体" w:hAnsi="宋体" w:eastAsia="宋体" w:cs="宋体"/>
          <w:b/>
          <w:bCs/>
        </w:rPr>
      </w:pPr>
      <w:r>
        <w:rPr>
          <w:rFonts w:hint="eastAsia" w:ascii="宋体" w:hAnsi="宋体" w:eastAsia="宋体" w:cs="宋体"/>
          <w:b/>
          <w:bCs/>
        </w:rPr>
        <w:t>第四部分 名词</w:t>
      </w:r>
      <w:r>
        <w:rPr>
          <w:rFonts w:hint="eastAsia" w:ascii="宋体" w:hAnsi="宋体" w:eastAsia="宋体" w:cs="宋体"/>
          <w:b/>
          <w:bCs/>
          <w:color w:val="000000"/>
          <w:lang w:eastAsia="ar-SA"/>
        </w:rPr>
        <w:t>解释</w:t>
      </w:r>
    </w:p>
    <w:p>
      <w:pPr>
        <w:pStyle w:val="8"/>
        <w:tabs>
          <w:tab w:val="left" w:pos="3864"/>
          <w:tab w:val="left" w:pos="6248"/>
          <w:tab w:val="left" w:pos="7386"/>
        </w:tabs>
        <w:ind w:left="440" w:leftChars="200" w:firstLine="659" w:firstLineChars="206"/>
        <w:jc w:val="both"/>
        <w:rPr>
          <w:rFonts w:ascii="仿宋" w:hAnsi="仿宋" w:eastAsia="仿宋" w:cs="仿宋"/>
        </w:rPr>
      </w:pP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十九、社会保障和就业支出(类)行政事业单位养老支出(款)机关事业单位基本养老保险缴费支出(项)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二十一、社会保障和就业支出(类)社会福利(款)社会福利事业单位(项)</w:t>
      </w:r>
      <w:r>
        <w:rPr>
          <w:rFonts w:ascii="仿宋" w:hAnsi="仿宋" w:eastAsia="仿宋" w:cs="仿宋"/>
          <w:b/>
        </w:rPr>
        <w:t>：</w:t>
      </w:r>
      <w:r>
        <w:rPr>
          <w:rFonts w:hint="eastAsia" w:ascii="仿宋" w:hAnsi="仿宋" w:eastAsia="仿宋" w:cs="仿宋"/>
        </w:rPr>
        <w:t>反映民政部门举办的社会福利事业单位的支出，以及对集体社会福利事业单位的补助费。</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二十二、住房保障支出(类)住房改革支出(款)住房公积金(项)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二十三、住房保障支出(类)住房改革支出(款)提租补贴(项)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440" w:right="1080" w:bottom="1440" w:left="1080" w:header="170" w:footer="280" w:gutter="0"/>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0000000000000000000"/>
    <w:charset w:val="86"/>
    <w:family w:val="roman"/>
    <w:pitch w:val="default"/>
    <w:sig w:usb0="00000000" w:usb1="00000000" w:usb2="00000021" w:usb3="00000000" w:csb0="600001BF" w:csb1="DFF70000"/>
  </w:font>
  <w:font w:name="Liberation Mono">
    <w:altName w:val="宋体"/>
    <w:panose1 w:val="00000000000000000000"/>
    <w:charset w:val="86"/>
    <w:family w:val="roman"/>
    <w:pitch w:val="default"/>
    <w:sig w:usb0="00000000" w:usb1="00000000" w:usb2="00000001" w:usb3="00000000" w:csb0="600001BF" w:csb1="DFF70000"/>
  </w:font>
  <w:font w:name="新宋体">
    <w:panose1 w:val="02010609030101010101"/>
    <w:charset w:val="86"/>
    <w:family w:val="modern"/>
    <w:pitch w:val="default"/>
    <w:sig w:usb0="00000283" w:usb1="288F0000" w:usb2="00000006" w:usb3="00000000" w:csb0="00040001"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ascii="黑体" w:hAnsi="黑体" w:eastAsia="黑体" w:cs="黑体"/>
      </w:rPr>
    </w:pPr>
    <w:r>
      <w:rPr>
        <w:rFonts w:ascii="黑体" w:hAnsi="黑体" w:eastAsia="黑体" w:cs="黑体"/>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86385" cy="147955"/>
              <wp:effectExtent l="0" t="0" r="0" b="0"/>
              <wp:wrapNone/>
              <wp:docPr id="15" name="Text Box 1025"/>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wps:spPr>
                    <wps:txbx>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p>
                      </w:txbxContent>
                    </wps:txbx>
                    <wps:bodyPr rot="0" vert="horz" wrap="none" lIns="0" tIns="0" rIns="0" bIns="0" anchor="t" anchorCtr="0" upright="1">
                      <a:spAutoFit/>
                    </wps:bodyPr>
                  </wps:wsp>
                </a:graphicData>
              </a:graphic>
            </wp:anchor>
          </w:drawing>
        </mc:Choice>
        <mc:Fallback>
          <w:pict>
            <v:shape id="Text Box 1025" o:spid="_x0000_s1026" o:spt="202" type="#_x0000_t202" style="position:absolute;left:0pt;margin-top:0pt;height:11.65pt;width:22.55pt;mso-position-horizontal:center;mso-position-horizontal-relative:margin;mso-wrap-style:none;z-index:251659264;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f/xsx0gAAAAMBAAAPAAAA&#10;AAAAAAEAIAAAACIAAABkcnMvZG93bnJldi54bWxQSwECFAAUAAAACACHTuJA0vtvKOIBAAC3AwAA&#10;DgAAAAAAAAABACAAAAAhAQAAZHJzL2Uyb0RvYy54bWxQSwUGAAAAAAYABgBZAQAAdQUAAAAA&#10;">
              <v:fill on="f" focussize="0,0"/>
              <v:stroke on="f"/>
              <v:imagedata o:title=""/>
              <o:lock v:ext="edit" aspectratio="f"/>
              <v:textbox inset="0mm,0mm,0mm,0mm" style="mso-fit-shape-to-text:t;">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343535" cy="147955"/>
              <wp:effectExtent l="0" t="0" r="0" b="0"/>
              <wp:wrapNone/>
              <wp:docPr id="6" name="Text Box 1032"/>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11</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32" o:spid="_x0000_s1026" o:spt="202" type="#_x0000_t202" style="position:absolute;left:0pt;margin-top:0pt;height:11.65pt;width:27.05pt;mso-position-horizontal:center;mso-position-horizontal-relative:margin;mso-wrap-style:none;z-index:251667456;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m26lT0gAAAAMBAAAPAAAA&#10;AAAAAAEAIAAAACIAAABkcnMvZG93bnJldi54bWxQSwECFAAUAAAACACHTuJAwXdsouIBAAC2AwAA&#10;DgAAAAAAAAABACAAAAAhAQAAZHJzL2Uyb0RvYy54bWxQSwUGAAAAAAYABgBZAQAAdQU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11</w:t>
                    </w:r>
                    <w:r>
                      <w:rPr>
                        <w:rFonts w:hint="eastAsia"/>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343535" cy="147955"/>
              <wp:effectExtent l="0" t="0" r="0" b="0"/>
              <wp:wrapNone/>
              <wp:docPr id="5" name="Text Box 1033"/>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12</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33" o:spid="_x0000_s1026" o:spt="202" type="#_x0000_t202" style="position:absolute;left:0pt;margin-top:0pt;height:11.65pt;width:27.05pt;mso-position-horizontal:center;mso-position-horizontal-relative:margin;mso-wrap-style:none;z-index:251668480;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m26lT0gAAAAMBAAAPAAAA&#10;AAAAAAEAIAAAACIAAABkcnMvZG93bnJldi54bWxQSwECFAAUAAAACACHTuJA39Yfi+IBAAC2AwAA&#10;DgAAAAAAAAABACAAAAAhAQAAZHJzL2Uyb0RvYy54bWxQSwUGAAAAAAYABgBZAQAAdQU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12</w:t>
                    </w:r>
                    <w:r>
                      <w:rPr>
                        <w:rFonts w:hint="eastAsia"/>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343535" cy="147955"/>
              <wp:effectExtent l="0" t="0" r="0" b="0"/>
              <wp:wrapNone/>
              <wp:docPr id="4" name="Text Box 1034"/>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13</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34" o:spid="_x0000_s1026" o:spt="202" type="#_x0000_t202" style="position:absolute;left:0pt;margin-top:0pt;height:11.65pt;width:27.05pt;mso-position-horizontal:center;mso-position-horizontal-relative:margin;mso-wrap-style:none;z-index:251669504;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tupU9IAAAADAQAADwAA&#10;AAAAAAABACAAAAAiAAAAZHJzL2Rvd25yZXYueG1sUEsBAhQAFAAAAAgAh07iQPhWrvPjAQAAtgMA&#10;AA4AAAAAAAAAAQAgAAAAIQEAAGRycy9lMm9Eb2MueG1sUEsFBgAAAAAGAAYAWQEAAHYFA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13</w:t>
                    </w:r>
                    <w:r>
                      <w:rPr>
                        <w:rFonts w:hint="eastAsia"/>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343535" cy="147955"/>
              <wp:effectExtent l="0" t="0" r="0" b="0"/>
              <wp:wrapNone/>
              <wp:docPr id="3" name="Text Box 1038"/>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38" o:spid="_x0000_s1026" o:spt="202" type="#_x0000_t202" style="position:absolute;left:0pt;margin-top:0pt;height:11.65pt;width:27.05pt;mso-position-horizontal:center;mso-position-horizontal-relative:margin;mso-wrap-style:none;z-index:251670528;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tupU9IAAAADAQAADwAA&#10;AAAAAAABACAAAAAiAAAAZHJzL2Rvd25yZXYueG1sUEsBAhQAFAAAAAgAh07iQMJzR83jAQAAtgMA&#10;AA4AAAAAAAAAAQAgAAAAIQEAAGRycy9lMm9Eb2MueG1sUEsFBgAAAAAGAAYAWQEAAHYFA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ascii="黑体" w:hAnsi="黑体" w:eastAsia="黑体" w:cs="黑体"/>
      </w:rPr>
    </w:pPr>
    <w:r>
      <w:rPr>
        <w:rFonts w:ascii="黑体" w:hAnsi="黑体" w:eastAsia="黑体" w:cs="黑体"/>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286385" cy="147955"/>
              <wp:effectExtent l="0" t="0" r="0" b="0"/>
              <wp:wrapNone/>
              <wp:docPr id="14" name="Text Box 1041"/>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wps:spPr>
                    <wps:txbx>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p>
                      </w:txbxContent>
                    </wps:txbx>
                    <wps:bodyPr rot="0" vert="horz" wrap="none" lIns="0" tIns="0" rIns="0" bIns="0" anchor="t" anchorCtr="0" upright="1">
                      <a:spAutoFit/>
                    </wps:bodyPr>
                  </wps:wsp>
                </a:graphicData>
              </a:graphic>
            </wp:anchor>
          </w:drawing>
        </mc:Choice>
        <mc:Fallback>
          <w:pict>
            <v:shape id="Text Box 1041" o:spid="_x0000_s1026" o:spt="202" type="#_x0000_t202" style="position:absolute;left:0pt;margin-top:0pt;height:11.65pt;width:22.55pt;mso-position-horizontal:center;mso-position-horizontal-relative:margin;mso-wrap-style:none;z-index:251660288;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B//GzHSAAAAAwEAAA8AAAAA&#10;AAAAAQAgAAAAIgAAAGRycy9kb3ducmV2LnhtbFBLAQIUABQAAAAIAIdO4kDeR+Tu4QEAALcDAAAO&#10;AAAAAAAAAAEAIAAAACEBAABkcnMvZTJvRG9jLnhtbFBLBQYAAAAABgAGAFkBAAB0BQAAAAA=&#10;">
              <v:fill on="f" focussize="0,0"/>
              <v:stroke on="f"/>
              <v:imagedata o:title=""/>
              <o:lock v:ext="edit" aspectratio="f"/>
              <v:textbox inset="0mm,0mm,0mm,0mm" style="mso-fit-shape-to-text:t;">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286385" cy="147955"/>
              <wp:effectExtent l="0" t="0" r="0" b="0"/>
              <wp:wrapNone/>
              <wp:docPr id="13" name="Text Box 1039"/>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39" o:spid="_x0000_s1026" o:spt="202" type="#_x0000_t202" style="position:absolute;left:0pt;margin-top:0pt;height:11.65pt;width:22.55pt;mso-position-horizontal:center;mso-position-horizontal-relative:margin;mso-wrap-style:none;z-index:251661312;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H/8bMdIAAAADAQAADwAA&#10;AAAAAAABACAAAAAiAAAAZHJzL2Rvd25yZXYueG1sUEsBAhQAFAAAAAgAh07iQOjrMVbjAQAAtwMA&#10;AA4AAAAAAAAAAQAgAAAAIQEAAGRycy9lMm9Eb2MueG1sUEsFBgAAAAAGAAYAWQEAAHYFA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343535" cy="147955"/>
              <wp:effectExtent l="0" t="0" r="0" b="0"/>
              <wp:wrapNone/>
              <wp:docPr id="12" name="Text Box 1040"/>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5</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40" o:spid="_x0000_s1026" o:spt="202" type="#_x0000_t202" style="position:absolute;left:0pt;margin-top:0pt;height:11.65pt;width:27.05pt;mso-position-horizontal:center;mso-position-horizontal-relative:margin;mso-wrap-style:none;z-index:251662336;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tupU9IAAAADAQAADwAA&#10;AAAAAAABACAAAAAiAAAAZHJzL2Rvd25yZXYueG1sUEsBAhQAFAAAAAgAh07iQJ+LBDXjAQAAtwMA&#10;AA4AAAAAAAAAAQAgAAAAIQEAAGRycy9lMm9Eb2MueG1sUEsFBgAAAAAGAAYAWQEAAHYFA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5</w:t>
                    </w:r>
                    <w:r>
                      <w:rPr>
                        <w:rFonts w:hint="eastAsia"/>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343535" cy="147955"/>
              <wp:effectExtent l="0" t="0" r="0" b="0"/>
              <wp:wrapNone/>
              <wp:docPr id="11" name="Text Box 1027"/>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6</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27" o:spid="_x0000_s1026" o:spt="202" type="#_x0000_t202" style="position:absolute;left:0pt;margin-top:0pt;height:11.65pt;width:27.05pt;mso-position-horizontal:center;mso-position-horizontal-relative:margin;mso-wrap-style:none;z-index:251663360;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m26lT0gAAAAMBAAAPAAAA&#10;AAAAAAEAIAAAACIAAABkcnMvZG93bnJldi54bWxQSwECFAAUAAAACACHTuJAZ8O7q+IBAAC3AwAA&#10;DgAAAAAAAAABACAAAAAhAQAAZHJzL2Uyb0RvYy54bWxQSwUGAAAAAAYABgBZAQAAdQU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6</w:t>
                    </w:r>
                    <w:r>
                      <w:rPr>
                        <w:rFonts w:hint="eastAsia"/>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343535" cy="147955"/>
              <wp:effectExtent l="0" t="0" r="0" b="0"/>
              <wp:wrapNone/>
              <wp:docPr id="10" name="Text Box 1028"/>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7</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28" o:spid="_x0000_s1026" o:spt="202" type="#_x0000_t202" style="position:absolute;left:0pt;margin-top:0pt;height:11.65pt;width:27.05pt;mso-position-horizontal:center;mso-position-horizontal-relative:margin;mso-wrap-style:none;z-index:251664384;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m26lT0gAAAAMBAAAPAAAA&#10;AAAAAAEAIAAAACIAAABkcnMvZG93bnJldi54bWxQSwECFAAUAAAACACHTuJAN2Krc+IBAAC3AwAA&#10;DgAAAAAAAAABACAAAAAhAQAAZHJzL2Uyb0RvYy54bWxQSwUGAAAAAAYABgBZAQAAdQU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7</w:t>
                    </w:r>
                    <w:r>
                      <w:rPr>
                        <w:rFonts w:hint="eastAsia"/>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343535" cy="147955"/>
              <wp:effectExtent l="0" t="0" r="0" b="0"/>
              <wp:wrapNone/>
              <wp:docPr id="9" name="Text Box 1029"/>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8</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29" o:spid="_x0000_s1026" o:spt="202" type="#_x0000_t202" style="position:absolute;left:0pt;margin-top:0pt;height:11.65pt;width:27.05pt;mso-position-horizontal:center;mso-position-horizontal-relative:margin;mso-wrap-style:none;z-index:251665408;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tupU9IAAAADAQAADwAA&#10;AAAAAAABACAAAAAiAAAAZHJzL2Rvd25yZXYueG1sUEsBAhQAFAAAAAgAh07iQKEAaALjAQAAtgMA&#10;AA4AAAAAAAAAAQAgAAAAIQEAAGRycy9lMm9Eb2MueG1sUEsFBgAAAAAGAAYAWQEAAHYFA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8</w:t>
                    </w:r>
                    <w:r>
                      <w:rPr>
                        <w:rFonts w:hint="eastAsia"/>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343535" cy="147955"/>
              <wp:effectExtent l="0" t="0" r="0" b="0"/>
              <wp:wrapNone/>
              <wp:docPr id="8" name="Text Box 1030"/>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9</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30" o:spid="_x0000_s1026" o:spt="202" type="#_x0000_t202" style="position:absolute;left:0pt;margin-top:0pt;height:11.65pt;width:27.05pt;mso-position-horizontal:center;mso-position-horizontal-relative:margin;mso-wrap-style:none;z-index:251665408;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tupU9IAAAADAQAADwAA&#10;AAAAAAABACAAAAAiAAAAZHJzL2Rvd25yZXYueG1sUEsBAhQAFAAAAAgAh07iQIDSYFbjAQAAtgMA&#10;AA4AAAAAAAAAAQAgAAAAIQEAAGRycy9lMm9Eb2MueG1sUEsFBgAAAAAGAAYAWQEAAHYFA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9</w:t>
                    </w:r>
                    <w:r>
                      <w:rPr>
                        <w:rFonts w:hint="eastAsia"/>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343535" cy="147955"/>
              <wp:effectExtent l="0" t="0" r="0" b="0"/>
              <wp:wrapNone/>
              <wp:docPr id="7" name="Text Box 1031"/>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wps:spPr>
                    <wps:txbx>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10</w:t>
                          </w:r>
                          <w:r>
                            <w:rPr>
                              <w:rFonts w:hint="eastAsia"/>
                            </w:rPr>
                            <w:fldChar w:fldCharType="end"/>
                          </w:r>
                        </w:p>
                      </w:txbxContent>
                    </wps:txbx>
                    <wps:bodyPr rot="0" vert="horz" wrap="none" lIns="0" tIns="0" rIns="0" bIns="0" anchor="t" anchorCtr="0" upright="1">
                      <a:spAutoFit/>
                    </wps:bodyPr>
                  </wps:wsp>
                </a:graphicData>
              </a:graphic>
            </wp:anchor>
          </w:drawing>
        </mc:Choice>
        <mc:Fallback>
          <w:pict>
            <v:shape id="Text Box 1031" o:spid="_x0000_s1026" o:spt="202" type="#_x0000_t202" style="position:absolute;left:0pt;margin-top:0pt;height:11.65pt;width:27.05pt;mso-position-horizontal:center;mso-position-horizontal-relative:margin;mso-wrap-style:none;z-index:251666432;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CbbqVPSAAAAAwEAAA8AAAAA&#10;AAAAAQAgAAAAIgAAAGRycy9kb3ducmV2LnhtbFBLAQIUABQAAAAIAIdO4kB95DVn4QEAALYDAAAO&#10;AAAAAAAAAAEAIAAAACEBAABkcnMvZTJvRG9jLnhtbFBLBQYAAAAABgAGAFkBAAB0BQAAAAA=&#10;">
              <v:fill on="f" focussize="0,0"/>
              <v:stroke on="f"/>
              <v:imagedata o:title=""/>
              <o:lock v:ext="edit" aspectratio="f"/>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10</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lang w:val="en-US"/>
      </w:rPr>
    </w:pPr>
    <w:r>
      <w:rPr>
        <w:rFonts w:hint="eastAsia"/>
        <w:lang w:val="en-US"/>
      </w:rPr>
      <w:t>江苏省立新农场</w:t>
    </w:r>
    <w:r>
      <w:t>2021年度单位决算公开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cumentProtection w:enforcement="0"/>
  <w:defaultTabStop w:val="0"/>
  <w:autoHyphenation/>
  <w:noPunctuationKerning w:val="1"/>
  <w:characterSpacingControl w:val="doNotCompress"/>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QyZDQxZGVkNTMxMjg0Mzk2NDhmODIyOTIzM2MwOTIifQ=="/>
  </w:docVars>
  <w:rsids>
    <w:rsidRoot w:val="00F828D8"/>
    <w:rsid w:val="00064984"/>
    <w:rsid w:val="00071789"/>
    <w:rsid w:val="000F12AB"/>
    <w:rsid w:val="001C31F9"/>
    <w:rsid w:val="00220269"/>
    <w:rsid w:val="002E63B1"/>
    <w:rsid w:val="00407CA7"/>
    <w:rsid w:val="00413AD8"/>
    <w:rsid w:val="004C0647"/>
    <w:rsid w:val="00671ED7"/>
    <w:rsid w:val="00672164"/>
    <w:rsid w:val="006732F1"/>
    <w:rsid w:val="00786580"/>
    <w:rsid w:val="008170D3"/>
    <w:rsid w:val="008322BB"/>
    <w:rsid w:val="00867423"/>
    <w:rsid w:val="0087429B"/>
    <w:rsid w:val="008B5B05"/>
    <w:rsid w:val="009965EA"/>
    <w:rsid w:val="00A6752E"/>
    <w:rsid w:val="00B92181"/>
    <w:rsid w:val="00BD7F33"/>
    <w:rsid w:val="00C15920"/>
    <w:rsid w:val="00C82582"/>
    <w:rsid w:val="00F828D8"/>
    <w:rsid w:val="00FA3233"/>
    <w:rsid w:val="010F1E77"/>
    <w:rsid w:val="01536131"/>
    <w:rsid w:val="01657C13"/>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461F7D"/>
    <w:rsid w:val="044E689B"/>
    <w:rsid w:val="0458580D"/>
    <w:rsid w:val="045E5FB7"/>
    <w:rsid w:val="049256F0"/>
    <w:rsid w:val="0495610D"/>
    <w:rsid w:val="04C730A4"/>
    <w:rsid w:val="04DA4474"/>
    <w:rsid w:val="04DF580C"/>
    <w:rsid w:val="04E946A2"/>
    <w:rsid w:val="04EA46EB"/>
    <w:rsid w:val="05185546"/>
    <w:rsid w:val="052126A9"/>
    <w:rsid w:val="05247FC3"/>
    <w:rsid w:val="05346113"/>
    <w:rsid w:val="05423E9C"/>
    <w:rsid w:val="05600A24"/>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A6451"/>
    <w:rsid w:val="064C13A1"/>
    <w:rsid w:val="06542957"/>
    <w:rsid w:val="0681129C"/>
    <w:rsid w:val="06824DC3"/>
    <w:rsid w:val="0695552F"/>
    <w:rsid w:val="069B5E85"/>
    <w:rsid w:val="06C87B62"/>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DA70C2"/>
    <w:rsid w:val="0AFD463B"/>
    <w:rsid w:val="0B05614C"/>
    <w:rsid w:val="0B134992"/>
    <w:rsid w:val="0B160131"/>
    <w:rsid w:val="0B2B4189"/>
    <w:rsid w:val="0B392278"/>
    <w:rsid w:val="0B675A6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2E55BC"/>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F345D"/>
    <w:rsid w:val="0D991370"/>
    <w:rsid w:val="0DAC0D2B"/>
    <w:rsid w:val="0DAD6BC9"/>
    <w:rsid w:val="0DBA3094"/>
    <w:rsid w:val="0DD06A00"/>
    <w:rsid w:val="0DDF0D4D"/>
    <w:rsid w:val="0DFC3CDF"/>
    <w:rsid w:val="0DFD772C"/>
    <w:rsid w:val="0DFF5826"/>
    <w:rsid w:val="0E0A51F9"/>
    <w:rsid w:val="0E1F1C4F"/>
    <w:rsid w:val="0E27451D"/>
    <w:rsid w:val="0E4806AD"/>
    <w:rsid w:val="0E5E7568"/>
    <w:rsid w:val="0E662847"/>
    <w:rsid w:val="0E854C8B"/>
    <w:rsid w:val="0E94230E"/>
    <w:rsid w:val="0E946F22"/>
    <w:rsid w:val="0EA37FCC"/>
    <w:rsid w:val="0EE7610B"/>
    <w:rsid w:val="0EF65551"/>
    <w:rsid w:val="0EFE25F0"/>
    <w:rsid w:val="0F135152"/>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5A4782"/>
    <w:rsid w:val="1D623037"/>
    <w:rsid w:val="1D660B43"/>
    <w:rsid w:val="1D672CB3"/>
    <w:rsid w:val="1D7C0925"/>
    <w:rsid w:val="1D817975"/>
    <w:rsid w:val="1D951979"/>
    <w:rsid w:val="1DAF110E"/>
    <w:rsid w:val="1DB61054"/>
    <w:rsid w:val="1DC835AB"/>
    <w:rsid w:val="1DC94431"/>
    <w:rsid w:val="1DD41F50"/>
    <w:rsid w:val="1DF7725D"/>
    <w:rsid w:val="1DFC3255"/>
    <w:rsid w:val="1DFD14A7"/>
    <w:rsid w:val="1E107489"/>
    <w:rsid w:val="1E120047"/>
    <w:rsid w:val="1E2456FC"/>
    <w:rsid w:val="1E387717"/>
    <w:rsid w:val="1E426EBA"/>
    <w:rsid w:val="1E5227F5"/>
    <w:rsid w:val="1E5B1486"/>
    <w:rsid w:val="1E6037E4"/>
    <w:rsid w:val="1E6C2CB1"/>
    <w:rsid w:val="1E86604F"/>
    <w:rsid w:val="1E8B2478"/>
    <w:rsid w:val="1EA55F87"/>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655593"/>
    <w:rsid w:val="23873CA0"/>
    <w:rsid w:val="23A668C2"/>
    <w:rsid w:val="23B5012E"/>
    <w:rsid w:val="23C6058D"/>
    <w:rsid w:val="23CC2CE3"/>
    <w:rsid w:val="23E97DD8"/>
    <w:rsid w:val="23F81D1C"/>
    <w:rsid w:val="24004EF0"/>
    <w:rsid w:val="242552B4"/>
    <w:rsid w:val="242D23BA"/>
    <w:rsid w:val="24361C71"/>
    <w:rsid w:val="245222E6"/>
    <w:rsid w:val="2455798C"/>
    <w:rsid w:val="246851A0"/>
    <w:rsid w:val="246E4FE1"/>
    <w:rsid w:val="247771B1"/>
    <w:rsid w:val="24797436"/>
    <w:rsid w:val="24893698"/>
    <w:rsid w:val="248A0DA1"/>
    <w:rsid w:val="248B0DC9"/>
    <w:rsid w:val="24AC7248"/>
    <w:rsid w:val="24B228BF"/>
    <w:rsid w:val="24DE364C"/>
    <w:rsid w:val="24EF440E"/>
    <w:rsid w:val="25007ACF"/>
    <w:rsid w:val="25076767"/>
    <w:rsid w:val="25191A92"/>
    <w:rsid w:val="25290357"/>
    <w:rsid w:val="253C3B25"/>
    <w:rsid w:val="25513E86"/>
    <w:rsid w:val="255F5B0A"/>
    <w:rsid w:val="25664EB1"/>
    <w:rsid w:val="257302A1"/>
    <w:rsid w:val="2573629D"/>
    <w:rsid w:val="257B7E43"/>
    <w:rsid w:val="25A7022D"/>
    <w:rsid w:val="25C32FD6"/>
    <w:rsid w:val="25C603D0"/>
    <w:rsid w:val="25E1520A"/>
    <w:rsid w:val="25E2513A"/>
    <w:rsid w:val="25F45922"/>
    <w:rsid w:val="25FD2F48"/>
    <w:rsid w:val="261E645E"/>
    <w:rsid w:val="262E21CA"/>
    <w:rsid w:val="26713F63"/>
    <w:rsid w:val="26753166"/>
    <w:rsid w:val="267B561B"/>
    <w:rsid w:val="267C5A99"/>
    <w:rsid w:val="2682148D"/>
    <w:rsid w:val="268D22B5"/>
    <w:rsid w:val="269240CC"/>
    <w:rsid w:val="269A47B4"/>
    <w:rsid w:val="269E759F"/>
    <w:rsid w:val="26A526DC"/>
    <w:rsid w:val="26A5448A"/>
    <w:rsid w:val="26BF5BA2"/>
    <w:rsid w:val="26CB1A16"/>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1B36C2"/>
    <w:rsid w:val="2B3C1AAA"/>
    <w:rsid w:val="2B77216D"/>
    <w:rsid w:val="2B7A42C1"/>
    <w:rsid w:val="2B82668D"/>
    <w:rsid w:val="2B8C19B3"/>
    <w:rsid w:val="2B9A7EB4"/>
    <w:rsid w:val="2BB8407D"/>
    <w:rsid w:val="2BBE24DE"/>
    <w:rsid w:val="2BBF0C02"/>
    <w:rsid w:val="2BDD28EB"/>
    <w:rsid w:val="2BE5357A"/>
    <w:rsid w:val="2BEC66B7"/>
    <w:rsid w:val="2BF43094"/>
    <w:rsid w:val="2BF909AA"/>
    <w:rsid w:val="2BFC0D12"/>
    <w:rsid w:val="2C016606"/>
    <w:rsid w:val="2C0757B7"/>
    <w:rsid w:val="2C153E60"/>
    <w:rsid w:val="2C1E422F"/>
    <w:rsid w:val="2C3818FC"/>
    <w:rsid w:val="2C5950A4"/>
    <w:rsid w:val="2C660130"/>
    <w:rsid w:val="2C73502A"/>
    <w:rsid w:val="2CB9711D"/>
    <w:rsid w:val="2CEA52EC"/>
    <w:rsid w:val="2CF3363A"/>
    <w:rsid w:val="2D000C25"/>
    <w:rsid w:val="2D0F4DB4"/>
    <w:rsid w:val="2D2D36A5"/>
    <w:rsid w:val="2D365B16"/>
    <w:rsid w:val="2D4B38B1"/>
    <w:rsid w:val="2D5646DC"/>
    <w:rsid w:val="2D584691"/>
    <w:rsid w:val="2D6D2070"/>
    <w:rsid w:val="2D9D0838"/>
    <w:rsid w:val="2D9E1C33"/>
    <w:rsid w:val="2DB652A4"/>
    <w:rsid w:val="2DB943B8"/>
    <w:rsid w:val="2DBB2419"/>
    <w:rsid w:val="2DBF7001"/>
    <w:rsid w:val="2DC26166"/>
    <w:rsid w:val="2DD13DB6"/>
    <w:rsid w:val="2DD903A8"/>
    <w:rsid w:val="2DEA2F76"/>
    <w:rsid w:val="2DF041FF"/>
    <w:rsid w:val="2DF76E1B"/>
    <w:rsid w:val="2DFD2DFD"/>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7BE"/>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820BF8"/>
    <w:rsid w:val="3C9A772E"/>
    <w:rsid w:val="3CB974FB"/>
    <w:rsid w:val="3CD16A6C"/>
    <w:rsid w:val="3CFF2A56"/>
    <w:rsid w:val="3D083C3D"/>
    <w:rsid w:val="3D0F0BF5"/>
    <w:rsid w:val="3D254DA7"/>
    <w:rsid w:val="3D31435C"/>
    <w:rsid w:val="3D367754"/>
    <w:rsid w:val="3D4D01FD"/>
    <w:rsid w:val="3D8116F1"/>
    <w:rsid w:val="3D842DB5"/>
    <w:rsid w:val="3D927E3F"/>
    <w:rsid w:val="3DB41B96"/>
    <w:rsid w:val="3DD76D85"/>
    <w:rsid w:val="3DD83ABF"/>
    <w:rsid w:val="3DD86A9B"/>
    <w:rsid w:val="3DDA437C"/>
    <w:rsid w:val="3DEE4511"/>
    <w:rsid w:val="3DF461A3"/>
    <w:rsid w:val="3E03072B"/>
    <w:rsid w:val="3E0B6234"/>
    <w:rsid w:val="3E0C499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ED50AE"/>
    <w:rsid w:val="45FD0891"/>
    <w:rsid w:val="46185D52"/>
    <w:rsid w:val="46192347"/>
    <w:rsid w:val="46252A99"/>
    <w:rsid w:val="462C285E"/>
    <w:rsid w:val="4639249F"/>
    <w:rsid w:val="463A0304"/>
    <w:rsid w:val="464A4975"/>
    <w:rsid w:val="465670F7"/>
    <w:rsid w:val="4665558C"/>
    <w:rsid w:val="467C2D95"/>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B7399D"/>
    <w:rsid w:val="4EB96475"/>
    <w:rsid w:val="4EC372F3"/>
    <w:rsid w:val="4ECD2716"/>
    <w:rsid w:val="4ED35788"/>
    <w:rsid w:val="4EE73AF5"/>
    <w:rsid w:val="4EE84EA5"/>
    <w:rsid w:val="4EED7F5E"/>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B2726"/>
    <w:rsid w:val="4F8B4457"/>
    <w:rsid w:val="4FA41146"/>
    <w:rsid w:val="4FA90297"/>
    <w:rsid w:val="4FD80B7D"/>
    <w:rsid w:val="4FDA01F8"/>
    <w:rsid w:val="4FE561E5"/>
    <w:rsid w:val="4FF221C3"/>
    <w:rsid w:val="4FF5172F"/>
    <w:rsid w:val="4FFA0634"/>
    <w:rsid w:val="500032A2"/>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1024103"/>
    <w:rsid w:val="51025571"/>
    <w:rsid w:val="51071719"/>
    <w:rsid w:val="510819A0"/>
    <w:rsid w:val="51200E5F"/>
    <w:rsid w:val="5123009E"/>
    <w:rsid w:val="512C2CA7"/>
    <w:rsid w:val="512D289E"/>
    <w:rsid w:val="514152FB"/>
    <w:rsid w:val="51434ED1"/>
    <w:rsid w:val="514D0397"/>
    <w:rsid w:val="51595CED"/>
    <w:rsid w:val="516445A0"/>
    <w:rsid w:val="518956A9"/>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852ECF"/>
    <w:rsid w:val="5A9C1659"/>
    <w:rsid w:val="5AA026B8"/>
    <w:rsid w:val="5AA116D7"/>
    <w:rsid w:val="5AAC7C87"/>
    <w:rsid w:val="5ADA1FF9"/>
    <w:rsid w:val="5AE821DA"/>
    <w:rsid w:val="5AED557F"/>
    <w:rsid w:val="5AF20641"/>
    <w:rsid w:val="5AFD1904"/>
    <w:rsid w:val="5B1552F3"/>
    <w:rsid w:val="5B2B4256"/>
    <w:rsid w:val="5B2C0607"/>
    <w:rsid w:val="5B3034F1"/>
    <w:rsid w:val="5B424CC5"/>
    <w:rsid w:val="5B4672E2"/>
    <w:rsid w:val="5B57504B"/>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D1281"/>
    <w:rsid w:val="63921C8F"/>
    <w:rsid w:val="63974B7F"/>
    <w:rsid w:val="639F7B81"/>
    <w:rsid w:val="63A252D2"/>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EF2FDF"/>
    <w:rsid w:val="67F24A7A"/>
    <w:rsid w:val="67F325A0"/>
    <w:rsid w:val="67FF7C3A"/>
    <w:rsid w:val="68016A6B"/>
    <w:rsid w:val="6829477F"/>
    <w:rsid w:val="682F4FA9"/>
    <w:rsid w:val="68310698"/>
    <w:rsid w:val="68323C50"/>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423186"/>
    <w:rsid w:val="69432BE1"/>
    <w:rsid w:val="694D728A"/>
    <w:rsid w:val="69594684"/>
    <w:rsid w:val="6988057F"/>
    <w:rsid w:val="699906A2"/>
    <w:rsid w:val="69A973BA"/>
    <w:rsid w:val="69AC12C2"/>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35CFC"/>
    <w:rsid w:val="6CF546C4"/>
    <w:rsid w:val="6CF63F0B"/>
    <w:rsid w:val="6CFA25E1"/>
    <w:rsid w:val="6CFE5C6F"/>
    <w:rsid w:val="6D2553A0"/>
    <w:rsid w:val="6D3F29A1"/>
    <w:rsid w:val="6D651DF3"/>
    <w:rsid w:val="6D6A3304"/>
    <w:rsid w:val="6D8D0DA1"/>
    <w:rsid w:val="6D995916"/>
    <w:rsid w:val="6D9E263C"/>
    <w:rsid w:val="6DB8406F"/>
    <w:rsid w:val="6DC26C9C"/>
    <w:rsid w:val="6DD658EE"/>
    <w:rsid w:val="6DDD6E36"/>
    <w:rsid w:val="6DEC1C21"/>
    <w:rsid w:val="6E152319"/>
    <w:rsid w:val="6E3B0BAF"/>
    <w:rsid w:val="6E3E0629"/>
    <w:rsid w:val="6E45554E"/>
    <w:rsid w:val="6E501AEB"/>
    <w:rsid w:val="6E7C11B5"/>
    <w:rsid w:val="6E7C32EF"/>
    <w:rsid w:val="6E7F556F"/>
    <w:rsid w:val="6E997C25"/>
    <w:rsid w:val="6E9F07E1"/>
    <w:rsid w:val="6EA14A30"/>
    <w:rsid w:val="6EA42846"/>
    <w:rsid w:val="6EB6105A"/>
    <w:rsid w:val="6EBA00D3"/>
    <w:rsid w:val="6EBD1212"/>
    <w:rsid w:val="6EC629FF"/>
    <w:rsid w:val="6EC7282F"/>
    <w:rsid w:val="6EC922AC"/>
    <w:rsid w:val="6ED21161"/>
    <w:rsid w:val="6F1C104C"/>
    <w:rsid w:val="6F255735"/>
    <w:rsid w:val="6F26499B"/>
    <w:rsid w:val="6F2F3282"/>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456F6D"/>
    <w:rsid w:val="7A5F16CA"/>
    <w:rsid w:val="7A710D8E"/>
    <w:rsid w:val="7AAA2F92"/>
    <w:rsid w:val="7AB1300F"/>
    <w:rsid w:val="7AB64E52"/>
    <w:rsid w:val="7ADA0EA4"/>
    <w:rsid w:val="7AE75FBC"/>
    <w:rsid w:val="7AFC56D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BFF49BD"/>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A73F44"/>
    <w:rsid w:val="7FAD2052"/>
    <w:rsid w:val="7FB0411E"/>
    <w:rsid w:val="7FCA5021"/>
    <w:rsid w:val="7FEA3B6F"/>
    <w:rsid w:val="7FEE5147"/>
    <w:rsid w:val="7FF32CE5"/>
    <w:rsid w:val="BAFFAB79"/>
    <w:rsid w:val="DBEED555"/>
  </w:rsids>
  <m:mathPr>
    <m:lMargin m:val="0"/>
    <m:mathFont m:val="Cambria Math"/>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pPr>
    <w:rPr>
      <w:rFonts w:ascii="Arial Unicode MS" w:hAnsi="Arial Unicode MS" w:eastAsia="Arial Unicode MS" w:cs="Arial Unicode MS"/>
      <w:sz w:val="22"/>
      <w:szCs w:val="22"/>
      <w:lang w:val="zh-CN" w:eastAsia="zh-CN" w:bidi="zh-CN"/>
    </w:rPr>
  </w:style>
  <w:style w:type="paragraph" w:styleId="2">
    <w:name w:val="heading 1"/>
    <w:basedOn w:val="1"/>
    <w:next w:val="1"/>
    <w:qFormat/>
    <w:uiPriority w:val="1"/>
    <w:pPr>
      <w:ind w:left="-40"/>
      <w:outlineLvl w:val="0"/>
    </w:pPr>
    <w:rPr>
      <w:sz w:val="52"/>
      <w:szCs w:val="52"/>
    </w:rPr>
  </w:style>
  <w:style w:type="paragraph" w:styleId="3">
    <w:name w:val="heading 2"/>
    <w:basedOn w:val="1"/>
    <w:next w:val="1"/>
    <w:qFormat/>
    <w:uiPriority w:val="1"/>
    <w:pPr>
      <w:ind w:right="18"/>
      <w:jc w:val="center"/>
      <w:outlineLvl w:val="1"/>
    </w:pPr>
    <w:rPr>
      <w:sz w:val="44"/>
      <w:szCs w:val="44"/>
    </w:rPr>
  </w:style>
  <w:style w:type="paragraph" w:styleId="4">
    <w:name w:val="heading 3"/>
    <w:basedOn w:val="1"/>
    <w:next w:val="1"/>
    <w:qFormat/>
    <w:uiPriority w:val="1"/>
    <w:pPr>
      <w:ind w:left="1"/>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列表段落1"/>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13801</Words>
  <Characters>16649</Characters>
  <Lines>140</Lines>
  <Paragraphs>39</Paragraphs>
  <TotalTime>0</TotalTime>
  <ScaleCrop>false</ScaleCrop>
  <LinksUpToDate>false</LinksUpToDate>
  <CharactersWithSpaces>17192</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2022-08-26T02:00:00Z</dcterms:created>
  <dc:creator>陈长军(本处室套红)</dc:creator>
  <cp:lastModifiedBy>admin</cp:lastModifiedBy>
  <dcterms:modified xsi:type="dcterms:W3CDTF">2023-03-22T02:18:16Z</dcterms:modified>
  <dc:title>部门决算公开</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2052-10.8.0.5715</vt:lpwstr>
  </property>
  <property fmtid="{D5CDD505-2E9C-101B-9397-08002B2CF9AE}" pid="6" name="LastSaved">
    <vt:filetime>2021-04-15T00:00:00Z</vt:filetime>
  </property>
</Properties>
</file>