
<file path=[Content_Types].xml><?xml version="1.0" encoding="utf-8"?>
<Types xmlns="http://schemas.openxmlformats.org/package/2006/content-types">
  <Default ContentType="image/jpeg" Extension="jpeg"/>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footer+xml" PartName="/word/footer5.xml"/>
  <Override ContentType="application/vnd.openxmlformats-officedocument.wordprocessingml.footer+xml" PartName="/word/footer6.xml"/>
  <Override ContentType="application/vnd.openxmlformats-officedocument.wordprocessingml.footer+xml" PartName="/word/footer7.xml"/>
  <Override ContentType="application/vnd.openxmlformats-officedocument.wordprocessingml.footer+xml" PartName="/word/footer8.xml"/>
  <Override ContentType="application/vnd.openxmlformats-officedocument.wordprocessingml.footer+xml" PartName="/word/footer9.xml"/>
  <Override ContentType="application/vnd.openxmlformats-officedocument.wordprocessingml.footer+xml" PartName="/word/footer10.xml"/>
  <Override ContentType="application/vnd.openxmlformats-officedocument.wordprocessingml.footer+xml" PartName="/word/footer11.xml"/>
  <Override ContentType="application/vnd.openxmlformats-officedocument.wordprocessingml.footer+xml" PartName="/word/footer12.xml"/>
  <Override ContentType="application/vnd.openxmlformats-officedocument.wordprocessingml.footer+xml" PartName="/word/footer13.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header+xml" PartName="/word/head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1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40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92" w:hRule="atLeast"/>
        </w:trPr>
        <w:tc>
          <w:tcPr>
            <w:tcW w:w="10402" w:type="dxa"/>
            <w:tcBorders>
              <w:top w:val="nil"/>
              <w:left w:val="nil"/>
              <w:bottom w:val="nil"/>
              <w:right w:val="nil"/>
            </w:tcBorders>
          </w:tcPr>
          <w:p>
            <w:pPr>
              <w:pStyle w:val="8"/>
              <w:spacing w:line="360" w:lineRule="auto"/>
              <w:rPr>
                <w:rFonts w:hint="eastAsia" w:ascii="仿宋" w:hAnsi="仿宋" w:eastAsia="仿宋" w:cs="仿宋"/>
                <w:b/>
                <w:bCs/>
                <w:color w:val="FF0000"/>
                <w:sz w:val="22"/>
                <w:szCs w:val="22"/>
              </w:rPr>
            </w:pPr>
            <w:r>
              <w:rPr>
                <w:rFonts w:hint="eastAsia" w:ascii="仿宋" w:hAnsi="仿宋" w:eastAsia="仿宋" w:cs="仿宋"/>
                <w:b/>
                <w:bCs/>
                <w:color w:val="FF0000"/>
                <w:sz w:val="22"/>
                <w:szCs w:val="22"/>
              </w:rPr>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45" w:hRule="atLeast"/>
        </w:trPr>
        <w:tc>
          <w:tcPr>
            <w:tcW w:w="10402" w:type="dxa"/>
            <w:tcBorders>
              <w:top w:val="nil"/>
              <w:left w:val="nil"/>
              <w:bottom w:val="nil"/>
              <w:right w:val="nil"/>
            </w:tcBorders>
            <w:vAlign w:val="top"/>
          </w:tcPr>
          <w:p>
            <w:pPr>
              <w:ind w:right="284" w:rightChars="129"/>
              <w:jc w:val="center"/>
              <w:rPr>
                <w:rFonts w:hint="eastAsia" w:ascii="仿宋" w:hAnsi="仿宋" w:eastAsia="仿宋" w:cs="仿宋"/>
                <w:b/>
                <w:bCs/>
                <w:color w:val="FF0000"/>
                <w:sz w:val="22"/>
                <w:szCs w:val="22"/>
                <w:vertAlign w:val="baseline"/>
              </w:rPr>
            </w:pPr>
            <w:r>
              <w:rPr>
                <w:rFonts w:hint="eastAsia" w:ascii="宋体" w:hAnsi="宋体" w:eastAsia="宋体" w:cs="宋体"/>
                <w:b/>
                <w:bCs/>
                <w:sz w:val="52"/>
                <w:szCs w:val="52"/>
                <w:lang w:val="en-US" w:eastAsia="zh-CN"/>
              </w:rPr>
              <w:t/>
            </w:r>
            <w:r>
              <w:rPr>
                <w:rFonts w:ascii="宋体" w:hAnsi="宋体" w:cs="宋体" w:eastAsia="宋体"/>
                <w:b w:val="true"/>
                <w:sz w:val="52"/>
              </w:rPr>
              <w:t xml:space="preserve">2021年度</w:t>
              <w:br w:type="textWrapping"/>
              <w:t/>
            </w:r>
            <w:r>
              <w:rPr>
                <w:rFonts w:ascii="宋体" w:hAnsi="宋体" w:cs="宋体" w:eastAsia="宋体"/>
                <w:b w:val="true"/>
                <w:sz w:val="52"/>
              </w:rPr>
              <w:t>江苏省伤残人康复中心</w:t>
            </w:r>
            <w:r>
              <w:rPr>
                <w:rFonts w:ascii="宋体" w:hAnsi="宋体" w:cs="宋体" w:eastAsia="宋体"/>
                <w:b w:val="true"/>
                <w:sz w:val="52"/>
              </w:rPr>
              <w:t xml:space="preserve"></w:t>
              <w:br w:type="textWrapping"/>
              <w:t>单位决算公开</w:t>
            </w:r>
            <w:r>
              <w:rPr>
                <w:rFonts w:ascii="宋体" w:hAnsi="宋体" w:cs="宋体" w:eastAsia="宋体"/>
                <w:b w:val="true"/>
                <w:sz w:val="52"/>
              </w:rPr>
              <w:t/>
            </w:r>
          </w:p>
        </w:tc>
      </w:tr>
    </w:tbl>
    <w:p>
      <w:pPr>
        <w:ind w:right="284" w:rightChars="129"/>
        <w:jc w:val="both"/>
        <w:rPr>
          <w:rFonts w:hint="eastAsia" w:ascii="宋体" w:hAnsi="宋体" w:eastAsia="宋体" w:cs="宋体"/>
          <w:b/>
          <w:bCs/>
          <w:sz w:val="52"/>
          <w:szCs w:val="52"/>
        </w:rPr>
        <w:sectPr>
          <w:headerReference r:id="rId5" w:type="first"/>
          <w:headerReference r:id="rId4" w:type="default"/>
          <w:pgSz w:w="11906" w:h="16838"/>
          <w:pgMar w:top="1580" w:right="700" w:bottom="770" w:left="1020" w:header="170" w:footer="280" w:gutter="0"/>
          <w:pgBorders>
            <w:top w:val="none" w:sz="0" w:space="0"/>
            <w:left w:val="none" w:sz="0" w:space="0"/>
            <w:bottom w:val="none" w:sz="0" w:space="0"/>
            <w:right w:val="none" w:sz="0" w:space="0"/>
          </w:pgBorders>
          <w:pgNumType w:fmt="decimal"/>
          <w:cols w:space="720" w:num="1"/>
          <w:formProt w:val="0"/>
          <w:titlePg/>
          <w:docGrid w:linePitch="100" w:charSpace="0"/>
        </w:sectPr>
      </w:pPr>
    </w:p>
    <w:p>
      <w:pPr>
        <w:pStyle w:val="8"/>
        <w:spacing w:before="4" w:after="0"/>
        <w:rPr>
          <w:rFonts w:ascii="华文仿宋" w:hAnsi="华文仿宋" w:eastAsia="华文仿宋" w:cs="仿宋"/>
          <w:sz w:val="10"/>
        </w:rPr>
      </w:pPr>
    </w:p>
    <w:p>
      <w:pPr>
        <w:pStyle w:val="3"/>
        <w:tabs>
          <w:tab w:val="left" w:pos="880"/>
        </w:tabs>
        <w:spacing w:line="718" w:lineRule="exact"/>
        <w:ind w:right="313" w:firstLine="0"/>
        <w:outlineLvl w:val="0"/>
        <w:rPr>
          <w:rFonts w:hint="eastAsia" w:ascii="仿宋" w:hAnsi="仿宋" w:eastAsia="仿宋" w:cs="仿宋"/>
        </w:rPr>
      </w:pPr>
      <w:r>
        <w:rPr>
          <w:rFonts w:hint="eastAsia" w:ascii="仿宋" w:hAnsi="仿宋" w:eastAsia="仿宋" w:cs="仿宋"/>
          <w:b/>
          <w:bCs/>
        </w:rPr>
        <w:t>目</w:t>
      </w:r>
      <w:r>
        <w:rPr>
          <w:rFonts w:hint="eastAsia" w:ascii="仿宋" w:hAnsi="仿宋" w:eastAsia="仿宋" w:cs="仿宋"/>
          <w:b/>
          <w:bCs/>
        </w:rPr>
        <w:tab/>
      </w:r>
      <w:r>
        <w:rPr>
          <w:rFonts w:hint="eastAsia" w:ascii="仿宋" w:hAnsi="仿宋" w:eastAsia="仿宋" w:cs="仿宋"/>
          <w:b/>
          <w:bCs/>
        </w:rPr>
        <w:t>录</w:t>
      </w:r>
    </w:p>
    <w:p>
      <w:pPr>
        <w:pStyle w:val="8"/>
        <w:spacing w:before="7" w:after="0"/>
        <w:rPr>
          <w:rFonts w:hint="eastAsia" w:ascii="仿宋" w:hAnsi="仿宋" w:eastAsia="仿宋" w:cs="仿宋"/>
          <w:sz w:val="27"/>
        </w:rPr>
      </w:pP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outlineLvl w:val="0"/>
        <w:rPr>
          <w:rFonts w:hint="eastAsia" w:ascii="黑体" w:hAnsi="黑体" w:eastAsia="黑体" w:cs="黑体"/>
          <w:b w:val="0"/>
          <w:bCs w:val="0"/>
        </w:rPr>
      </w:pPr>
      <w:r>
        <w:rPr>
          <w:rFonts w:hint="eastAsia" w:ascii="黑体" w:hAnsi="黑体" w:eastAsia="黑体" w:cs="黑体"/>
          <w:b w:val="0"/>
          <w:bCs w:val="0"/>
        </w:rPr>
        <w:t xml:space="preserve">第一部分 </w:t>
      </w:r>
      <w:r>
        <w:rPr>
          <w:rFonts w:hint="eastAsia" w:ascii="黑体" w:hAnsi="黑体" w:eastAsia="黑体" w:cs="黑体"/>
          <w:b w:val="0"/>
          <w:bCs w:val="0"/>
          <w:lang w:val="en-US" w:eastAsia="zh-CN"/>
        </w:rPr>
        <w:t>单位</w:t>
      </w:r>
      <w:r>
        <w:rPr>
          <w:rFonts w:hint="eastAsia" w:ascii="黑体" w:hAnsi="黑体" w:eastAsia="黑体" w:cs="黑体"/>
          <w:b w:val="0"/>
          <w:bCs w:val="0"/>
        </w:rPr>
        <w:t>概况</w:t>
      </w:r>
    </w:p>
    <w:p>
      <w:pPr>
        <w:pStyle w:val="8"/>
        <w:keepNext w:val="0"/>
        <w:keepLines w:val="0"/>
        <w:pageBreakBefore w:val="0"/>
        <w:widowControl w:val="0"/>
        <w:tabs>
          <w:tab w:val="left" w:pos="2249"/>
        </w:tabs>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一、主要职能</w:t>
      </w:r>
    </w:p>
    <w:p>
      <w:pPr>
        <w:pStyle w:val="8"/>
        <w:keepNext w:val="0"/>
        <w:keepLines w:val="0"/>
        <w:pageBreakBefore w:val="0"/>
        <w:widowControl w:val="0"/>
        <w:tabs>
          <w:tab w:val="left" w:pos="2249"/>
        </w:tabs>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二、</w:t>
      </w:r>
      <w:r>
        <w:rPr>
          <w:rFonts w:hint="eastAsia" w:ascii="仿宋" w:hAnsi="仿宋" w:eastAsia="仿宋" w:cs="仿宋"/>
          <w:lang w:val="en-US" w:eastAsia="zh-CN"/>
        </w:rPr>
        <w:t>单位</w:t>
      </w:r>
      <w:r>
        <w:rPr>
          <w:rFonts w:hint="eastAsia" w:ascii="仿宋" w:hAnsi="仿宋" w:eastAsia="仿宋" w:cs="仿宋"/>
        </w:rPr>
        <w:t>机构设置及决算单位构成情况</w:t>
      </w:r>
    </w:p>
    <w:p>
      <w:pPr>
        <w:pStyle w:val="8"/>
        <w:keepNext w:val="0"/>
        <w:keepLines w:val="0"/>
        <w:pageBreakBefore w:val="0"/>
        <w:widowControl w:val="0"/>
        <w:tabs>
          <w:tab w:val="left" w:pos="2249"/>
        </w:tabs>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三、</w:t>
      </w:r>
      <w:r>
        <w:rPr>
          <w:rFonts w:hint="eastAsia" w:ascii="仿宋" w:hAnsi="仿宋" w:eastAsia="仿宋" w:cs="仿宋"/>
          <w:lang w:eastAsia="zh-CN"/>
        </w:rPr>
        <w:t>2021</w:t>
      </w:r>
      <w:r>
        <w:rPr>
          <w:rFonts w:hint="eastAsia" w:ascii="仿宋" w:hAnsi="仿宋" w:eastAsia="仿宋" w:cs="仿宋"/>
        </w:rPr>
        <w:t>年度主要工作完成情况</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黑体" w:hAnsi="黑体" w:eastAsia="黑体" w:cs="黑体"/>
          <w:b w:val="0"/>
          <w:bCs w:val="0"/>
        </w:rPr>
      </w:pPr>
      <w:r>
        <w:rPr>
          <w:rFonts w:hint="eastAsia" w:ascii="黑体" w:hAnsi="黑体" w:eastAsia="黑体" w:cs="黑体"/>
          <w:b w:val="0"/>
          <w:bCs w:val="0"/>
          <w:lang w:val="en-US" w:eastAsia="zh-CN"/>
        </w:rPr>
        <w:t>第二部分 2021年度</w:t>
      </w:r>
      <w:r>
        <w:rPr>
          <w:rFonts w:ascii="黑体" w:hAnsi="黑体" w:cs="黑体" w:eastAsia="黑体"/>
        </w:rPr>
        <w:t>单位</w:t>
      </w:r>
      <w:r>
        <w:rPr>
          <w:rFonts w:ascii="黑体" w:hAnsi="黑体" w:cs="黑体" w:eastAsia="黑体"/>
        </w:rPr>
        <w:t>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5774" w:hanging="11" w:firstLineChars="0"/>
        <w:jc w:val="both"/>
        <w:textAlignment w:val="auto"/>
        <w:rPr>
          <w:rFonts w:hint="eastAsia" w:ascii="仿宋" w:hAnsi="仿宋" w:eastAsia="仿宋" w:cs="仿宋"/>
        </w:rPr>
      </w:pPr>
      <w:r>
        <w:rPr>
          <w:rFonts w:hint="eastAsia" w:ascii="仿宋" w:hAnsi="仿宋" w:eastAsia="仿宋" w:cs="仿宋"/>
          <w:spacing w:val="-2"/>
        </w:rPr>
        <w:t>一、收入支出决算总表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5774" w:hanging="11" w:firstLineChars="0"/>
        <w:jc w:val="both"/>
        <w:textAlignment w:val="auto"/>
        <w:rPr>
          <w:rFonts w:hint="eastAsia" w:ascii="仿宋" w:hAnsi="仿宋" w:eastAsia="仿宋" w:cs="仿宋"/>
        </w:rPr>
      </w:pPr>
      <w:r>
        <w:rPr>
          <w:rFonts w:hint="eastAsia" w:ascii="仿宋" w:hAnsi="仿宋" w:eastAsia="仿宋" w:cs="仿宋"/>
        </w:rPr>
        <w:t>二、收入决算表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w w:val="95"/>
        </w:rPr>
        <w:t>三、支出决算表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四、财政拨款收入支出决算总表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五、财政拨款支出决算表（功能科目）</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2894" w:hanging="11" w:firstLineChars="0"/>
        <w:jc w:val="both"/>
        <w:textAlignment w:val="auto"/>
        <w:rPr>
          <w:rFonts w:hint="eastAsia" w:ascii="仿宋" w:hAnsi="仿宋" w:eastAsia="仿宋" w:cs="仿宋"/>
        </w:rPr>
      </w:pPr>
      <w:r>
        <w:rPr>
          <w:rFonts w:hint="eastAsia" w:ascii="仿宋" w:hAnsi="仿宋" w:eastAsia="仿宋" w:cs="仿宋"/>
        </w:rPr>
        <w:t>六、财政拨款基本支出决算表（经济科目） 七、一般公共预算支出决算表（功能科目）</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八、一般公共预算基本支出决算表（经济科目）</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九、一般公共预算“三公”经费、会议费、培训费支出决算表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十、政府性基金预算支出决算表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2575" w:hanging="11" w:firstLineChars="0"/>
        <w:jc w:val="both"/>
        <w:textAlignment w:val="auto"/>
        <w:rPr>
          <w:rFonts w:hint="default" w:ascii="仿宋" w:hAnsi="仿宋" w:eastAsia="仿宋" w:cs="仿宋"/>
          <w:lang w:val="en-US" w:eastAsia="zh-CN"/>
        </w:rPr>
      </w:pPr>
      <w:r>
        <w:rPr>
          <w:rFonts w:hint="eastAsia" w:ascii="仿宋" w:hAnsi="仿宋" w:eastAsia="仿宋" w:cs="仿宋"/>
        </w:rPr>
        <w:t>十一、</w:t>
      </w:r>
      <w:r>
        <w:rPr>
          <w:rFonts w:hint="eastAsia" w:ascii="仿宋" w:hAnsi="仿宋" w:eastAsia="仿宋" w:cs="仿宋"/>
          <w:lang w:val="en-US" w:eastAsia="zh-CN"/>
        </w:rPr>
        <w:t>国有资本经营预算支出决算表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2575" w:hanging="11" w:firstLineChars="0"/>
        <w:jc w:val="both"/>
        <w:textAlignment w:val="auto"/>
        <w:rPr>
          <w:rFonts w:hint="eastAsia" w:ascii="仿宋" w:hAnsi="仿宋" w:eastAsia="仿宋" w:cs="仿宋"/>
        </w:rPr>
      </w:pPr>
      <w:r>
        <w:rPr>
          <w:rFonts w:hint="eastAsia" w:ascii="仿宋" w:hAnsi="仿宋" w:eastAsia="仿宋" w:cs="仿宋"/>
        </w:rPr>
        <w:t>十</w:t>
      </w:r>
      <w:r>
        <w:rPr>
          <w:rFonts w:hint="eastAsia" w:ascii="仿宋" w:hAnsi="仿宋" w:eastAsia="仿宋" w:cs="仿宋"/>
          <w:lang w:val="en-US" w:eastAsia="zh-CN"/>
        </w:rPr>
        <w:t>二</w:t>
      </w:r>
      <w:r>
        <w:rPr>
          <w:rFonts w:hint="eastAsia" w:ascii="仿宋" w:hAnsi="仿宋" w:eastAsia="仿宋" w:cs="仿宋"/>
        </w:rPr>
        <w:t>、一般公共预算机关运行经费支出决算表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2575" w:hanging="11" w:firstLineChars="0"/>
        <w:jc w:val="both"/>
        <w:textAlignment w:val="auto"/>
        <w:rPr>
          <w:rFonts w:hint="eastAsia" w:ascii="仿宋" w:hAnsi="仿宋" w:eastAsia="仿宋" w:cs="仿宋"/>
        </w:rPr>
      </w:pPr>
      <w:r>
        <w:rPr>
          <w:rFonts w:hint="eastAsia" w:ascii="仿宋" w:hAnsi="仿宋" w:eastAsia="仿宋" w:cs="仿宋"/>
        </w:rPr>
        <w:t>十</w:t>
      </w:r>
      <w:r>
        <w:rPr>
          <w:rFonts w:hint="eastAsia" w:ascii="仿宋" w:hAnsi="仿宋" w:eastAsia="仿宋" w:cs="仿宋"/>
          <w:lang w:val="en-US" w:eastAsia="zh-CN"/>
        </w:rPr>
        <w:t>三</w:t>
      </w:r>
      <w:r>
        <w:rPr>
          <w:rFonts w:hint="eastAsia" w:ascii="仿宋" w:hAnsi="仿宋" w:eastAsia="仿宋" w:cs="仿宋"/>
        </w:rPr>
        <w:t>、政府采购支出决算表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黑体" w:hAnsi="黑体" w:eastAsia="黑体" w:cs="黑体"/>
          <w:b w:val="0"/>
          <w:bCs w:val="0"/>
          <w:lang w:val="en-US" w:eastAsia="zh-CN"/>
        </w:rPr>
      </w:pPr>
      <w:r>
        <w:rPr>
          <w:rFonts w:hint="eastAsia" w:ascii="黑体" w:hAnsi="黑体" w:eastAsia="黑体" w:cs="黑体"/>
          <w:b w:val="0"/>
          <w:bCs w:val="0"/>
          <w:lang w:val="en-US" w:eastAsia="zh-CN"/>
        </w:rPr>
        <w:t>第三部分 2021年度</w:t>
      </w:r>
      <w:r>
        <w:rPr>
          <w:rFonts w:ascii="黑体" w:hAnsi="黑体" w:cs="黑体" w:eastAsia="黑体"/>
        </w:rPr>
        <w:t>单位</w:t>
      </w:r>
      <w:r>
        <w:rPr>
          <w:rFonts w:ascii="黑体" w:hAnsi="黑体" w:cs="黑体" w:eastAsia="黑体"/>
        </w:rPr>
        <w:t>决算情况说明</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default" w:ascii="仿宋" w:hAnsi="仿宋" w:eastAsia="仿宋" w:cs="仿宋"/>
          <w:b/>
          <w:bCs/>
          <w:color w:val="000000"/>
          <w:sz w:val="30"/>
          <w:szCs w:val="30"/>
          <w:lang w:val="en-US" w:eastAsia="zh-CN" w:bidi="ar"/>
        </w:rPr>
      </w:pPr>
      <w:r>
        <w:rPr>
          <w:rFonts w:hint="eastAsia" w:ascii="黑体" w:hAnsi="黑体" w:eastAsia="黑体" w:cs="黑体"/>
          <w:b w:val="0"/>
          <w:bCs w:val="0"/>
          <w:lang w:val="en-US" w:eastAsia="zh-CN"/>
        </w:rPr>
        <w:t>第四部分 名词解释</w:t>
      </w:r>
    </w:p>
    <w:p>
      <w:pPr>
        <w:pStyle w:val="8"/>
        <w:spacing w:line="235" w:lineRule="auto"/>
        <w:ind w:left="669" w:leftChars="300" w:right="2414" w:hanging="9" w:firstLineChars="0"/>
        <w:jc w:val="both"/>
        <w:rPr>
          <w:rFonts w:hint="eastAsia" w:ascii="仿宋" w:hAnsi="仿宋" w:eastAsia="仿宋" w:cs="仿宋"/>
        </w:rPr>
        <w:sectPr>
          <w:footerReference r:id="rId6" w:type="default"/>
          <w:pgSz w:w="11906" w:h="16838"/>
          <w:pgMar w:top="1580" w:right="700" w:bottom="770" w:left="1020" w:header="283" w:footer="280" w:gutter="0"/>
          <w:pgBorders>
            <w:top w:val="none" w:sz="0" w:space="0"/>
            <w:left w:val="none" w:sz="0" w:space="0"/>
            <w:bottom w:val="none" w:sz="0" w:space="0"/>
            <w:right w:val="none" w:sz="0" w:space="0"/>
          </w:pgBorders>
          <w:pgNumType w:fmt="numberInDash" w:start="1"/>
          <w:cols w:space="720" w:num="1"/>
          <w:formProt w:val="0"/>
          <w:docGrid w:linePitch="100" w:charSpace="0"/>
        </w:sectPr>
      </w:pPr>
    </w:p>
    <w:p>
      <w:pPr>
        <w:pStyle w:val="8"/>
        <w:spacing w:before="1" w:after="0"/>
        <w:rPr>
          <w:rFonts w:ascii="华文仿宋" w:hAnsi="华文仿宋" w:eastAsia="华文仿宋" w:cs="仿宋"/>
          <w:sz w:val="14"/>
        </w:rPr>
      </w:pPr>
    </w:p>
    <w:p>
      <w:pPr>
        <w:pStyle w:val="5"/>
        <w:tabs>
          <w:tab w:val="left" w:pos="4395"/>
        </w:tabs>
        <w:spacing w:line="606" w:lineRule="exact"/>
        <w:ind w:right="504" w:rightChars="229"/>
        <w:jc w:val="center"/>
        <w:outlineLvl w:val="0"/>
        <w:rPr>
          <w:rFonts w:hint="eastAsia" w:ascii="宋体" w:hAnsi="宋体" w:eastAsia="宋体" w:cs="宋体"/>
          <w:b/>
          <w:bCs/>
        </w:rPr>
      </w:pPr>
      <w:r>
        <w:rPr>
          <w:rFonts w:hint="eastAsia" w:ascii="宋体" w:hAnsi="宋体" w:eastAsia="宋体" w:cs="宋体"/>
          <w:b/>
          <w:bCs/>
        </w:rPr>
        <w:t>第一部分</w:t>
      </w:r>
      <w:r>
        <w:rPr>
          <w:rFonts w:hint="eastAsia" w:ascii="宋体" w:hAnsi="宋体" w:eastAsia="宋体" w:cs="宋体"/>
          <w:b/>
          <w:bCs/>
          <w:lang w:val="en-US" w:eastAsia="zh-CN"/>
        </w:rPr>
        <w:t xml:space="preserve"> </w:t>
      </w:r>
      <w:r>
        <w:rPr>
          <w:rFonts w:hint="eastAsia" w:ascii="宋体" w:hAnsi="宋体" w:eastAsia="宋体" w:cs="宋体"/>
          <w:b/>
          <w:bCs/>
        </w:rPr>
        <w:t>单位</w:t>
      </w:r>
      <w:r>
        <w:rPr>
          <w:rFonts w:hint="eastAsia" w:ascii="宋体" w:hAnsi="宋体" w:eastAsia="宋体" w:cs="宋体"/>
          <w:b/>
          <w:bCs/>
        </w:rPr>
        <w:t>概况</w:t>
      </w:r>
    </w:p>
    <w:p>
      <w:pPr>
        <w:ind w:right="504" w:rightChars="229"/>
        <w:jc w:val="both"/>
        <w:rPr>
          <w:rFonts w:hint="eastAsia"/>
        </w:rPr>
      </w:pP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outlineLvl w:val="1"/>
        <w:rPr>
          <w:rFonts w:hint="eastAsia" w:ascii="黑体" w:hAnsi="黑体" w:eastAsia="黑体" w:cs="黑体"/>
          <w:b w:val="0"/>
          <w:bCs w:val="0"/>
        </w:rPr>
      </w:pPr>
      <w:r>
        <w:rPr>
          <w:rFonts w:hint="eastAsia" w:ascii="黑体" w:hAnsi="黑体" w:eastAsia="黑体" w:cs="黑体"/>
          <w:b w:val="0"/>
          <w:bCs w:val="0"/>
        </w:rPr>
        <w:t>一、主要职能</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hint="eastAsia" w:ascii="仿宋" w:hAnsi="仿宋" w:eastAsia="仿宋" w:cs="仿宋"/>
          <w:lang w:val="en-US"/>
        </w:rPr>
        <w:t/>
      </w:r>
      <w:r>
        <w:rPr>
          <w:rFonts w:ascii="仿宋" w:hAnsi="仿宋" w:cs="仿宋" w:eastAsia="仿宋"/>
        </w:rPr>
        <w:t>江苏省伤残人康复中心成立于1951年，是江苏省民政厅直属差额预算事业单位，专业从事各类假肢、矫形器、康复辅助器具的研发和生产。主要职能是承担为全省残疾军人、抚恤补助优抚对象、残疾儿童、贫困残疾人等民政服务群体、社会福利机构、养老服务机构配发假肢矫形器以及康复辅具等公益项目的组织实施工作。省伤残人康复中心是我省残障人康复事业的重要载体、民政工作践行为民服务宗旨的重要平台，致力于“重点保障伤残军人，着力帮扶低保对象，竭诚服务城乡‘三无’等贫困残弱群体，并积极参与全省养老事业建设”。</w:t>
      </w:r>
      <w:r>
        <w:rPr>
          <w:rFonts w:ascii="仿宋" w:hAnsi="仿宋" w:cs="仿宋" w:eastAsia="仿宋"/>
        </w:rPr>
        <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outlineLvl w:val="1"/>
        <w:rPr>
          <w:rFonts w:hint="eastAsia" w:ascii="黑体" w:hAnsi="黑体" w:eastAsia="黑体" w:cs="黑体"/>
          <w:b w:val="0"/>
          <w:bCs w:val="0"/>
        </w:rPr>
      </w:pPr>
      <w:r>
        <w:rPr>
          <w:rFonts w:hint="eastAsia" w:ascii="黑体" w:hAnsi="黑体" w:eastAsia="黑体" w:cs="黑体"/>
          <w:b w:val="0"/>
          <w:bCs w:val="0"/>
        </w:rPr>
        <w:t>二、</w:t>
      </w:r>
      <w:r>
        <w:rPr>
          <w:rFonts w:ascii="黑体" w:hAnsi="黑体" w:cs="黑体" w:eastAsia="黑体"/>
        </w:rPr>
        <w:t>单位</w:t>
      </w:r>
      <w:r>
        <w:rPr>
          <w:rFonts w:hint="eastAsia" w:ascii="黑体" w:hAnsi="黑体" w:eastAsia="黑体" w:cs="黑体"/>
          <w:b w:val="0"/>
          <w:bCs w:val="0"/>
        </w:rPr>
        <w:t>机构设置及决算单位构成情况</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rPr>
      </w:pPr>
      <w:r>
        <w:rPr>
          <w:rFonts w:hint="eastAsia" w:ascii="仿宋" w:hAnsi="仿宋" w:eastAsia="仿宋" w:cs="仿宋"/>
          <w:lang w:val="en-US" w:eastAsia="zh-CN"/>
        </w:rPr>
        <w:t/>
      </w:r>
      <w:bookmarkStart w:id="0" w:name="_GoBack"/>
      <w:bookmarkEnd w:id="0"/>
      <w:r>
        <w:rPr>
          <w:rFonts w:ascii="仿宋" w:hAnsi="仿宋" w:cs="仿宋" w:eastAsia="仿宋"/>
        </w:rPr>
        <w:t/>
      </w:r>
      <w:r>
        <w:rPr>
          <w:rFonts w:hint="eastAsia" w:ascii="仿宋" w:hAnsi="仿宋" w:eastAsia="仿宋" w:cs="仿宋"/>
        </w:rPr>
        <w:t>根据</w:t>
      </w:r>
      <w:r>
        <w:rPr>
          <w:rFonts w:hint="eastAsia" w:ascii="仿宋" w:hAnsi="仿宋" w:eastAsia="仿宋" w:cs="仿宋"/>
          <w:lang w:val="en-US" w:eastAsia="zh-CN"/>
        </w:rPr>
        <w:t>单位</w:t>
      </w:r>
      <w:r>
        <w:rPr>
          <w:rFonts w:hint="eastAsia" w:ascii="仿宋" w:hAnsi="仿宋" w:eastAsia="仿宋" w:cs="仿宋"/>
        </w:rPr>
        <w:t>职责分工，</w:t>
      </w:r>
      <w:r>
        <w:rPr>
          <w:rFonts w:hint="eastAsia" w:ascii="仿宋" w:hAnsi="仿宋" w:eastAsia="仿宋" w:cs="仿宋"/>
          <w:lang w:val="en-US"/>
        </w:rPr>
        <w:t/>
      </w:r>
      <w:r>
        <w:rPr>
          <w:rFonts w:ascii="仿宋" w:hAnsi="仿宋" w:cs="仿宋" w:eastAsia="仿宋"/>
        </w:rPr>
        <w:t/>
      </w:r>
      <w:r>
        <w:rPr>
          <w:rFonts w:ascii="仿宋" w:hAnsi="仿宋" w:cs="仿宋" w:eastAsia="仿宋"/>
        </w:rPr>
        <w:t>本单位内设机构包括</w:t>
      </w:r>
      <w:r>
        <w:rPr>
          <w:rFonts w:ascii="仿宋" w:hAnsi="仿宋" w:cs="仿宋" w:eastAsia="仿宋"/>
        </w:rPr>
        <w:t/>
      </w:r>
      <w:r>
        <w:rPr>
          <w:rFonts w:ascii="仿宋" w:hAnsi="仿宋" w:cs="仿宋" w:eastAsia="仿宋"/>
        </w:rPr>
        <w:t/>
      </w:r>
      <w:r>
        <w:rPr>
          <w:rFonts w:ascii="仿宋" w:hAnsi="仿宋" w:cs="仿宋" w:eastAsia="仿宋"/>
        </w:rPr>
        <w:t>我单位为差额预算单位，事业编制人数为103人，年末公共财政拨款补助开支人数在职34人，退休95人，非财政补助人员79人。康复中心共设置七个部门，分别为办公室、质检部、财务部、市场部、生产部、行管（内保）部、汤山研发生产基地。无下属单位。</w:t>
      </w:r>
      <w:r>
        <w:rPr>
          <w:rFonts w:ascii="仿宋" w:hAnsi="仿宋" w:cs="仿宋" w:eastAsia="仿宋"/>
        </w:rPr>
        <w:t/>
      </w:r>
      <w:r>
        <w:rPr>
          <w:rFonts w:ascii="仿宋" w:hAnsi="仿宋" w:cs="仿宋" w:eastAsia="仿宋"/>
        </w:rPr>
        <w:t/>
      </w:r>
      <w:r>
        <w:rPr>
          <w:rFonts w:ascii="仿宋" w:hAnsi="仿宋" w:cs="仿宋" w:eastAsia="仿宋"/>
        </w:rPr>
        <w:t/>
      </w:r>
      <w:r>
        <w:rPr>
          <w:rFonts w:ascii="仿宋" w:hAnsi="仿宋" w:cs="仿宋" w:eastAsia="仿宋"/>
        </w:rPr>
        <w:t/>
      </w:r>
      <w:r>
        <w:rPr>
          <w:rFonts w:ascii="仿宋" w:hAnsi="仿宋" w:cs="仿宋" w:eastAsia="仿宋"/>
        </w:rPr>
        <w:t>本单位无下属单位。</w:t>
      </w:r>
      <w:r>
        <w:rPr>
          <w:rFonts w:ascii="仿宋" w:hAnsi="仿宋" w:cs="仿宋" w:eastAsia="仿宋"/>
        </w:rPr>
        <w:t/>
      </w:r>
      <w:r>
        <w:rPr>
          <w:rFonts w:ascii="仿宋" w:hAnsi="仿宋" w:cs="仿宋" w:eastAsia="仿宋"/>
        </w:rPr>
        <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outlineLvl w:val="1"/>
        <w:rPr>
          <w:rFonts w:hint="eastAsia" w:ascii="黑体" w:hAnsi="黑体" w:eastAsia="黑体" w:cs="黑体"/>
          <w:b w:val="0"/>
          <w:bCs w:val="0"/>
        </w:rPr>
      </w:pPr>
      <w:r>
        <w:rPr>
          <w:rFonts w:hint="eastAsia" w:ascii="黑体" w:hAnsi="黑体" w:eastAsia="黑体" w:cs="黑体"/>
          <w:b w:val="0"/>
          <w:bCs w:val="0"/>
        </w:rPr>
        <w:t>三、</w:t>
      </w:r>
      <w:r>
        <w:rPr>
          <w:rFonts w:hint="eastAsia" w:ascii="黑体" w:hAnsi="黑体" w:eastAsia="黑体" w:cs="黑体"/>
          <w:b w:val="0"/>
          <w:bCs w:val="0"/>
          <w:lang w:eastAsia="zh-CN"/>
        </w:rPr>
        <w:t>2021</w:t>
      </w:r>
      <w:r>
        <w:rPr>
          <w:rFonts w:hint="eastAsia" w:ascii="黑体" w:hAnsi="黑体" w:eastAsia="黑体" w:cs="黑体"/>
          <w:b w:val="0"/>
          <w:bCs w:val="0"/>
        </w:rPr>
        <w:t>年度主要工作完成情况</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hint="eastAsia" w:ascii="仿宋" w:hAnsi="仿宋" w:eastAsia="仿宋" w:cs="仿宋"/>
          <w:lang w:val="en-US"/>
        </w:rPr>
        <w:t/>
      </w:r>
      <w:r>
        <w:rPr>
          <w:rFonts w:ascii="仿宋" w:hAnsi="仿宋" w:cs="仿宋" w:eastAsia="仿宋"/>
        </w:rPr>
        <w:t>2021年中心完成经营收入1,670.10万元，2020年1,640.36万元，经营收入比上年增加29.74万元，增长1.81%，主要原因为康复辅具销售的增加。2021年完成的主要工作：</w:t>
      </w:r>
      <w:r>
        <w:rPr>
          <w:rFonts w:ascii="仿宋" w:hAnsi="仿宋" w:cs="仿宋" w:eastAsia="仿宋"/>
        </w:rPr>
        <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hint="eastAsia" w:ascii="仿宋" w:hAnsi="仿宋" w:eastAsia="仿宋" w:cs="仿宋"/>
          <w:lang w:val="en-US"/>
        </w:rPr>
        <w:t/>
      </w:r>
      <w:r>
        <w:rPr>
          <w:rFonts w:ascii="仿宋" w:hAnsi="仿宋" w:cs="仿宋" w:eastAsia="仿宋"/>
        </w:rPr>
        <w:t>(一)坚持党建引领，统揽全局工作</w:t>
      </w:r>
      <w:r>
        <w:rPr>
          <w:rFonts w:ascii="仿宋" w:hAnsi="仿宋" w:cs="仿宋" w:eastAsia="仿宋"/>
        </w:rPr>
        <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hint="eastAsia" w:ascii="仿宋" w:hAnsi="仿宋" w:eastAsia="仿宋" w:cs="仿宋"/>
          <w:lang w:val="en-US"/>
        </w:rPr>
        <w:t/>
      </w:r>
      <w:r>
        <w:rPr>
          <w:rFonts w:ascii="仿宋" w:hAnsi="仿宋" w:cs="仿宋" w:eastAsia="仿宋"/>
        </w:rPr>
        <w:t>一是加强统筹部署，扎实推进党史学习教育。将党史学习教育与庆祝中国共产党成立100周年活动等相结合，按照“学习、教育、践行、感恩”四位一体的工作思路统筹推进。制定《关于开展党史学习教育的实施方案》，召开党史学习教育动员部署大会，明确目标要求、进度安排、学习内容、重点工作，将学党史、悟思想、办实事、开新局贯穿学习教育全过程。成立以支部书记任组长的党史学习教育领导小组，确立工作机制，调度工作进展，开展督导检查，严格按照“时间表”“路线图”落实落细各阶段任务。</w:t>
      </w:r>
      <w:r>
        <w:rPr>
          <w:rFonts w:ascii="仿宋" w:hAnsi="仿宋" w:cs="仿宋" w:eastAsia="仿宋"/>
        </w:rPr>
        <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hint="eastAsia" w:ascii="仿宋" w:hAnsi="仿宋" w:eastAsia="仿宋" w:cs="仿宋"/>
          <w:lang w:val="en-US"/>
        </w:rPr>
        <w:t/>
      </w:r>
      <w:r>
        <w:rPr>
          <w:rFonts w:ascii="仿宋" w:hAnsi="仿宋" w:cs="仿宋" w:eastAsia="仿宋"/>
        </w:rPr>
        <w:t>二是坚持学深悟透，强化党史学习教育成效。让党员同志深刻认识到党史学习的深刻意义，理解把握以史为鉴、开创未来的根本要求。全年开展全体党员参加的党史学习教育会11次，由支部书记和支委领学，围绕“学党史、悟思想、办实事、开新局”开展主题研讨会，鼓励党员同志把学习党史同总结经验、观照现实、推动工作结合起来，把理论学习成果转化为工作动力和成效，立足本职岗位，发挥好党员的先锋模范作用。鼓励和督促全体党员积极参加“学习强国”等平台的线上党史学习教育，依托“三会一课”和“主题党日”开展形式多样的线下学习活动，提升思想境界，树立扎根民政沃土、爱岗敬业奉献的崇高理念。组织党员前往扬州曹起溍烈士故居和中国人民解放军海军诞生地纪念馆开展现场学习，近距离接触党史，让旧址遗迹成为党史“教室”，让文物史料成为党史“教材”，党员同志更加坚定为人民康复事业奋斗的决心，传承红色基因，赓续红色血脉，为康复事业的高质量发展献计出力。</w:t>
      </w:r>
      <w:r>
        <w:rPr>
          <w:rFonts w:ascii="仿宋" w:hAnsi="仿宋" w:cs="仿宋" w:eastAsia="仿宋"/>
        </w:rPr>
        <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hint="eastAsia" w:ascii="仿宋" w:hAnsi="仿宋" w:eastAsia="仿宋" w:cs="仿宋"/>
          <w:lang w:val="en-US"/>
        </w:rPr>
        <w:t/>
      </w:r>
      <w:r>
        <w:rPr>
          <w:rFonts w:ascii="仿宋" w:hAnsi="仿宋" w:cs="仿宋" w:eastAsia="仿宋"/>
        </w:rPr>
        <w:t>三是为群众办实事，让党史学习教育“活起来”。将党史学习教育与为民办实事、解难题有机结合，弘扬“民政为民，民政爱民”理念，努力做好“我为群众办实事”，以办好实事的成果检验党史学习教育成效。2021年，康复中心继续推进“福康行——持续关爱”“军残巡修”“医工结合”“适老化改造”等项目，覆盖全省30多个县（市、区），取得了良好的社会效益。疫情期间支部组织17名医护人员奔赴一线，支援南京核酸检测采样工作，党员同志率先垂范，积极发扬抗疫精神，圆满完成任务，诠释了民政人的责任与担当。支部组建志愿服务团队，将志愿服务常态化，关爱老年人，为苏康养老护理中心的老人们送去关心和温暖。支部坚持党建引领，通过与社区“结对共建”，促进党史学习教育在共建社区走深走实。组织党员干部与驻地的挹江门社区“联学共建”，为辖区群众送医问诊、健康走访等，被社区授予“优秀共建单位”。同时，支部组织医护人员赴句容市唐陵村开展“岗村结对”共建活动，开设讲座为老人讲解如何预防脑卒中。让党员同志在为民办事中凝聚民心、聚合民力，为党史学习教育“升温加热”。</w:t>
      </w:r>
      <w:r>
        <w:rPr>
          <w:rFonts w:ascii="仿宋" w:hAnsi="仿宋" w:cs="仿宋" w:eastAsia="仿宋"/>
        </w:rPr>
        <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hint="eastAsia" w:ascii="仿宋" w:hAnsi="仿宋" w:eastAsia="仿宋" w:cs="仿宋"/>
          <w:lang w:val="en-US"/>
        </w:rPr>
        <w:t/>
      </w:r>
      <w:r>
        <w:rPr>
          <w:rFonts w:ascii="仿宋" w:hAnsi="仿宋" w:cs="仿宋" w:eastAsia="仿宋"/>
        </w:rPr>
        <w:t>四是打造活力支部，规范党员发展工作。支部在厅机关党委的指导下，严格按照《中国共产党章程》《中国共产党发展党员工作细则》和中共中央办公厅《印发〈关于加强新形势下发展党员和党员管理工作的意见〉的通知》等有关规定，认真落实年度党员发展计划，规范党员发展工作。2021年，支部研究决定2名同志为发展对象，4名同志为入党积极分子。此外，支部始终把党员发展的重点放在教育培养上，认真组织入党发展对象参加培训，把支部日常学习作为对入党发展对象进行经常性教育培训的重要载体，把入党发展对象的思想汇报及时存入档案，作为向党组织推荐重点培养对象的依据。</w:t>
      </w:r>
      <w:r>
        <w:rPr>
          <w:rFonts w:ascii="仿宋" w:hAnsi="仿宋" w:cs="仿宋" w:eastAsia="仿宋"/>
        </w:rPr>
        <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hint="eastAsia" w:ascii="仿宋" w:hAnsi="仿宋" w:eastAsia="仿宋" w:cs="仿宋"/>
          <w:lang w:val="en-US"/>
        </w:rPr>
        <w:t/>
      </w:r>
      <w:r>
        <w:rPr>
          <w:rFonts w:ascii="仿宋" w:hAnsi="仿宋" w:cs="仿宋" w:eastAsia="仿宋"/>
        </w:rPr>
        <w:t>（二）加强业务建设，推进中心发展迈上新台阶</w:t>
      </w:r>
      <w:r>
        <w:rPr>
          <w:rFonts w:ascii="仿宋" w:hAnsi="仿宋" w:cs="仿宋" w:eastAsia="仿宋"/>
        </w:rPr>
        <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hint="eastAsia" w:ascii="仿宋" w:hAnsi="仿宋" w:eastAsia="仿宋" w:cs="仿宋"/>
          <w:lang w:val="en-US"/>
        </w:rPr>
        <w:t/>
      </w:r>
      <w:r>
        <w:rPr>
          <w:rFonts w:ascii="仿宋" w:hAnsi="仿宋" w:cs="仿宋" w:eastAsia="仿宋"/>
        </w:rPr>
        <w:t>康复中心坚决贯彻落实习近平总书记关于疫情防控、民政工作的重要指示批示精神和厅党组决策部署，统筹推进疫情防控和业务发展工作，牢牢坚守民政防疫阵地，各项任务扎实推进，重点民生公益事项顺利实施，康复辅具、适老化等市场拓展取得突破性进展。</w:t>
      </w:r>
      <w:r>
        <w:rPr>
          <w:rFonts w:ascii="仿宋" w:hAnsi="仿宋" w:cs="仿宋" w:eastAsia="仿宋"/>
        </w:rPr>
        <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hint="eastAsia" w:ascii="仿宋" w:hAnsi="仿宋" w:eastAsia="仿宋" w:cs="仿宋"/>
          <w:lang w:val="en-US"/>
        </w:rPr>
        <w:t/>
      </w:r>
      <w:r>
        <w:rPr>
          <w:rFonts w:ascii="仿宋" w:hAnsi="仿宋" w:cs="仿宋" w:eastAsia="仿宋"/>
        </w:rPr>
        <w:t>一是疫情防控常抓不懈，构建多层立体防控网络。新型冠状病毒疫情发生以来，中心坚决贯彻省委、省政府以及省民政厅关于新型冠状病毒肺炎疫情预防控制工作的部署，一手抓防控，一手保服务。在中心本部（医院福建路院区）、汤山基地分别采取相应的防疫措施，制定疫情防控预案。对组织领导、责任分工以及工作要求，作出了明确规定。坚持防控常态化，并积极统筹研究部署疫情防控和复工复产工作，精准施策，坚持防疫与复工复产“双向对进”，两手抓，两手硬。</w:t>
      </w:r>
      <w:r>
        <w:rPr>
          <w:rFonts w:ascii="仿宋" w:hAnsi="仿宋" w:cs="仿宋" w:eastAsia="仿宋"/>
        </w:rPr>
        <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hint="eastAsia" w:ascii="仿宋" w:hAnsi="仿宋" w:eastAsia="仿宋" w:cs="仿宋"/>
          <w:lang w:val="en-US"/>
        </w:rPr>
        <w:t/>
      </w:r>
      <w:r>
        <w:rPr>
          <w:rFonts w:ascii="仿宋" w:hAnsi="仿宋" w:cs="仿宋" w:eastAsia="仿宋"/>
        </w:rPr>
        <w:t>二是抓民生改善，积极推进公益项目。立足职能，承担社会责任，将公益项目摆在中心工作的重中之重。为方便革命残伤军人就地制作、修理辅助器具，年初中心制定了合理的巡修计划。2021年，“军残巡修”项目组安排20余人计62天前往全省12个地级市及其周边县区，为残疾军人开展假肢、矫形器、病理鞋、腰围等辅助器具的修理、订制、测量、更换等工作，服务残疾军人近3400名。2021年“福康行——持续关爱”覆盖盐城、泰州、扬州、南通等24个县（市、区），共安排261人次下乡，花费近7500工时，完成假肢300具。结合预算资金量，2021年项目共配发假肢产品300具，轮椅车501辆，护理床450套，合计使用资金700万元。</w:t>
      </w:r>
      <w:r>
        <w:rPr>
          <w:rFonts w:ascii="仿宋" w:hAnsi="仿宋" w:cs="仿宋" w:eastAsia="仿宋"/>
        </w:rPr>
        <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hint="eastAsia" w:ascii="仿宋" w:hAnsi="仿宋" w:eastAsia="仿宋" w:cs="仿宋"/>
          <w:lang w:val="en-US"/>
        </w:rPr>
        <w:t/>
      </w:r>
      <w:r>
        <w:rPr>
          <w:rFonts w:ascii="仿宋" w:hAnsi="仿宋" w:cs="仿宋" w:eastAsia="仿宋"/>
        </w:rPr>
        <w:t>三是参与市场竞争，稳步扩大市场占有率。近年来，中心以市场需求为导向，参与养老及康复辅具市场竞争。首先，参与适老化改造项目。中心长期参与调研适老化改造辅助器具需求，上门入户宣传居家适老化改造工作，引导更多老年家庭自主进行居家适老化改造。2021年，中心与各地民政部门合作对计划实施居家适老化改造的重点对象家庭，进行入户评估，并通过参与公开招投标的方式，赢得市场竞争，全年销售约13万元。其次，积极开拓省内外市场，全年销售158.9万元。中心积极与地方残疾人联合会沟通，通过招投标方式成功入围江苏省残疾人联合会的假肢和矫形器采购目录，于2019年起开始为全省地方残联提供辅具产品。今年，康复中心还参与省外康复辅具市场竞争，目前已在陕西、吉林、甘肃等地开展工作。此外，稳步推进“医工结合”。中心通过“医工结合”建成标准化的康复辅助器具支具室，业务拓展至脊柱矫形领域，已完成40余名青少年脊柱侧弯矫正工作，将优质康复资源推广至市场前沿，有望成为康复中心新的经济增长点。</w:t>
      </w:r>
      <w:r>
        <w:rPr>
          <w:rFonts w:ascii="仿宋" w:hAnsi="仿宋" w:cs="仿宋" w:eastAsia="仿宋"/>
        </w:rPr>
        <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hint="eastAsia" w:ascii="仿宋" w:hAnsi="仿宋" w:eastAsia="仿宋" w:cs="仿宋"/>
          <w:lang w:val="en-US"/>
        </w:rPr>
        <w:t/>
      </w:r>
      <w:r>
        <w:rPr>
          <w:rFonts w:ascii="仿宋" w:hAnsi="仿宋" w:cs="仿宋" w:eastAsia="仿宋"/>
        </w:rPr>
        <w:t>四是整合资源，积极推进事企改革。按照省财政厅、省民政厅关于事企改革相关工作的部署和要求，中心稳步推进事企分离，确保改革过程扎实，内容到位，过渡平稳。安置好事企分离后企业员工，依据个人意愿双向选择，确保员工个人利益不受损。企业自股权划转到与原主办单位脱钩过渡期间，康复中心将在省厅授权后继续进行监管工作，确保企业的健康发展有保障。</w:t>
      </w:r>
      <w:r>
        <w:rPr>
          <w:rFonts w:ascii="仿宋" w:hAnsi="仿宋" w:cs="仿宋" w:eastAsia="仿宋"/>
        </w:rPr>
        <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hint="eastAsia" w:ascii="仿宋" w:hAnsi="仿宋" w:eastAsia="仿宋" w:cs="仿宋"/>
          <w:lang w:val="en-US"/>
        </w:rPr>
        <w:t/>
      </w:r>
      <w:r>
        <w:rPr>
          <w:rFonts w:ascii="仿宋" w:hAnsi="仿宋" w:cs="仿宋" w:eastAsia="仿宋"/>
        </w:rPr>
        <w:t>五是抓安全生产、促和谐稳定。中心深入贯彻落实省民政厅《关于加强全省民政领域重大风险防范化解和安全生产工作的通知》精神，牢固树立“防风险、保安全”意识，严格落实各项安全工作要求，开展督促检查，坚持“周巡查、月检查、季度理论+实操教育、重大节点大排查”制度。压紧压实各级领导责任、部门监管责任、机构主体责任，深入细致排查消防、人员安全等风险隐患，深入开展安全生产专项整治。抓好日常管理，落实好重点时段、重大节日、重大活动安全生产工作，提高安全管理水平，认真落实全省安全生产专项整治行动，把安全生产责任落到实处，推动中心安全生产工作再上新台阶。</w:t>
      </w:r>
      <w:r>
        <w:rPr>
          <w:rFonts w:ascii="仿宋" w:hAnsi="仿宋" w:cs="仿宋" w:eastAsia="仿宋"/>
        </w:rPr>
        <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hint="eastAsia" w:ascii="仿宋" w:hAnsi="仿宋" w:eastAsia="仿宋" w:cs="仿宋"/>
          <w:lang w:val="en-US"/>
        </w:rPr>
        <w:t/>
      </w:r>
      <w:r>
        <w:rPr>
          <w:rFonts w:ascii="仿宋" w:hAnsi="仿宋" w:cs="仿宋" w:eastAsia="仿宋"/>
        </w:rPr>
        <w:t>（三）强化人才队伍建设，创新驱动发展</w:t>
      </w:r>
      <w:r>
        <w:rPr>
          <w:rFonts w:ascii="仿宋" w:hAnsi="仿宋" w:cs="仿宋" w:eastAsia="仿宋"/>
        </w:rPr>
        <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hint="eastAsia" w:ascii="仿宋" w:hAnsi="仿宋" w:eastAsia="仿宋" w:cs="仿宋"/>
          <w:lang w:val="en-US"/>
        </w:rPr>
        <w:t/>
      </w:r>
      <w:r>
        <w:rPr>
          <w:rFonts w:ascii="仿宋" w:hAnsi="仿宋" w:cs="仿宋" w:eastAsia="仿宋"/>
        </w:rPr>
        <w:t>一是注重人才传承，形成梯队机制。创新驱动人才是基础，康复辅具技术领域，人才是创新的具体实践者与组织者，是技术进步的重要推动力。建设一支充满活力、富有竞争力的康复辅助器具人才队伍，是康复中心下好先手棋、争创新优势的重要保证，也是中心能屹立在市场竞争浪潮中的重要支撑。近年来，中心安排中心技术骨干对年轻员工“传”“帮”“带”，利用现有的资源整合团队力量，做好人才梯队建设。目前，中心“大师工作室”的升级改造正有序进行，为打造“大师工作室为引领，青年技师为新生力量”的技术团队奠定基础。</w:t>
      </w:r>
      <w:r>
        <w:rPr>
          <w:rFonts w:ascii="仿宋" w:hAnsi="仿宋" w:cs="仿宋" w:eastAsia="仿宋"/>
        </w:rPr>
        <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hint="eastAsia" w:ascii="仿宋" w:hAnsi="仿宋" w:eastAsia="仿宋" w:cs="仿宋"/>
          <w:lang w:val="en-US"/>
        </w:rPr>
        <w:t/>
      </w:r>
      <w:r>
        <w:rPr>
          <w:rFonts w:ascii="仿宋" w:hAnsi="仿宋" w:cs="仿宋" w:eastAsia="仿宋"/>
        </w:rPr>
        <w:t>二是运用“互联网+”思维，为运营提供智力支持。“十三五”期间，中心运用“互联网+”思维，结合大数据管理应用，对全省伤残患者信息进行收集、跟踪、管理，建立了“江苏省伤残军人数据库”，服务伤残患者，为项目建设提供智力支持。中心积极开展公益项目，2021年，中心先后组织“军残巡修”“福康行—持续关爱”两大项目，累计为全省4000余人次伤残患者提供服务，为实现脱贫攻坚和残疾人全面发展提供支持。中心的优质服务多次受到媒体报道，并获服务对象一致称赞，体现了良好的社会效益。</w:t>
      </w:r>
      <w:r>
        <w:rPr>
          <w:rFonts w:ascii="仿宋" w:hAnsi="仿宋" w:cs="仿宋" w:eastAsia="仿宋"/>
        </w:rPr>
        <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hint="eastAsia" w:ascii="仿宋" w:hAnsi="仿宋" w:eastAsia="仿宋" w:cs="仿宋"/>
          <w:lang w:val="en-US"/>
        </w:rPr>
        <w:t/>
      </w:r>
      <w:r>
        <w:rPr>
          <w:rFonts w:ascii="仿宋" w:hAnsi="仿宋" w:cs="仿宋" w:eastAsia="仿宋"/>
        </w:rPr>
        <w:t>（四）紧抓体系建设，促进转型升级</w:t>
      </w:r>
      <w:r>
        <w:rPr>
          <w:rFonts w:ascii="仿宋" w:hAnsi="仿宋" w:cs="仿宋" w:eastAsia="仿宋"/>
        </w:rPr>
        <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hint="eastAsia" w:ascii="仿宋" w:hAnsi="仿宋" w:eastAsia="仿宋" w:cs="仿宋"/>
          <w:lang w:val="en-US"/>
        </w:rPr>
        <w:t/>
      </w:r>
      <w:r>
        <w:rPr>
          <w:rFonts w:ascii="仿宋" w:hAnsi="仿宋" w:cs="仿宋" w:eastAsia="仿宋"/>
        </w:rPr>
        <w:t>一是加快调整结构，紧抓质量体系建设。为加强中心标准化建设，进一步推进贯标工作在中心的踏实运行，本年度中心顺利通过ISO13485及ISO9001质量管理体系证书再认证及质量管理体系改版审核工作，助力加快在中心本部建立完善的假肢矫形器服务体系，在汤山基地建立科学的机加工生产体系，理顺生产服务流程，注重制度的建立和落实，推动制度的完善和创新。</w:t>
      </w:r>
      <w:r>
        <w:rPr>
          <w:rFonts w:ascii="仿宋" w:hAnsi="仿宋" w:cs="仿宋" w:eastAsia="仿宋"/>
        </w:rPr>
        <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hint="eastAsia" w:ascii="仿宋" w:hAnsi="仿宋" w:eastAsia="仿宋" w:cs="仿宋"/>
          <w:lang w:val="en-US"/>
        </w:rPr>
        <w:t/>
      </w:r>
      <w:r>
        <w:rPr>
          <w:rFonts w:ascii="仿宋" w:hAnsi="仿宋" w:cs="仿宋" w:eastAsia="仿宋"/>
        </w:rPr>
        <w:t>二是加强对外合作，探索汤山发展道路。为进一步提高自身生产优势，不断拓展机加工制造业市场，汤山基地一方面通过剖析产品成本，购买先进设备，优化产品工艺，力争生产适销对路的、有市场竞争力的产品。另一方面，科学合理布置厂房，提高场地利用率，完成了厂房升级改造，加强与其他制造企业的合作。今年，完成销售、加工合同49份，计321.6146万元，进一步提升自身造血能力。</w:t>
      </w:r>
      <w:r>
        <w:rPr>
          <w:rFonts w:ascii="仿宋" w:hAnsi="仿宋" w:cs="仿宋" w:eastAsia="仿宋"/>
        </w:rPr>
        <w:t/>
      </w:r>
    </w:p>
    <w:p>
      <w:pPr>
        <w:pStyle w:val="8"/>
        <w:spacing w:line="235" w:lineRule="auto"/>
        <w:ind w:left="669" w:leftChars="300" w:right="2414" w:hanging="9" w:firstLineChars="0"/>
        <w:jc w:val="both"/>
        <w:rPr>
          <w:rFonts w:hint="eastAsia" w:ascii="仿宋" w:hAnsi="仿宋" w:eastAsia="仿宋" w:cs="仿宋"/>
        </w:rPr>
        <w:sectPr>
          <w:footerReference r:id="rId7" w:type="default"/>
          <w:pgSz w:w="11906" w:h="16838"/>
          <w:pgMar w:top="1580" w:right="700" w:bottom="770" w:left="1020" w:header="283" w:footer="280" w:gutter="0"/>
          <w:pgBorders>
            <w:top w:val="none" w:sz="0" w:space="0"/>
            <w:left w:val="none" w:sz="0" w:space="0"/>
            <w:bottom w:val="none" w:sz="0" w:space="0"/>
            <w:right w:val="none" w:sz="0" w:space="0"/>
          </w:pgBorders>
          <w:pgNumType w:fmt="numberInDash"/>
          <w:cols w:space="720" w:num="1"/>
          <w:formProt w:val="0"/>
          <w:docGrid w:linePitch="100" w:charSpace="0"/>
        </w:sectPr>
      </w:pP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outlineLvl w:val="0"/>
        <w:rPr>
          <w:rFonts w:hint="eastAsia" w:ascii="宋体" w:hAnsi="宋体" w:eastAsia="宋体" w:cs="宋体"/>
          <w:b/>
          <w:bCs/>
          <w:sz w:val="36"/>
          <w:szCs w:val="36"/>
          <w:lang w:val="en-US" w:eastAsia="zh-CN"/>
        </w:rPr>
      </w:pPr>
      <w:r>
        <w:rPr>
          <w:rFonts w:hint="eastAsia" w:ascii="宋体" w:hAnsi="宋体" w:eastAsia="宋体" w:cs="宋体"/>
          <w:b/>
          <w:bCs/>
          <w:sz w:val="36"/>
          <w:szCs w:val="36"/>
        </w:rPr>
        <w:t>第二部分</w:t>
      </w:r>
    </w:p>
    <w:p>
      <w:pPr>
        <w:pStyle w:val="21"/>
        <w:widowControl w:val="0"/>
        <w:tabs>
          <w:tab w:val="left" w:pos="1609"/>
        </w:tabs>
        <w:suppressAutoHyphens/>
        <w:bidi w:val="0"/>
        <w:spacing w:before="12" w:after="0" w:line="300" w:lineRule="auto"/>
        <w:ind w:left="340" w:right="567" w:firstLine="0"/>
        <w:jc w:val="center"/>
        <w:rPr>
          <w:rFonts w:hint="eastAsia" w:ascii="宋体" w:hAnsi="宋体" w:eastAsia="宋体" w:cs="宋体"/>
          <w:b/>
          <w:bCs/>
          <w:sz w:val="36"/>
          <w:szCs w:val="36"/>
        </w:rPr>
      </w:pPr>
      <w:r>
        <w:rPr>
          <w:rFonts w:hint="eastAsia" w:ascii="宋体" w:hAnsi="宋体" w:eastAsia="宋体" w:cs="宋体"/>
          <w:b/>
          <w:bCs/>
          <w:sz w:val="36"/>
          <w:szCs w:val="36"/>
          <w:u w:val="none"/>
        </w:rPr>
        <w:t>江苏省伤残人康复中心</w:t>
      </w:r>
    </w:p>
    <w:p>
      <w:pPr>
        <w:pStyle w:val="21"/>
        <w:widowControl w:val="0"/>
        <w:tabs>
          <w:tab w:val="left" w:pos="1609"/>
        </w:tabs>
        <w:suppressAutoHyphens/>
        <w:bidi w:val="0"/>
        <w:spacing w:before="12" w:after="0" w:line="300" w:lineRule="auto"/>
        <w:ind w:left="340" w:right="567" w:firstLine="0"/>
        <w:jc w:val="center"/>
        <w:outlineLvl w:val="1"/>
        <w:rPr>
          <w:rFonts w:hint="eastAsia" w:ascii="宋体" w:hAnsi="宋体" w:eastAsia="宋体" w:cs="宋体"/>
          <w:b/>
          <w:bCs/>
          <w:sz w:val="36"/>
          <w:szCs w:val="36"/>
        </w:rPr>
      </w:pPr>
      <w:r>
        <w:rPr>
          <w:rFonts w:hint="eastAsia" w:ascii="宋体" w:hAnsi="宋体" w:eastAsia="宋体" w:cs="宋体"/>
          <w:b/>
          <w:bCs/>
          <w:sz w:val="36"/>
          <w:szCs w:val="36"/>
          <w:lang w:eastAsia="zh-CN"/>
        </w:rPr>
        <w:t>2021</w:t>
      </w:r>
      <w:r>
        <w:rPr>
          <w:rFonts w:hint="eastAsia" w:ascii="宋体" w:hAnsi="宋体" w:eastAsia="宋体" w:cs="宋体"/>
          <w:b/>
          <w:bCs/>
          <w:sz w:val="36"/>
          <w:szCs w:val="36"/>
        </w:rPr>
        <w:t>年度</w:t>
      </w:r>
      <w:r>
        <w:rPr>
          <w:rFonts w:hint="eastAsia" w:ascii="宋体" w:hAnsi="宋体" w:eastAsia="宋体" w:cs="宋体"/>
          <w:b/>
          <w:bCs/>
          <w:sz w:val="36"/>
          <w:szCs w:val="36"/>
          <w:lang w:val="en-US" w:eastAsia="zh-CN"/>
        </w:rPr>
        <w:t>单位</w:t>
      </w:r>
      <w:r>
        <w:rPr>
          <w:rFonts w:ascii="宋体" w:hAnsi="宋体" w:cs="宋体" w:eastAsia="宋体"/>
          <w:b w:val="true"/>
          <w:sz w:val="36"/>
        </w:rPr>
        <w:t>决算表</w:t>
      </w:r>
    </w:p>
    <w:tbl>
      <w:tblPr>
        <w:tblStyle w:val="12"/>
        <w:tblW w:w="10447" w:type="dxa"/>
        <w:jc w:val="center"/>
        <w:tblLayout w:type="fixed"/>
        <w:tblCellMar>
          <w:top w:w="0" w:type="dxa"/>
          <w:left w:w="108" w:type="dxa"/>
          <w:bottom w:w="0" w:type="dxa"/>
          <w:right w:w="108" w:type="dxa"/>
        </w:tblCellMar>
      </w:tblPr>
      <w:tblGrid>
        <w:gridCol w:w="3784"/>
        <w:gridCol w:w="1461"/>
        <w:gridCol w:w="2035"/>
        <w:gridCol w:w="1709"/>
        <w:gridCol w:w="1458"/>
      </w:tblGrid>
      <w:tr>
        <w:tblPrEx>
          <w:tblCellMar>
            <w:top w:w="0" w:type="dxa"/>
            <w:left w:w="108" w:type="dxa"/>
            <w:bottom w:w="0" w:type="dxa"/>
            <w:right w:w="108" w:type="dxa"/>
          </w:tblCellMar>
        </w:tblPrEx>
        <w:trPr>
          <w:trHeight w:val="544" w:hRule="atLeast"/>
          <w:jc w:val="center"/>
        </w:trPr>
        <w:tc>
          <w:tcPr>
            <w:tcW w:w="10447" w:type="dxa"/>
            <w:gridSpan w:val="5"/>
          </w:tcPr>
          <w:p>
            <w:pPr>
              <w:pageBreakBefore/>
              <w:widowControl w:val="0"/>
              <w:ind w:left="0" w:right="0" w:firstLine="0"/>
              <w:jc w:val="center"/>
              <w:textAlignment w:val="auto"/>
              <w:rPr>
                <w:rFonts w:hint="eastAsia" w:ascii="仿宋" w:hAnsi="仿宋" w:eastAsia="仿宋" w:cs="仿宋"/>
                <w:b/>
                <w:bCs/>
                <w:color w:val="000000"/>
              </w:rPr>
            </w:pPr>
            <w:r>
              <w:rPr>
                <w:rFonts w:hint="eastAsia" w:ascii="宋体" w:hAnsi="宋体" w:eastAsia="宋体" w:cs="宋体"/>
                <w:b/>
                <w:bCs/>
                <w:color w:val="000000"/>
                <w:sz w:val="36"/>
                <w:szCs w:val="36"/>
                <w:lang w:eastAsia="ar-SA"/>
              </w:rPr>
              <w:t>收入支出决算总表</w:t>
            </w:r>
          </w:p>
        </w:tc>
      </w:tr>
      <w:tr>
        <w:tblPrEx>
          <w:tblCellMar>
            <w:top w:w="0" w:type="dxa"/>
            <w:left w:w="108" w:type="dxa"/>
            <w:bottom w:w="0" w:type="dxa"/>
            <w:right w:w="108" w:type="dxa"/>
          </w:tblCellMar>
        </w:tblPrEx>
        <w:trPr>
          <w:trHeight w:val="348" w:hRule="atLeast"/>
          <w:jc w:val="center"/>
        </w:trPr>
        <w:tc>
          <w:tcPr>
            <w:tcW w:w="3784" w:type="dxa"/>
          </w:tcPr>
          <w:p>
            <w:pPr>
              <w:widowControl w:val="0"/>
              <w:ind w:left="0" w:right="0" w:firstLine="0"/>
              <w:jc w:val="left"/>
              <w:textAlignment w:val="auto"/>
              <w:rPr>
                <w:rFonts w:hint="eastAsia" w:ascii="仿宋" w:hAnsi="仿宋" w:eastAsia="仿宋" w:cs="仿宋"/>
                <w:color w:val="000000"/>
                <w:sz w:val="20"/>
              </w:rPr>
            </w:pPr>
          </w:p>
        </w:tc>
        <w:tc>
          <w:tcPr>
            <w:tcW w:w="1461" w:type="dxa"/>
          </w:tcPr>
          <w:p>
            <w:pPr>
              <w:widowControl w:val="0"/>
              <w:ind w:left="0" w:right="0" w:firstLine="0"/>
              <w:jc w:val="left"/>
              <w:textAlignment w:val="auto"/>
              <w:rPr>
                <w:rFonts w:hint="eastAsia" w:ascii="仿宋" w:hAnsi="仿宋" w:eastAsia="仿宋" w:cs="仿宋"/>
                <w:color w:val="000000"/>
                <w:sz w:val="20"/>
              </w:rPr>
            </w:pPr>
          </w:p>
        </w:tc>
        <w:tc>
          <w:tcPr>
            <w:tcW w:w="5202" w:type="dxa"/>
            <w:gridSpan w:val="3"/>
          </w:tcPr>
          <w:p>
            <w:pPr>
              <w:widowControl w:val="0"/>
              <w:ind w:left="0" w:right="0" w:firstLine="0"/>
              <w:jc w:val="right"/>
              <w:textAlignment w:val="auto"/>
              <w:rPr>
                <w:rFonts w:hint="eastAsia" w:ascii="仿宋" w:hAnsi="仿宋" w:eastAsia="仿宋" w:cs="仿宋"/>
                <w:color w:val="000000"/>
                <w:sz w:val="22"/>
              </w:rPr>
            </w:pPr>
            <w:r>
              <w:rPr>
                <w:rFonts w:hint="eastAsia" w:ascii="仿宋" w:hAnsi="仿宋" w:eastAsia="仿宋" w:cs="仿宋"/>
                <w:color w:val="000000"/>
                <w:sz w:val="22"/>
                <w:szCs w:val="22"/>
                <w:lang w:eastAsia="ar-SA"/>
              </w:rPr>
              <w:t>公开01表</w:t>
            </w:r>
          </w:p>
        </w:tc>
      </w:tr>
      <w:tr>
        <w:tblPrEx>
          <w:tblCellMar>
            <w:top w:w="0" w:type="dxa"/>
            <w:left w:w="108" w:type="dxa"/>
            <w:bottom w:w="0" w:type="dxa"/>
            <w:right w:w="108" w:type="dxa"/>
          </w:tblCellMar>
        </w:tblPrEx>
        <w:trPr>
          <w:trHeight w:val="333" w:hRule="atLeast"/>
          <w:jc w:val="center"/>
        </w:trPr>
        <w:tc>
          <w:tcPr>
            <w:tcW w:w="7280" w:type="dxa"/>
            <w:gridSpan w:val="3"/>
            <w:tcBorders>
              <w:bottom w:val="single" w:color="000000" w:sz="4" w:space="0"/>
            </w:tcBorders>
            <w:vAlign w:val="center"/>
          </w:tcPr>
          <w:p>
            <w:pPr>
              <w:widowControl w:val="0"/>
              <w:ind w:left="0" w:right="0" w:firstLine="0"/>
              <w:jc w:val="left"/>
              <w:textAlignment w:val="auto"/>
              <w:rPr>
                <w:rFonts w:hint="eastAsia" w:ascii="仿宋" w:hAnsi="仿宋" w:eastAsia="仿宋" w:cs="仿宋"/>
                <w:color w:val="000000"/>
                <w:sz w:val="22"/>
              </w:rPr>
            </w:pPr>
            <w:r>
              <w:rPr>
                <w:rFonts w:hint="eastAsia" w:ascii="仿宋" w:hAnsi="仿宋" w:eastAsia="仿宋" w:cs="仿宋"/>
                <w:color w:val="000000"/>
                <w:sz w:val="22"/>
                <w:szCs w:val="22"/>
                <w:lang w:eastAsia="zh-CN"/>
              </w:rPr>
              <w:t>单位</w:t>
            </w:r>
            <w:r>
              <w:rPr>
                <w:rFonts w:ascii="仿宋" w:hAnsi="仿宋" w:cs="仿宋" w:eastAsia="仿宋"/>
                <w:color w:val="000000"/>
                <w:sz w:val="22"/>
              </w:rPr>
              <w:t>名称：</w:t>
            </w:r>
            <w:r>
              <w:rPr>
                <w:rFonts w:hint="eastAsia" w:ascii="仿宋" w:hAnsi="仿宋" w:eastAsia="仿宋" w:cs="仿宋"/>
                <w:color w:val="000000"/>
                <w:sz w:val="22"/>
                <w:szCs w:val="22"/>
                <w:lang w:eastAsia="ar-SA"/>
              </w:rPr>
              <w:t>江苏省伤残人康复中心</w:t>
            </w:r>
          </w:p>
        </w:tc>
        <w:tc>
          <w:tcPr>
            <w:tcW w:w="3167" w:type="dxa"/>
            <w:gridSpan w:val="2"/>
            <w:tcBorders>
              <w:bottom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rPr>
            </w:pPr>
            <w:r>
              <w:rPr>
                <w:rFonts w:hint="eastAsia" w:ascii="仿宋" w:hAnsi="仿宋" w:eastAsia="仿宋" w:cs="仿宋"/>
                <w:color w:val="000000"/>
                <w:sz w:val="22"/>
              </w:rPr>
              <w:t>金额单位：万元</w:t>
            </w:r>
          </w:p>
        </w:tc>
      </w:tr>
      <w:tr>
        <w:tblPrEx>
          <w:tblCellMar>
            <w:top w:w="0" w:type="dxa"/>
            <w:left w:w="108" w:type="dxa"/>
            <w:bottom w:w="0" w:type="dxa"/>
            <w:right w:w="108" w:type="dxa"/>
          </w:tblCellMar>
        </w:tblPrEx>
        <w:trPr>
          <w:trHeight w:val="450" w:hRule="atLeast"/>
          <w:jc w:val="center"/>
        </w:trPr>
        <w:tc>
          <w:tcPr>
            <w:tcW w:w="5245"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收入</w:t>
            </w:r>
          </w:p>
        </w:tc>
        <w:tc>
          <w:tcPr>
            <w:tcW w:w="5202" w:type="dxa"/>
            <w:gridSpan w:val="3"/>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支出</w:t>
            </w:r>
          </w:p>
        </w:tc>
      </w:tr>
      <w:tr>
        <w:tblPrEx>
          <w:tblCellMar>
            <w:top w:w="0" w:type="dxa"/>
            <w:left w:w="108" w:type="dxa"/>
            <w:bottom w:w="0" w:type="dxa"/>
            <w:right w:w="108" w:type="dxa"/>
          </w:tblCellMar>
        </w:tblPrEx>
        <w:trPr>
          <w:trHeight w:val="39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
            </w:r>
            <w:r>
              <w:rPr>
                <w:rFonts w:ascii="仿宋" w:hAnsi="仿宋" w:cs="仿宋" w:eastAsia="仿宋"/>
                <w:color w:val="000000"/>
                <w:sz w:val="22"/>
              </w:rPr>
              <w:t>项目</w:t>
            </w:r>
          </w:p>
        </w:tc>
        <w:tc>
          <w:tcPr>
            <w:tcW w:w="146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决算数</w:t>
            </w: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按功能分类</w:t>
            </w:r>
          </w:p>
        </w:tc>
        <w:tc>
          <w:tcPr>
            <w:tcW w:w="145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决算数</w:t>
            </w:r>
          </w:p>
        </w:tc>
      </w:tr>
      <w:tr>
        <w:tblPrEx>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一、一般公共预算财政拨款收入</w:t>
            </w: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1,897.28</w:t>
            </w: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一、一般公共服务支出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二、政府性基金预算财政拨款收入</w:t>
            </w: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130.00</w:t>
            </w: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二、外交支出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三、国有资本经营预算财政拨款收入</w:t>
            </w: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三、国防支出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四、上级补助收入</w:t>
            </w: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四、公共安全支出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五、事业收入</w:t>
            </w: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五、教育支出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六、经营收入</w:t>
            </w: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1,670.10</w:t>
            </w: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六、科学技术支出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25.00</w:t>
            </w:r>
          </w:p>
        </w:tc>
      </w:tr>
      <w:tr>
        <w:tblPrEx>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七、附属单位上缴收入</w:t>
            </w: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七、文化旅游体育与传媒支出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八、其他收入</w:t>
            </w: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八、社会保障和就业支出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3,034.55</w:t>
            </w:r>
          </w:p>
        </w:tc>
      </w:tr>
      <w:tr>
        <w:tblPrEx>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
            </w: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九、卫生健康支出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
            </w: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十、节能环保支出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
            </w: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十一、城乡社区支出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
            </w: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十二、农林水支出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
            </w: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十三、交通运输支出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
            </w: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十四、资源勘探工业信息等支出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
            </w: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十五、商业服务业等支出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
            </w: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十六、金融支出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
            </w: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十七、援助其他地区支出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
            </w: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十八、自然资源海洋气象等支出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
            </w: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十九、住房保障支出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481.43</w:t>
            </w:r>
          </w:p>
        </w:tc>
      </w:tr>
      <w:tr>
        <w:tblPrEx>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
            </w: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二十、粮油物资储备支出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
            </w: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二十一、国有资本经营预算支出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
            </w: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二十二、灾害防治及应急管理支出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
            </w: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二十三、其他支出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25.00</w:t>
            </w:r>
          </w:p>
        </w:tc>
      </w:tr>
      <w:tr>
        <w:tblPrEx>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
            </w: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二十四、债务还本支出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
            </w: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二十五、债务付息支出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
            </w: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二十六、抗疫特别国债安排的支出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trHeight w:val="454" w:hRule="exac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b w:val="0"/>
                <w:bCs w:val="0"/>
                <w:color w:val="000000"/>
                <w:sz w:val="22"/>
                <w:szCs w:val="22"/>
                <w:lang w:eastAsia="ar-SA"/>
              </w:rPr>
              <w:t/>
            </w:r>
            <w:r>
              <w:rPr>
                <w:rFonts w:hint="eastAsia" w:ascii="仿宋" w:hAnsi="仿宋" w:eastAsia="仿宋" w:cs="仿宋"/>
                <w:b/>
                <w:bCs/>
                <w:color w:val="000000"/>
                <w:sz w:val="22"/>
                <w:szCs w:val="22"/>
                <w:lang w:eastAsia="ar-SA"/>
              </w:rPr>
              <w:t>本年收入合计</w:t>
            </w:r>
          </w:p>
        </w:tc>
        <w:tc>
          <w:tcPr>
            <w:tcW w:w="146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3,697.38</w:t>
            </w: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b/>
                <w:bCs/>
                <w:color w:val="000000"/>
                <w:sz w:val="22"/>
                <w:szCs w:val="22"/>
              </w:rPr>
            </w:pPr>
            <w:r>
              <w:rPr>
                <w:rFonts w:hint="eastAsia" w:ascii="仿宋" w:hAnsi="仿宋" w:eastAsia="仿宋" w:cs="仿宋"/>
                <w:b/>
                <w:bCs/>
                <w:color w:val="000000"/>
                <w:sz w:val="22"/>
                <w:szCs w:val="22"/>
                <w:lang w:eastAsia="ar-SA"/>
              </w:rPr>
              <w:t>本年支出合计</w:t>
            </w:r>
          </w:p>
        </w:tc>
        <w:tc>
          <w:tcPr>
            <w:tcW w:w="145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3,565.98</w:t>
            </w:r>
          </w:p>
        </w:tc>
      </w:tr>
      <w:tr>
        <w:tblPrEx>
          <w:tblCellMar>
            <w:top w:w="0" w:type="dxa"/>
            <w:left w:w="108" w:type="dxa"/>
            <w:bottom w:w="0" w:type="dxa"/>
            <w:right w:w="108" w:type="dxa"/>
          </w:tblCellMar>
        </w:tblPrEx>
        <w:trPr>
          <w:trHeight w:val="413"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ind w:right="0" w:firstLine="220" w:firstLineChars="10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使用非财政拨款结余</w:t>
            </w:r>
          </w:p>
        </w:tc>
        <w:tc>
          <w:tcPr>
            <w:tcW w:w="146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right="0" w:firstLine="220" w:firstLineChars="10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结余分配</w:t>
            </w:r>
          </w:p>
        </w:tc>
        <w:tc>
          <w:tcPr>
            <w:tcW w:w="145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1.40</w:t>
            </w:r>
          </w:p>
        </w:tc>
      </w:tr>
      <w:tr>
        <w:tblPrEx>
          <w:tblCellMar>
            <w:top w:w="0" w:type="dxa"/>
            <w:left w:w="108" w:type="dxa"/>
            <w:bottom w:w="0" w:type="dxa"/>
            <w:right w:w="108" w:type="dxa"/>
          </w:tblCellMar>
        </w:tblPrEx>
        <w:trPr>
          <w:trHeight w:val="413"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ind w:right="0" w:firstLine="220" w:firstLineChars="10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年初结转和结余</w:t>
            </w:r>
          </w:p>
        </w:tc>
        <w:tc>
          <w:tcPr>
            <w:tcW w:w="146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right="0" w:firstLine="220" w:firstLineChars="10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年末结转和结余</w:t>
            </w:r>
          </w:p>
        </w:tc>
        <w:tc>
          <w:tcPr>
            <w:tcW w:w="145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130.00</w:t>
            </w:r>
          </w:p>
        </w:tc>
      </w:tr>
      <w:tr>
        <w:tblPrEx>
          <w:tblCellMar>
            <w:top w:w="0" w:type="dxa"/>
            <w:left w:w="108" w:type="dxa"/>
            <w:bottom w:w="0" w:type="dxa"/>
            <w:right w:w="108" w:type="dxa"/>
          </w:tblCellMar>
        </w:tblPrEx>
        <w:trPr>
          <w:trHeight w:val="383" w:hRule="atLeast"/>
          <w:jc w:val="center"/>
        </w:trPr>
        <w:tc>
          <w:tcPr>
            <w:tcW w:w="3784" w:type="dxa"/>
            <w:tcBorders>
              <w:top w:val="single" w:color="000000" w:sz="4" w:space="0"/>
              <w:left w:val="single" w:color="000000" w:sz="4" w:space="0"/>
              <w:bottom w:val="single" w:color="000000" w:sz="4" w:space="0"/>
              <w:right w:val="single" w:color="000000" w:sz="4" w:space="0"/>
            </w:tcBorders>
          </w:tcPr>
          <w:p>
            <w:pPr>
              <w:widowControl w:val="0"/>
              <w:jc w:val="left"/>
              <w:rPr>
                <w:rFonts w:hint="eastAsia" w:ascii="仿宋" w:hAnsi="仿宋" w:eastAsia="仿宋" w:cs="仿宋"/>
                <w:color w:val="000000"/>
                <w:sz w:val="22"/>
                <w:szCs w:val="22"/>
              </w:rPr>
            </w:pPr>
          </w:p>
        </w:tc>
        <w:tc>
          <w:tcPr>
            <w:tcW w:w="1461" w:type="dxa"/>
            <w:tcBorders>
              <w:top w:val="single" w:color="000000" w:sz="4" w:space="0"/>
              <w:left w:val="single" w:color="000000" w:sz="4" w:space="0"/>
              <w:bottom w:val="single" w:color="000000" w:sz="4" w:space="0"/>
              <w:right w:val="single" w:color="000000" w:sz="4" w:space="0"/>
            </w:tcBorders>
          </w:tcPr>
          <w:p>
            <w:pPr>
              <w:widowControl w:val="0"/>
              <w:jc w:val="left"/>
              <w:rPr>
                <w:rFonts w:hint="eastAsia" w:ascii="仿宋" w:hAnsi="仿宋" w:eastAsia="仿宋" w:cs="仿宋"/>
                <w:color w:val="000000"/>
                <w:sz w:val="22"/>
                <w:szCs w:val="22"/>
              </w:rPr>
            </w:pPr>
          </w:p>
        </w:tc>
        <w:tc>
          <w:tcPr>
            <w:tcW w:w="3744" w:type="dxa"/>
            <w:gridSpan w:val="2"/>
            <w:tcBorders>
              <w:top w:val="single" w:color="000000" w:sz="4" w:space="0"/>
              <w:left w:val="single" w:color="000000" w:sz="4" w:space="0"/>
              <w:bottom w:val="single" w:color="000000" w:sz="4" w:space="0"/>
              <w:right w:val="single" w:color="000000" w:sz="4" w:space="0"/>
            </w:tcBorders>
          </w:tcPr>
          <w:p>
            <w:pPr>
              <w:widowControl w:val="0"/>
              <w:jc w:val="left"/>
              <w:rPr>
                <w:rFonts w:hint="eastAsia" w:ascii="仿宋" w:hAnsi="仿宋" w:eastAsia="仿宋" w:cs="仿宋"/>
                <w:color w:val="000000"/>
                <w:sz w:val="22"/>
                <w:szCs w:val="22"/>
              </w:rPr>
            </w:pPr>
          </w:p>
        </w:tc>
        <w:tc>
          <w:tcPr>
            <w:tcW w:w="1458" w:type="dxa"/>
            <w:tcBorders>
              <w:top w:val="single" w:color="000000" w:sz="4" w:space="0"/>
              <w:left w:val="single" w:color="000000" w:sz="4" w:space="0"/>
              <w:bottom w:val="single" w:color="000000" w:sz="4" w:space="0"/>
              <w:right w:val="single" w:color="000000" w:sz="4" w:space="0"/>
            </w:tcBorders>
          </w:tcPr>
          <w:p>
            <w:pPr>
              <w:widowControl w:val="0"/>
              <w:jc w:val="left"/>
              <w:rPr>
                <w:rFonts w:hint="eastAsia" w:ascii="仿宋" w:hAnsi="仿宋" w:eastAsia="仿宋" w:cs="仿宋"/>
                <w:color w:val="000000"/>
                <w:sz w:val="22"/>
                <w:szCs w:val="22"/>
              </w:rPr>
            </w:pPr>
          </w:p>
        </w:tc>
      </w:tr>
      <w:tr>
        <w:tblPrEx>
          <w:tblCellMar>
            <w:top w:w="0" w:type="dxa"/>
            <w:left w:w="108" w:type="dxa"/>
            <w:bottom w:w="0" w:type="dxa"/>
            <w:right w:w="108" w:type="dxa"/>
          </w:tblCellMar>
        </w:tblPrEx>
        <w:trPr>
          <w:cantSplit/>
          <w:trHeight w:val="454" w:hRule="exac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b/>
                <w:color w:val="000000"/>
                <w:sz w:val="22"/>
                <w:szCs w:val="22"/>
                <w:lang w:eastAsia="ar-SA"/>
              </w:rPr>
              <w:t>总计</w:t>
            </w:r>
          </w:p>
        </w:tc>
        <w:tc>
          <w:tcPr>
            <w:tcW w:w="146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3,697.38</w:t>
            </w: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b/>
                <w:color w:val="000000"/>
                <w:sz w:val="22"/>
                <w:szCs w:val="22"/>
                <w:lang w:eastAsia="ar-SA"/>
              </w:rPr>
              <w:t>总计</w:t>
            </w:r>
          </w:p>
        </w:tc>
        <w:tc>
          <w:tcPr>
            <w:tcW w:w="145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3,697.38</w:t>
            </w:r>
          </w:p>
        </w:tc>
      </w:tr>
    </w:tbl>
    <w:p>
      <w:pPr>
        <w:widowControl w:val="0"/>
        <w:suppressAutoHyphens/>
        <w:bidi w:val="0"/>
        <w:spacing w:before="66" w:after="0"/>
        <w:ind w:left="0" w:leftChars="0" w:right="0" w:rightChars="0" w:firstLine="0" w:firstLineChars="0"/>
        <w:jc w:val="both"/>
        <w:rPr>
          <w:rFonts w:hint="eastAsia" w:ascii="仿宋" w:hAnsi="仿宋" w:eastAsia="仿宋" w:cs="仿宋"/>
          <w:b w:val="0"/>
          <w:bCs w:val="0"/>
          <w:color w:val="000000"/>
          <w:sz w:val="22"/>
          <w:szCs w:val="22"/>
          <w:lang w:val="en-US" w:eastAsia="zh-CN"/>
        </w:rPr>
      </w:pPr>
      <w:r>
        <w:rPr>
          <w:rFonts w:hint="eastAsia" w:ascii="仿宋" w:hAnsi="仿宋" w:eastAsia="仿宋" w:cs="仿宋"/>
          <w:b w:val="0"/>
          <w:bCs w:val="0"/>
          <w:color w:val="000000"/>
          <w:sz w:val="22"/>
          <w:szCs w:val="22"/>
          <w:lang w:val="en-US" w:eastAsia="zh-CN"/>
        </w:rPr>
        <w:t>注：本表反映本年度的总收支和年末结转结余情况。</w:t>
      </w:r>
      <w:r>
        <w:rPr>
          <w:rFonts w:hint="eastAsia" w:ascii="仿宋" w:hAnsi="仿宋" w:eastAsia="仿宋" w:cs="仿宋"/>
          <w:b w:val="0"/>
          <w:bCs w:val="0"/>
          <w:sz w:val="22"/>
          <w:szCs w:val="22"/>
          <w:lang w:val="en-US" w:eastAsia="zh-CN"/>
        </w:rPr>
        <w:t/>
      </w:r>
      <w:r>
        <w:rPr>
          <w:rFonts w:hint="eastAsia" w:ascii="仿宋" w:hAnsi="仿宋" w:eastAsia="仿宋" w:cs="仿宋"/>
          <w:b w:val="0"/>
          <w:bCs w:val="0"/>
          <w:color w:val="000000"/>
          <w:sz w:val="22"/>
          <w:szCs w:val="22"/>
          <w:lang w:val="en-US" w:eastAsia="zh-CN"/>
        </w:rPr>
        <w:t>本表金额单位转换时可能存在尾数误差。</w:t>
      </w:r>
      <w:r>
        <w:rPr>
          <w:rFonts w:hint="eastAsia" w:ascii="仿宋" w:hAnsi="仿宋" w:eastAsia="仿宋" w:cs="仿宋"/>
          <w:b w:val="0"/>
          <w:bCs w:val="0"/>
          <w:sz w:val="22"/>
          <w:szCs w:val="22"/>
          <w:lang w:val="en-US" w:eastAsia="zh-CN"/>
        </w:rPr>
        <w:t/>
      </w:r>
    </w:p>
    <w:p>
      <w:pPr>
        <w:widowControl w:val="0"/>
        <w:suppressAutoHyphens/>
        <w:bidi w:val="0"/>
        <w:spacing w:before="66" w:after="0"/>
        <w:ind w:right="0"/>
        <w:jc w:val="both"/>
        <w:rPr>
          <w:rFonts w:hint="eastAsia" w:ascii="仿宋" w:hAnsi="仿宋" w:eastAsia="仿宋" w:cs="仿宋"/>
          <w:b w:val="0"/>
          <w:bCs w:val="0"/>
          <w:color w:val="000000"/>
          <w:sz w:val="22"/>
          <w:szCs w:val="22"/>
        </w:rPr>
        <w:sectPr>
          <w:footerReference r:id="rId8" w:type="default"/>
          <w:pgSz w:w="11906" w:h="16838"/>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5439" w:type="dxa"/>
        <w:jc w:val="center"/>
        <w:tblLayout w:type="fixed"/>
        <w:tblCellMar>
          <w:top w:w="0" w:type="dxa"/>
          <w:left w:w="108" w:type="dxa"/>
          <w:bottom w:w="0" w:type="dxa"/>
          <w:right w:w="108" w:type="dxa"/>
        </w:tblCellMar>
      </w:tblPr>
      <w:tblGrid>
        <w:gridCol w:w="1115"/>
        <w:gridCol w:w="2925"/>
        <w:gridCol w:w="1592"/>
        <w:gridCol w:w="1604"/>
        <w:gridCol w:w="1565"/>
        <w:gridCol w:w="1396"/>
        <w:gridCol w:w="1578"/>
        <w:gridCol w:w="1174"/>
        <w:gridCol w:w="1277"/>
        <w:gridCol w:w="1213"/>
      </w:tblGrid>
      <w:tr>
        <w:tblPrEx>
          <w:tblCellMar>
            <w:top w:w="0" w:type="dxa"/>
            <w:left w:w="108" w:type="dxa"/>
            <w:bottom w:w="0" w:type="dxa"/>
            <w:right w:w="108" w:type="dxa"/>
          </w:tblCellMar>
        </w:tblPrEx>
        <w:trPr>
          <w:trHeight w:val="627" w:hRule="atLeast"/>
          <w:jc w:val="center"/>
        </w:trPr>
        <w:tc>
          <w:tcPr>
            <w:tcW w:w="15439" w:type="dxa"/>
            <w:gridSpan w:val="10"/>
            <w:vAlign w:val="center"/>
          </w:tcPr>
          <w:p>
            <w:pPr>
              <w:pStyle w:val="5"/>
              <w:widowControl w:val="0"/>
              <w:rPr>
                <w:rFonts w:hint="eastAsia" w:ascii="仿宋" w:hAnsi="仿宋" w:eastAsia="仿宋" w:cs="仿宋"/>
                <w:b/>
                <w:bCs/>
                <w:sz w:val="44"/>
                <w:szCs w:val="44"/>
                <w:lang w:val="en-US" w:eastAsia="zh-CN"/>
              </w:rPr>
            </w:pPr>
            <w:r>
              <w:rPr>
                <w:rFonts w:hint="eastAsia" w:ascii="宋体" w:hAnsi="宋体" w:eastAsia="宋体" w:cs="宋体"/>
                <w:b/>
                <w:bCs/>
                <w:color w:val="000000"/>
                <w:kern w:val="0"/>
                <w:sz w:val="36"/>
                <w:szCs w:val="36"/>
                <w:lang w:val="zh-CN" w:eastAsia="ar-SA" w:bidi="zh-CN"/>
              </w:rPr>
              <w:t>收入决算表</w:t>
            </w:r>
          </w:p>
        </w:tc>
      </w:tr>
      <w:tr>
        <w:tblPrEx>
          <w:tblCellMar>
            <w:top w:w="0" w:type="dxa"/>
            <w:left w:w="108" w:type="dxa"/>
            <w:bottom w:w="0" w:type="dxa"/>
            <w:right w:w="108" w:type="dxa"/>
          </w:tblCellMar>
        </w:tblPrEx>
        <w:trPr>
          <w:trHeight w:val="314" w:hRule="atLeast"/>
          <w:jc w:val="center"/>
        </w:trPr>
        <w:tc>
          <w:tcPr>
            <w:tcW w:w="4040" w:type="dxa"/>
            <w:gridSpan w:val="2"/>
            <w:vAlign w:val="center"/>
          </w:tcPr>
          <w:p>
            <w:pPr>
              <w:pStyle w:val="22"/>
              <w:widowControl w:val="0"/>
              <w:jc w:val="center"/>
              <w:rPr>
                <w:rFonts w:hint="eastAsia" w:ascii="仿宋" w:hAnsi="仿宋" w:eastAsia="仿宋" w:cs="仿宋"/>
              </w:rPr>
            </w:pPr>
          </w:p>
        </w:tc>
        <w:tc>
          <w:tcPr>
            <w:tcW w:w="1592" w:type="dxa"/>
            <w:vAlign w:val="center"/>
          </w:tcPr>
          <w:p>
            <w:pPr>
              <w:pStyle w:val="22"/>
              <w:widowControl w:val="0"/>
              <w:jc w:val="center"/>
              <w:rPr>
                <w:rFonts w:hint="eastAsia" w:ascii="仿宋" w:hAnsi="仿宋" w:eastAsia="仿宋" w:cs="仿宋"/>
              </w:rPr>
            </w:pPr>
          </w:p>
        </w:tc>
        <w:tc>
          <w:tcPr>
            <w:tcW w:w="1604" w:type="dxa"/>
            <w:vAlign w:val="center"/>
          </w:tcPr>
          <w:p>
            <w:pPr>
              <w:pStyle w:val="22"/>
              <w:widowControl w:val="0"/>
              <w:jc w:val="center"/>
              <w:rPr>
                <w:rFonts w:hint="eastAsia" w:ascii="仿宋" w:hAnsi="仿宋" w:eastAsia="仿宋" w:cs="仿宋"/>
              </w:rPr>
            </w:pPr>
          </w:p>
        </w:tc>
        <w:tc>
          <w:tcPr>
            <w:tcW w:w="1565" w:type="dxa"/>
            <w:vAlign w:val="center"/>
          </w:tcPr>
          <w:p>
            <w:pPr>
              <w:pStyle w:val="22"/>
              <w:widowControl w:val="0"/>
              <w:jc w:val="center"/>
              <w:rPr>
                <w:rFonts w:hint="eastAsia" w:ascii="仿宋" w:hAnsi="仿宋" w:eastAsia="仿宋" w:cs="仿宋"/>
              </w:rPr>
            </w:pPr>
          </w:p>
        </w:tc>
        <w:tc>
          <w:tcPr>
            <w:tcW w:w="2974" w:type="dxa"/>
            <w:gridSpan w:val="2"/>
            <w:vAlign w:val="center"/>
          </w:tcPr>
          <w:p>
            <w:pPr>
              <w:pStyle w:val="22"/>
              <w:widowControl w:val="0"/>
              <w:jc w:val="center"/>
              <w:rPr>
                <w:rFonts w:hint="eastAsia" w:ascii="仿宋" w:hAnsi="仿宋" w:eastAsia="仿宋" w:cs="仿宋"/>
              </w:rPr>
            </w:pPr>
          </w:p>
        </w:tc>
        <w:tc>
          <w:tcPr>
            <w:tcW w:w="1174" w:type="dxa"/>
            <w:vAlign w:val="center"/>
          </w:tcPr>
          <w:p>
            <w:pPr>
              <w:pStyle w:val="22"/>
              <w:widowControl w:val="0"/>
              <w:jc w:val="center"/>
              <w:rPr>
                <w:rFonts w:hint="eastAsia" w:ascii="仿宋" w:hAnsi="仿宋" w:eastAsia="仿宋" w:cs="仿宋"/>
              </w:rPr>
            </w:pPr>
          </w:p>
        </w:tc>
        <w:tc>
          <w:tcPr>
            <w:tcW w:w="2490" w:type="dxa"/>
            <w:gridSpan w:val="2"/>
            <w:vAlign w:val="center"/>
          </w:tcPr>
          <w:p>
            <w:pPr>
              <w:pStyle w:val="22"/>
              <w:widowControl w:val="0"/>
              <w:jc w:val="right"/>
              <w:rPr>
                <w:rFonts w:hint="eastAsia" w:ascii="仿宋" w:hAnsi="仿宋" w:eastAsia="仿宋" w:cs="仿宋"/>
              </w:rPr>
            </w:pPr>
            <w:r>
              <w:rPr>
                <w:rFonts w:hint="eastAsia" w:ascii="仿宋" w:hAnsi="仿宋" w:eastAsia="仿宋" w:cs="仿宋"/>
              </w:rPr>
              <w:t>公开02表</w:t>
            </w:r>
          </w:p>
        </w:tc>
      </w:tr>
      <w:tr>
        <w:tblPrEx>
          <w:tblCellMar>
            <w:top w:w="0" w:type="dxa"/>
            <w:left w:w="108" w:type="dxa"/>
            <w:bottom w:w="0" w:type="dxa"/>
            <w:right w:w="108" w:type="dxa"/>
          </w:tblCellMar>
        </w:tblPrEx>
        <w:trPr>
          <w:trHeight w:val="376" w:hRule="atLeast"/>
          <w:jc w:val="center"/>
        </w:trPr>
        <w:tc>
          <w:tcPr>
            <w:tcW w:w="12949" w:type="dxa"/>
            <w:gridSpan w:val="8"/>
            <w:vAlign w:val="center"/>
          </w:tcPr>
          <w:p>
            <w:pPr>
              <w:pStyle w:val="22"/>
              <w:widowControl w:val="0"/>
              <w:jc w:val="left"/>
              <w:rPr>
                <w:rFonts w:hint="eastAsia" w:ascii="仿宋" w:hAnsi="仿宋" w:eastAsia="仿宋" w:cs="仿宋"/>
              </w:rPr>
            </w:pPr>
            <w:r>
              <w:rPr>
                <w:rFonts w:hint="eastAsia" w:ascii="仿宋" w:hAnsi="仿宋" w:eastAsia="仿宋" w:cs="仿宋"/>
                <w:color w:val="000000"/>
                <w:sz w:val="22"/>
                <w:szCs w:val="22"/>
                <w:lang w:eastAsia="zh-CN"/>
              </w:rPr>
              <w:t>单位</w:t>
            </w:r>
            <w:r>
              <w:rPr>
                <w:rFonts w:ascii="仿宋" w:hAnsi="仿宋" w:cs="仿宋" w:eastAsia="仿宋"/>
                <w:color w:val="000000"/>
                <w:sz w:val="22"/>
              </w:rPr>
              <w:t>名称：</w:t>
            </w:r>
            <w:r>
              <w:rPr>
                <w:rFonts w:hint="eastAsia" w:ascii="仿宋" w:hAnsi="仿宋" w:eastAsia="仿宋" w:cs="仿宋"/>
              </w:rPr>
              <w:t>江苏省伤残人康复中心</w:t>
            </w:r>
          </w:p>
        </w:tc>
        <w:tc>
          <w:tcPr>
            <w:tcW w:w="2490" w:type="dxa"/>
            <w:gridSpan w:val="2"/>
            <w:vAlign w:val="center"/>
          </w:tcPr>
          <w:p>
            <w:pPr>
              <w:pStyle w:val="22"/>
              <w:widowControl w:val="0"/>
              <w:jc w:val="right"/>
              <w:rPr>
                <w:rFonts w:hint="eastAsia" w:ascii="仿宋" w:hAnsi="仿宋" w:eastAsia="仿宋" w:cs="仿宋"/>
              </w:rPr>
            </w:pPr>
            <w:r>
              <w:rPr>
                <w:rFonts w:hint="eastAsia" w:ascii="仿宋" w:hAnsi="仿宋" w:eastAsia="仿宋" w:cs="仿宋"/>
              </w:rPr>
              <w:t>金额单位：万元</w:t>
            </w:r>
          </w:p>
        </w:tc>
      </w:tr>
      <w:tr>
        <w:tblPrEx>
          <w:tblCellMar>
            <w:top w:w="0" w:type="dxa"/>
            <w:left w:w="108" w:type="dxa"/>
            <w:bottom w:w="0" w:type="dxa"/>
            <w:right w:w="108" w:type="dxa"/>
          </w:tblCellMar>
        </w:tblPrEx>
        <w:trPr>
          <w:cantSplit/>
          <w:trHeight w:val="312" w:hRule="atLeast"/>
          <w:jc w:val="center"/>
        </w:trPr>
        <w:tc>
          <w:tcPr>
            <w:tcW w:w="4040"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项目</w:t>
            </w:r>
          </w:p>
        </w:tc>
        <w:tc>
          <w:tcPr>
            <w:tcW w:w="1592"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本年收入合计</w:t>
            </w:r>
          </w:p>
        </w:tc>
        <w:tc>
          <w:tcPr>
            <w:tcW w:w="1604"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财政拨款收入</w:t>
            </w:r>
          </w:p>
        </w:tc>
        <w:tc>
          <w:tcPr>
            <w:tcW w:w="1565"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上级补助收入</w:t>
            </w:r>
          </w:p>
        </w:tc>
        <w:tc>
          <w:tcPr>
            <w:tcW w:w="1396" w:type="dxa"/>
            <w:vMerge w:val="restart"/>
            <w:tcBorders>
              <w:top w:val="single" w:color="000000" w:sz="4" w:space="0"/>
              <w:lef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财政专户管理教育收费</w:t>
            </w:r>
          </w:p>
        </w:tc>
        <w:tc>
          <w:tcPr>
            <w:tcW w:w="1578" w:type="dxa"/>
            <w:vMerge w:val="restart"/>
            <w:tcBorders>
              <w:top w:val="single" w:color="000000" w:sz="4" w:space="0"/>
              <w:lef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事业收入（不含专户管理教育收费）</w:t>
            </w:r>
          </w:p>
        </w:tc>
        <w:tc>
          <w:tcPr>
            <w:tcW w:w="1174"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经营收入</w:t>
            </w:r>
          </w:p>
        </w:tc>
        <w:tc>
          <w:tcPr>
            <w:tcW w:w="1277"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附属单位上缴收入</w:t>
            </w:r>
          </w:p>
        </w:tc>
        <w:tc>
          <w:tcPr>
            <w:tcW w:w="1213" w:type="dxa"/>
            <w:vMerge w:val="restart"/>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其他收入</w:t>
            </w:r>
          </w:p>
        </w:tc>
      </w:tr>
      <w:tr>
        <w:tblPrEx>
          <w:tblCellMar>
            <w:top w:w="0" w:type="dxa"/>
            <w:left w:w="108" w:type="dxa"/>
            <w:bottom w:w="0" w:type="dxa"/>
            <w:right w:w="108" w:type="dxa"/>
          </w:tblCellMar>
        </w:tblPrEx>
        <w:trPr>
          <w:cantSplit/>
          <w:trHeight w:val="220" w:hRule="atLeast"/>
          <w:jc w:val="center"/>
        </w:trPr>
        <w:tc>
          <w:tcPr>
            <w:tcW w:w="1115"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功能分类</w:t>
            </w:r>
          </w:p>
          <w:p>
            <w:pPr>
              <w:pStyle w:val="22"/>
              <w:widowControl w:val="0"/>
              <w:jc w:val="center"/>
              <w:rPr>
                <w:rFonts w:hint="eastAsia" w:ascii="仿宋" w:hAnsi="仿宋" w:eastAsia="仿宋" w:cs="仿宋"/>
              </w:rPr>
            </w:pPr>
            <w:r>
              <w:rPr>
                <w:rFonts w:hint="eastAsia" w:ascii="仿宋" w:hAnsi="仿宋" w:eastAsia="仿宋" w:cs="仿宋"/>
              </w:rPr>
              <w:t>科目编码</w:t>
            </w:r>
          </w:p>
        </w:tc>
        <w:tc>
          <w:tcPr>
            <w:tcW w:w="2925"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1592"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1604"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1565"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1396" w:type="dxa"/>
            <w:vMerge w:val="continue"/>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p>
        </w:tc>
        <w:tc>
          <w:tcPr>
            <w:tcW w:w="1578" w:type="dxa"/>
            <w:vMerge w:val="continue"/>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p>
        </w:tc>
        <w:tc>
          <w:tcPr>
            <w:tcW w:w="1174"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1277"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1213" w:type="dxa"/>
            <w:vMerge w:val="continue"/>
            <w:tcBorders>
              <w:left w:val="single" w:color="000000" w:sz="4" w:space="0"/>
              <w:bottom w:val="single" w:color="000000" w:sz="4" w:space="0"/>
              <w:right w:val="single" w:color="000000" w:sz="4" w:space="0"/>
            </w:tcBorders>
          </w:tcPr>
          <w:p>
            <w:pPr>
              <w:widowControl w:val="0"/>
              <w:jc w:val="left"/>
              <w:rPr>
                <w:rFonts w:hint="eastAsia" w:ascii="仿宋" w:hAnsi="仿宋" w:eastAsia="仿宋" w:cs="仿宋"/>
              </w:rPr>
            </w:pPr>
          </w:p>
        </w:tc>
      </w:tr>
      <w:tr>
        <w:tblPrEx>
          <w:tblCellMar>
            <w:top w:w="0" w:type="dxa"/>
            <w:left w:w="108" w:type="dxa"/>
            <w:bottom w:w="0" w:type="dxa"/>
            <w:right w:w="108" w:type="dxa"/>
          </w:tblCellMar>
        </w:tblPrEx>
        <w:trPr>
          <w:cantSplit/>
          <w:trHeight w:val="432" w:hRule="exact"/>
          <w:jc w:val="center"/>
        </w:trPr>
        <w:tc>
          <w:tcPr>
            <w:tcW w:w="4040"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
            </w:r>
            <w:r>
              <w:rPr>
                <w:rFonts w:ascii="仿宋" w:hAnsi="仿宋" w:cs="仿宋" w:eastAsia="仿宋"/>
                <w:sz w:val="22"/>
              </w:rPr>
              <w:t>合计</w:t>
            </w:r>
          </w:p>
        </w:tc>
        <w:tc>
          <w:tcPr>
            <w:tcW w:w="1592"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3,697.38</w:t>
            </w:r>
          </w:p>
        </w:tc>
        <w:tc>
          <w:tcPr>
            <w:tcW w:w="1604"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2,027.28</w:t>
            </w:r>
          </w:p>
        </w:tc>
        <w:tc>
          <w:tcPr>
            <w:tcW w:w="1565"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
            </w:r>
          </w:p>
        </w:tc>
        <w:tc>
          <w:tcPr>
            <w:tcW w:w="1396"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
            </w:r>
          </w:p>
        </w:tc>
        <w:tc>
          <w:tcPr>
            <w:tcW w:w="1578"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
            </w:r>
          </w:p>
        </w:tc>
        <w:tc>
          <w:tcPr>
            <w:tcW w:w="1174"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1,670.10</w:t>
            </w:r>
          </w:p>
        </w:tc>
        <w:tc>
          <w:tcPr>
            <w:tcW w:w="1277"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
            </w:r>
          </w:p>
        </w:tc>
        <w:tc>
          <w:tcPr>
            <w:tcW w:w="1213" w:type="dxa"/>
            <w:tcBorders>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
            </w:r>
          </w:p>
        </w:tc>
      </w:tr>
      <w:tr>
        <w:tblPrEx>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206</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科学技术支出</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50.00</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50.00</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20609</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科技重大项目</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50.00</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50.00</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2060902</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重点研发计划</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50.00</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50.00</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208</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社会保障和就业支出</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3,035.95</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1,507.30</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1,528.65</w:t>
            </w: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20805</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行政事业单位养老支出</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77.37</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77.37</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2080505</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机关事业单位基本养老保险缴费支出</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51.58</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51.58</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2080506</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机关事业单位职业年金缴费支出</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25.79</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25.79</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20808</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抚恤</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2,958.58</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1,429.93</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1,528.65</w:t>
            </w: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2080804</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优抚事业单位支出</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2,958.58</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1,429.93</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1,528.65</w:t>
            </w: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221</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住房保障支出</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481.43</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339.98</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141.45</w:t>
            </w: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22102</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住房改革支出</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481.43</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339.98</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141.45</w:t>
            </w: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2210201</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住房公积金</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141.45</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141.45</w:t>
            </w: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2210202</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提租补贴</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339.98</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339.98</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229</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其他支出</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130.00</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130.00</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22960</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彩票公益金安排的支出</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130.00</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130.00</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2296002</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用于社会福利的彩票公益金支出</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130.00</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130.00</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bl>
    <w:p>
      <w:pPr>
        <w:widowControl w:val="0"/>
        <w:suppressAutoHyphens/>
        <w:bidi w:val="0"/>
        <w:spacing w:before="66" w:after="0"/>
        <w:ind w:left="0" w:leftChars="0" w:right="0" w:firstLine="0" w:firstLineChars="0"/>
        <w:jc w:val="both"/>
        <w:rPr>
          <w:rFonts w:hint="eastAsia" w:ascii="仿宋" w:hAnsi="仿宋" w:eastAsia="仿宋" w:cs="仿宋"/>
          <w:b w:val="0"/>
          <w:bCs w:val="0"/>
          <w:sz w:val="22"/>
          <w:szCs w:val="22"/>
        </w:rPr>
      </w:pPr>
      <w:r>
        <w:rPr>
          <w:rFonts w:hint="eastAsia" w:ascii="仿宋" w:hAnsi="仿宋" w:eastAsia="仿宋" w:cs="仿宋"/>
          <w:b w:val="0"/>
          <w:bCs w:val="0"/>
          <w:color w:val="000000"/>
          <w:sz w:val="22"/>
          <w:szCs w:val="22"/>
        </w:rPr>
        <w:t>注：</w:t>
      </w:r>
      <w:r>
        <w:rPr>
          <w:rFonts w:hint="eastAsia" w:ascii="仿宋" w:hAnsi="仿宋" w:eastAsia="仿宋" w:cs="仿宋"/>
          <w:b w:val="0"/>
          <w:bCs w:val="0"/>
          <w:sz w:val="22"/>
          <w:szCs w:val="22"/>
        </w:rPr>
        <w:t>本表反映本年度取得的各项收入情况。</w:t>
      </w:r>
      <w:r>
        <w:rPr>
          <w:rFonts w:hint="eastAsia" w:ascii="仿宋" w:hAnsi="仿宋" w:eastAsia="仿宋" w:cs="仿宋"/>
          <w:b w:val="0"/>
          <w:bCs w:val="0"/>
          <w:sz w:val="22"/>
          <w:szCs w:val="22"/>
          <w:lang w:val="en-US" w:eastAsia="zh-CN"/>
        </w:rPr>
        <w:t/>
      </w:r>
      <w:r>
        <w:rPr>
          <w:rFonts w:hint="eastAsia" w:ascii="仿宋" w:hAnsi="仿宋" w:eastAsia="仿宋" w:cs="仿宋"/>
          <w:b w:val="0"/>
          <w:bCs w:val="0"/>
          <w:sz w:val="22"/>
          <w:szCs w:val="22"/>
        </w:rPr>
        <w:t>本表金额单位转换时可能存在尾数误差。</w:t>
      </w:r>
      <w:r>
        <w:rPr>
          <w:rFonts w:hint="eastAsia" w:ascii="仿宋" w:hAnsi="仿宋" w:eastAsia="仿宋" w:cs="仿宋"/>
          <w:b w:val="0"/>
          <w:bCs w:val="0"/>
          <w:sz w:val="22"/>
          <w:szCs w:val="22"/>
          <w:lang w:val="en-US" w:eastAsia="zh-CN"/>
        </w:rPr>
        <w:t/>
      </w:r>
    </w:p>
    <w:p>
      <w:pPr>
        <w:widowControl w:val="0"/>
        <w:suppressAutoHyphens/>
        <w:bidi w:val="0"/>
        <w:spacing w:before="66" w:after="0"/>
        <w:ind w:left="57" w:right="0" w:firstLine="220" w:firstLineChars="100"/>
        <w:jc w:val="both"/>
        <w:rPr>
          <w:rFonts w:hint="eastAsia" w:ascii="仿宋" w:hAnsi="仿宋" w:eastAsia="仿宋" w:cs="仿宋"/>
          <w:b w:val="0"/>
          <w:bCs w:val="0"/>
          <w:sz w:val="22"/>
          <w:szCs w:val="22"/>
        </w:rPr>
        <w:sectPr>
          <w:footerReference r:id="rId9" w:type="default"/>
          <w:pgSz w:w="16838" w:h="11906" w:orient="landscape"/>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5347" w:type="dxa"/>
        <w:tblInd w:w="96" w:type="dxa"/>
        <w:tblLayout w:type="fixed"/>
        <w:tblCellMar>
          <w:top w:w="55" w:type="dxa"/>
          <w:left w:w="55" w:type="dxa"/>
          <w:bottom w:w="55" w:type="dxa"/>
          <w:right w:w="55" w:type="dxa"/>
        </w:tblCellMar>
      </w:tblPr>
      <w:tblGrid>
        <w:gridCol w:w="1556"/>
        <w:gridCol w:w="4183"/>
        <w:gridCol w:w="2011"/>
        <w:gridCol w:w="1486"/>
        <w:gridCol w:w="1564"/>
        <w:gridCol w:w="1593"/>
        <w:gridCol w:w="1472"/>
        <w:gridCol w:w="1482"/>
      </w:tblGrid>
      <w:tr>
        <w:tblPrEx>
          <w:tblCellMar>
            <w:top w:w="55" w:type="dxa"/>
            <w:left w:w="55" w:type="dxa"/>
            <w:bottom w:w="55" w:type="dxa"/>
            <w:right w:w="55" w:type="dxa"/>
          </w:tblCellMar>
        </w:tblPrEx>
        <w:trPr>
          <w:trHeight w:val="341" w:hRule="atLeast"/>
        </w:trPr>
        <w:tc>
          <w:tcPr>
            <w:tcW w:w="15347" w:type="dxa"/>
            <w:gridSpan w:val="8"/>
            <w:vAlign w:val="center"/>
          </w:tcPr>
          <w:p>
            <w:pPr>
              <w:pStyle w:val="5"/>
              <w:widowControl w:val="0"/>
              <w:rPr>
                <w:rFonts w:hint="eastAsia" w:ascii="仿宋" w:hAnsi="仿宋" w:eastAsia="仿宋" w:cs="仿宋"/>
                <w:b/>
                <w:bCs/>
                <w:sz w:val="44"/>
                <w:szCs w:val="44"/>
              </w:rPr>
            </w:pPr>
            <w:r>
              <w:rPr>
                <w:rFonts w:hint="eastAsia" w:ascii="宋体" w:hAnsi="宋体" w:eastAsia="宋体" w:cs="宋体"/>
                <w:b/>
                <w:bCs/>
                <w:color w:val="000000"/>
                <w:kern w:val="0"/>
                <w:sz w:val="36"/>
                <w:szCs w:val="36"/>
                <w:lang w:val="zh-CN" w:eastAsia="ar-SA" w:bidi="zh-CN"/>
              </w:rPr>
              <w:t>支出决算表</w:t>
            </w:r>
          </w:p>
        </w:tc>
      </w:tr>
      <w:tr>
        <w:tblPrEx>
          <w:tblCellMar>
            <w:top w:w="55" w:type="dxa"/>
            <w:left w:w="55" w:type="dxa"/>
            <w:bottom w:w="55" w:type="dxa"/>
            <w:right w:w="55" w:type="dxa"/>
          </w:tblCellMar>
        </w:tblPrEx>
        <w:trPr>
          <w:trHeight w:val="321" w:hRule="atLeast"/>
        </w:trPr>
        <w:tc>
          <w:tcPr>
            <w:tcW w:w="5739" w:type="dxa"/>
            <w:gridSpan w:val="2"/>
            <w:vAlign w:val="center"/>
          </w:tcPr>
          <w:p>
            <w:pPr>
              <w:pStyle w:val="22"/>
              <w:widowControl w:val="0"/>
              <w:jc w:val="center"/>
              <w:rPr>
                <w:rFonts w:hint="eastAsia" w:ascii="仿宋" w:hAnsi="仿宋" w:eastAsia="仿宋" w:cs="仿宋"/>
              </w:rPr>
            </w:pPr>
          </w:p>
        </w:tc>
        <w:tc>
          <w:tcPr>
            <w:tcW w:w="2011" w:type="dxa"/>
            <w:vAlign w:val="center"/>
          </w:tcPr>
          <w:p>
            <w:pPr>
              <w:pStyle w:val="22"/>
              <w:widowControl w:val="0"/>
              <w:spacing w:before="0" w:after="0"/>
              <w:ind w:firstLine="0"/>
              <w:jc w:val="center"/>
              <w:rPr>
                <w:rFonts w:hint="eastAsia" w:ascii="仿宋" w:hAnsi="仿宋" w:eastAsia="仿宋" w:cs="仿宋"/>
                <w:sz w:val="20"/>
              </w:rPr>
            </w:pPr>
          </w:p>
        </w:tc>
        <w:tc>
          <w:tcPr>
            <w:tcW w:w="1486" w:type="dxa"/>
            <w:vAlign w:val="center"/>
          </w:tcPr>
          <w:p>
            <w:pPr>
              <w:pStyle w:val="22"/>
              <w:widowControl w:val="0"/>
              <w:spacing w:before="0" w:after="0"/>
              <w:ind w:firstLine="0"/>
              <w:jc w:val="center"/>
              <w:rPr>
                <w:rFonts w:hint="eastAsia" w:ascii="仿宋" w:hAnsi="仿宋" w:eastAsia="仿宋" w:cs="仿宋"/>
                <w:sz w:val="20"/>
              </w:rPr>
            </w:pPr>
          </w:p>
        </w:tc>
        <w:tc>
          <w:tcPr>
            <w:tcW w:w="1564" w:type="dxa"/>
            <w:vAlign w:val="center"/>
          </w:tcPr>
          <w:p>
            <w:pPr>
              <w:pStyle w:val="22"/>
              <w:widowControl w:val="0"/>
              <w:spacing w:before="0" w:after="0"/>
              <w:ind w:firstLine="0"/>
              <w:jc w:val="center"/>
              <w:rPr>
                <w:rFonts w:hint="eastAsia" w:ascii="仿宋" w:hAnsi="仿宋" w:eastAsia="仿宋" w:cs="仿宋"/>
                <w:sz w:val="20"/>
              </w:rPr>
            </w:pPr>
          </w:p>
        </w:tc>
        <w:tc>
          <w:tcPr>
            <w:tcW w:w="1593" w:type="dxa"/>
            <w:vAlign w:val="center"/>
          </w:tcPr>
          <w:p>
            <w:pPr>
              <w:pStyle w:val="22"/>
              <w:widowControl w:val="0"/>
              <w:spacing w:before="0" w:after="0"/>
              <w:ind w:firstLine="0"/>
              <w:jc w:val="center"/>
              <w:rPr>
                <w:rFonts w:hint="eastAsia" w:ascii="仿宋" w:hAnsi="仿宋" w:eastAsia="仿宋" w:cs="仿宋"/>
                <w:sz w:val="20"/>
              </w:rPr>
            </w:pPr>
          </w:p>
        </w:tc>
        <w:tc>
          <w:tcPr>
            <w:tcW w:w="2954" w:type="dxa"/>
            <w:gridSpan w:val="2"/>
            <w:vAlign w:val="center"/>
          </w:tcPr>
          <w:p>
            <w:pPr>
              <w:pStyle w:val="22"/>
              <w:widowControl w:val="0"/>
              <w:spacing w:before="0" w:after="0"/>
              <w:ind w:firstLine="0"/>
              <w:jc w:val="right"/>
              <w:rPr>
                <w:rFonts w:hint="eastAsia" w:ascii="仿宋" w:hAnsi="仿宋" w:eastAsia="仿宋" w:cs="仿宋"/>
                <w:sz w:val="22"/>
                <w:szCs w:val="22"/>
              </w:rPr>
            </w:pPr>
            <w:r>
              <w:rPr>
                <w:rFonts w:hint="eastAsia" w:ascii="仿宋" w:hAnsi="仿宋" w:eastAsia="仿宋" w:cs="仿宋"/>
                <w:sz w:val="22"/>
                <w:szCs w:val="22"/>
              </w:rPr>
              <w:t>公开03表</w:t>
            </w:r>
          </w:p>
        </w:tc>
      </w:tr>
      <w:tr>
        <w:tblPrEx>
          <w:tblCellMar>
            <w:top w:w="55" w:type="dxa"/>
            <w:left w:w="55" w:type="dxa"/>
            <w:bottom w:w="55" w:type="dxa"/>
            <w:right w:w="55" w:type="dxa"/>
          </w:tblCellMar>
        </w:tblPrEx>
        <w:trPr>
          <w:trHeight w:val="321" w:hRule="atLeast"/>
        </w:trPr>
        <w:tc>
          <w:tcPr>
            <w:tcW w:w="12393" w:type="dxa"/>
            <w:gridSpan w:val="6"/>
            <w:vAlign w:val="center"/>
          </w:tcPr>
          <w:p>
            <w:pPr>
              <w:pStyle w:val="22"/>
              <w:widowControl w:val="0"/>
              <w:jc w:val="left"/>
              <w:rPr>
                <w:rFonts w:hint="eastAsia" w:ascii="仿宋" w:hAnsi="仿宋" w:eastAsia="仿宋" w:cs="仿宋"/>
              </w:rPr>
            </w:pPr>
            <w:r>
              <w:rPr>
                <w:rFonts w:hint="eastAsia" w:ascii="仿宋" w:hAnsi="仿宋" w:eastAsia="仿宋" w:cs="仿宋"/>
                <w:color w:val="000000"/>
                <w:sz w:val="22"/>
                <w:szCs w:val="22"/>
                <w:lang w:eastAsia="zh-CN"/>
              </w:rPr>
              <w:t>单位</w:t>
            </w:r>
            <w:r>
              <w:rPr>
                <w:rFonts w:ascii="仿宋" w:hAnsi="仿宋" w:cs="仿宋" w:eastAsia="仿宋"/>
                <w:color w:val="000000"/>
                <w:sz w:val="22"/>
              </w:rPr>
              <w:t>名称：</w:t>
            </w:r>
            <w:r>
              <w:rPr>
                <w:rFonts w:hint="eastAsia" w:ascii="仿宋" w:hAnsi="仿宋" w:eastAsia="仿宋" w:cs="仿宋"/>
              </w:rPr>
              <w:t>江苏省伤残人康复中心</w:t>
            </w:r>
          </w:p>
        </w:tc>
        <w:tc>
          <w:tcPr>
            <w:tcW w:w="2954" w:type="dxa"/>
            <w:gridSpan w:val="2"/>
            <w:vAlign w:val="center"/>
          </w:tcPr>
          <w:p>
            <w:pPr>
              <w:pStyle w:val="22"/>
              <w:widowControl w:val="0"/>
              <w:spacing w:before="0" w:after="0"/>
              <w:ind w:firstLine="0"/>
              <w:jc w:val="right"/>
              <w:rPr>
                <w:rFonts w:hint="eastAsia" w:ascii="仿宋" w:hAnsi="仿宋" w:eastAsia="仿宋" w:cs="仿宋"/>
                <w:sz w:val="22"/>
                <w:szCs w:val="22"/>
              </w:rPr>
            </w:pPr>
            <w:r>
              <w:rPr>
                <w:rFonts w:hint="eastAsia" w:ascii="仿宋" w:hAnsi="仿宋" w:eastAsia="仿宋" w:cs="仿宋"/>
                <w:sz w:val="22"/>
                <w:szCs w:val="22"/>
              </w:rPr>
              <w:t>金额单位：万元</w:t>
            </w:r>
          </w:p>
        </w:tc>
      </w:tr>
      <w:tr>
        <w:tblPrEx>
          <w:tblCellMar>
            <w:top w:w="55" w:type="dxa"/>
            <w:left w:w="55" w:type="dxa"/>
            <w:bottom w:w="55" w:type="dxa"/>
            <w:right w:w="55" w:type="dxa"/>
          </w:tblCellMar>
        </w:tblPrEx>
        <w:trPr>
          <w:trHeight w:val="321" w:hRule="atLeast"/>
        </w:trPr>
        <w:tc>
          <w:tcPr>
            <w:tcW w:w="5739"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kern w:val="0"/>
                <w:sz w:val="22"/>
                <w:szCs w:val="22"/>
              </w:rPr>
              <w:t>项目</w:t>
            </w:r>
          </w:p>
        </w:tc>
        <w:tc>
          <w:tcPr>
            <w:tcW w:w="2011" w:type="dxa"/>
            <w:vMerge w:val="restart"/>
            <w:tcBorders>
              <w:top w:val="single" w:color="000000" w:sz="4" w:space="0"/>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本年支出合计</w:t>
            </w:r>
          </w:p>
        </w:tc>
        <w:tc>
          <w:tcPr>
            <w:tcW w:w="1486" w:type="dxa"/>
            <w:vMerge w:val="restart"/>
            <w:tcBorders>
              <w:top w:val="single" w:color="000000" w:sz="4" w:space="0"/>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基本支出</w:t>
            </w:r>
          </w:p>
        </w:tc>
        <w:tc>
          <w:tcPr>
            <w:tcW w:w="1564" w:type="dxa"/>
            <w:vMerge w:val="restart"/>
            <w:tcBorders>
              <w:top w:val="single" w:color="000000" w:sz="4" w:space="0"/>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项目支出</w:t>
            </w:r>
          </w:p>
        </w:tc>
        <w:tc>
          <w:tcPr>
            <w:tcW w:w="1593" w:type="dxa"/>
            <w:vMerge w:val="restart"/>
            <w:tcBorders>
              <w:top w:val="single" w:color="000000" w:sz="4" w:space="0"/>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上缴上级支出</w:t>
            </w:r>
          </w:p>
        </w:tc>
        <w:tc>
          <w:tcPr>
            <w:tcW w:w="1472" w:type="dxa"/>
            <w:vMerge w:val="restart"/>
            <w:tcBorders>
              <w:top w:val="single" w:color="000000" w:sz="4" w:space="0"/>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经营支出</w:t>
            </w:r>
          </w:p>
        </w:tc>
        <w:tc>
          <w:tcPr>
            <w:tcW w:w="1482" w:type="dxa"/>
            <w:vMerge w:val="restart"/>
            <w:tcBorders>
              <w:top w:val="single" w:color="000000" w:sz="4" w:space="0"/>
              <w:left w:val="single" w:color="000000" w:sz="4" w:space="0"/>
              <w:bottom w:val="single" w:color="000000" w:sz="4" w:space="0"/>
              <w:right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对附属单位补助支出</w:t>
            </w:r>
          </w:p>
        </w:tc>
      </w:tr>
      <w:tr>
        <w:tblPrEx>
          <w:tblCellMar>
            <w:top w:w="55" w:type="dxa"/>
            <w:left w:w="55" w:type="dxa"/>
            <w:bottom w:w="55" w:type="dxa"/>
            <w:right w:w="55" w:type="dxa"/>
          </w:tblCellMar>
        </w:tblPrEx>
        <w:trPr>
          <w:trHeight w:val="370" w:hRule="atLeast"/>
        </w:trPr>
        <w:tc>
          <w:tcPr>
            <w:tcW w:w="1556" w:type="dxa"/>
            <w:tcBorders>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kern w:val="0"/>
                <w:sz w:val="22"/>
                <w:szCs w:val="22"/>
              </w:rPr>
            </w:pPr>
            <w:r>
              <w:rPr>
                <w:rFonts w:hint="eastAsia" w:ascii="仿宋" w:hAnsi="仿宋" w:eastAsia="仿宋" w:cs="仿宋"/>
                <w:kern w:val="0"/>
                <w:sz w:val="22"/>
                <w:szCs w:val="22"/>
              </w:rPr>
              <w:t>功能分类</w:t>
            </w:r>
          </w:p>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科目编码</w:t>
            </w:r>
          </w:p>
        </w:tc>
        <w:tc>
          <w:tcPr>
            <w:tcW w:w="4183" w:type="dxa"/>
            <w:tcBorders>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科目名称</w:t>
            </w:r>
          </w:p>
        </w:tc>
        <w:tc>
          <w:tcPr>
            <w:tcW w:w="2011" w:type="dxa"/>
            <w:vMerge w:val="continue"/>
            <w:tcBorders>
              <w:left w:val="single" w:color="000000" w:sz="4" w:space="0"/>
              <w:bottom w:val="single" w:color="000000" w:sz="4" w:space="0"/>
            </w:tcBorders>
          </w:tcPr>
          <w:p>
            <w:pPr>
              <w:widowControl w:val="0"/>
              <w:spacing w:before="0" w:after="0"/>
              <w:jc w:val="left"/>
              <w:rPr>
                <w:rFonts w:hint="eastAsia" w:ascii="仿宋" w:hAnsi="仿宋" w:eastAsia="仿宋" w:cs="仿宋"/>
                <w:sz w:val="22"/>
                <w:szCs w:val="22"/>
              </w:rPr>
            </w:pPr>
          </w:p>
        </w:tc>
        <w:tc>
          <w:tcPr>
            <w:tcW w:w="1486" w:type="dxa"/>
            <w:vMerge w:val="continue"/>
            <w:tcBorders>
              <w:left w:val="single" w:color="000000" w:sz="4" w:space="0"/>
              <w:bottom w:val="single" w:color="000000" w:sz="4" w:space="0"/>
            </w:tcBorders>
          </w:tcPr>
          <w:p>
            <w:pPr>
              <w:widowControl w:val="0"/>
              <w:spacing w:before="0" w:after="0"/>
              <w:jc w:val="left"/>
              <w:rPr>
                <w:rFonts w:hint="eastAsia" w:ascii="仿宋" w:hAnsi="仿宋" w:eastAsia="仿宋" w:cs="仿宋"/>
                <w:sz w:val="22"/>
                <w:szCs w:val="22"/>
              </w:rPr>
            </w:pPr>
          </w:p>
        </w:tc>
        <w:tc>
          <w:tcPr>
            <w:tcW w:w="1564" w:type="dxa"/>
            <w:vMerge w:val="continue"/>
            <w:tcBorders>
              <w:left w:val="single" w:color="000000" w:sz="4" w:space="0"/>
              <w:bottom w:val="single" w:color="000000" w:sz="4" w:space="0"/>
            </w:tcBorders>
          </w:tcPr>
          <w:p>
            <w:pPr>
              <w:widowControl w:val="0"/>
              <w:spacing w:before="0" w:after="0"/>
              <w:jc w:val="left"/>
              <w:rPr>
                <w:rFonts w:hint="eastAsia" w:ascii="仿宋" w:hAnsi="仿宋" w:eastAsia="仿宋" w:cs="仿宋"/>
                <w:sz w:val="22"/>
                <w:szCs w:val="22"/>
              </w:rPr>
            </w:pPr>
          </w:p>
        </w:tc>
        <w:tc>
          <w:tcPr>
            <w:tcW w:w="1593" w:type="dxa"/>
            <w:vMerge w:val="continue"/>
            <w:tcBorders>
              <w:left w:val="single" w:color="000000" w:sz="4" w:space="0"/>
              <w:bottom w:val="single" w:color="000000" w:sz="4" w:space="0"/>
            </w:tcBorders>
          </w:tcPr>
          <w:p>
            <w:pPr>
              <w:widowControl w:val="0"/>
              <w:spacing w:before="0" w:after="0"/>
              <w:jc w:val="left"/>
              <w:rPr>
                <w:rFonts w:hint="eastAsia" w:ascii="仿宋" w:hAnsi="仿宋" w:eastAsia="仿宋" w:cs="仿宋"/>
                <w:sz w:val="22"/>
                <w:szCs w:val="22"/>
              </w:rPr>
            </w:pPr>
          </w:p>
        </w:tc>
        <w:tc>
          <w:tcPr>
            <w:tcW w:w="1472" w:type="dxa"/>
            <w:vMerge w:val="continue"/>
            <w:tcBorders>
              <w:left w:val="single" w:color="000000" w:sz="4" w:space="0"/>
              <w:bottom w:val="single" w:color="000000" w:sz="4" w:space="0"/>
            </w:tcBorders>
          </w:tcPr>
          <w:p>
            <w:pPr>
              <w:widowControl w:val="0"/>
              <w:spacing w:before="0" w:after="0"/>
              <w:jc w:val="left"/>
              <w:rPr>
                <w:rFonts w:hint="eastAsia" w:ascii="仿宋" w:hAnsi="仿宋" w:eastAsia="仿宋" w:cs="仿宋"/>
                <w:sz w:val="22"/>
                <w:szCs w:val="22"/>
              </w:rPr>
            </w:pPr>
          </w:p>
        </w:tc>
        <w:tc>
          <w:tcPr>
            <w:tcW w:w="1482" w:type="dxa"/>
            <w:vMerge w:val="continue"/>
            <w:tcBorders>
              <w:left w:val="single" w:color="000000" w:sz="4" w:space="0"/>
              <w:bottom w:val="single" w:color="000000" w:sz="4" w:space="0"/>
              <w:right w:val="single" w:color="000000" w:sz="4" w:space="0"/>
            </w:tcBorders>
          </w:tcPr>
          <w:p>
            <w:pPr>
              <w:widowControl w:val="0"/>
              <w:spacing w:before="0" w:after="0"/>
              <w:jc w:val="left"/>
              <w:rPr>
                <w:rFonts w:hint="eastAsia" w:ascii="仿宋" w:hAnsi="仿宋" w:eastAsia="仿宋" w:cs="仿宋"/>
                <w:sz w:val="22"/>
                <w:szCs w:val="22"/>
              </w:rPr>
            </w:pPr>
          </w:p>
        </w:tc>
      </w:tr>
      <w:tr>
        <w:tblPrEx>
          <w:tblCellMar>
            <w:top w:w="55" w:type="dxa"/>
            <w:left w:w="55" w:type="dxa"/>
            <w:bottom w:w="55" w:type="dxa"/>
            <w:right w:w="55" w:type="dxa"/>
          </w:tblCellMar>
        </w:tblPrEx>
        <w:trPr>
          <w:trHeight w:val="403" w:hRule="exact"/>
        </w:trPr>
        <w:tc>
          <w:tcPr>
            <w:tcW w:w="5739"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
            </w:r>
            <w:r>
              <w:rPr>
                <w:rFonts w:ascii="仿宋" w:hAnsi="仿宋" w:cs="仿宋" w:eastAsia="仿宋"/>
                <w:sz w:val="22"/>
              </w:rPr>
              <w:t>合计</w:t>
            </w:r>
          </w:p>
        </w:tc>
        <w:tc>
          <w:tcPr>
            <w:tcW w:w="2011"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3,565.98</w:t>
            </w:r>
          </w:p>
        </w:tc>
        <w:tc>
          <w:tcPr>
            <w:tcW w:w="1486"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947.28</w:t>
            </w:r>
          </w:p>
        </w:tc>
        <w:tc>
          <w:tcPr>
            <w:tcW w:w="1564"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950.00</w:t>
            </w:r>
          </w:p>
        </w:tc>
        <w:tc>
          <w:tcPr>
            <w:tcW w:w="1593"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
            </w:r>
          </w:p>
        </w:tc>
        <w:tc>
          <w:tcPr>
            <w:tcW w:w="1472"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1,668.70</w:t>
            </w:r>
          </w:p>
        </w:tc>
        <w:tc>
          <w:tcPr>
            <w:tcW w:w="1482" w:type="dxa"/>
            <w:tcBorders>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
            </w:r>
          </w:p>
        </w:tc>
      </w:tr>
      <w:tr>
        <w:tblPrEx>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206</w:t>
            </w:r>
          </w:p>
        </w:tc>
        <w:tc>
          <w:tcPr>
            <w:tcW w:w="418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科学技术支出</w:t>
            </w:r>
          </w:p>
        </w:tc>
        <w:tc>
          <w:tcPr>
            <w:tcW w:w="2011"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25.00</w:t>
            </w:r>
          </w:p>
        </w:tc>
        <w:tc>
          <w:tcPr>
            <w:tcW w:w="148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
            </w:r>
          </w:p>
        </w:tc>
        <w:tc>
          <w:tcPr>
            <w:tcW w:w="15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25.00</w:t>
            </w:r>
          </w:p>
        </w:tc>
        <w:tc>
          <w:tcPr>
            <w:tcW w:w="159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
            </w:r>
          </w:p>
        </w:tc>
        <w:tc>
          <w:tcPr>
            <w:tcW w:w="147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
            </w:r>
          </w:p>
        </w:tc>
        <w:tc>
          <w:tcPr>
            <w:tcW w:w="148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
            </w:r>
          </w:p>
        </w:tc>
      </w:tr>
      <w:tr>
        <w:tblPrEx>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20609</w:t>
            </w:r>
          </w:p>
        </w:tc>
        <w:tc>
          <w:tcPr>
            <w:tcW w:w="418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科技重大项目</w:t>
            </w:r>
          </w:p>
        </w:tc>
        <w:tc>
          <w:tcPr>
            <w:tcW w:w="2011"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25.00</w:t>
            </w:r>
          </w:p>
        </w:tc>
        <w:tc>
          <w:tcPr>
            <w:tcW w:w="148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
            </w:r>
          </w:p>
        </w:tc>
        <w:tc>
          <w:tcPr>
            <w:tcW w:w="15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25.00</w:t>
            </w:r>
          </w:p>
        </w:tc>
        <w:tc>
          <w:tcPr>
            <w:tcW w:w="159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
            </w:r>
          </w:p>
        </w:tc>
        <w:tc>
          <w:tcPr>
            <w:tcW w:w="147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
            </w:r>
          </w:p>
        </w:tc>
        <w:tc>
          <w:tcPr>
            <w:tcW w:w="148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
            </w:r>
          </w:p>
        </w:tc>
      </w:tr>
      <w:tr>
        <w:tblPrEx>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2060902</w:t>
            </w:r>
          </w:p>
        </w:tc>
        <w:tc>
          <w:tcPr>
            <w:tcW w:w="418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重点研发计划</w:t>
            </w:r>
          </w:p>
        </w:tc>
        <w:tc>
          <w:tcPr>
            <w:tcW w:w="2011"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25.00</w:t>
            </w:r>
          </w:p>
        </w:tc>
        <w:tc>
          <w:tcPr>
            <w:tcW w:w="148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
            </w:r>
          </w:p>
        </w:tc>
        <w:tc>
          <w:tcPr>
            <w:tcW w:w="15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25.00</w:t>
            </w:r>
          </w:p>
        </w:tc>
        <w:tc>
          <w:tcPr>
            <w:tcW w:w="159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
            </w:r>
          </w:p>
        </w:tc>
        <w:tc>
          <w:tcPr>
            <w:tcW w:w="147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
            </w:r>
          </w:p>
        </w:tc>
        <w:tc>
          <w:tcPr>
            <w:tcW w:w="148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
            </w:r>
          </w:p>
        </w:tc>
      </w:tr>
      <w:tr>
        <w:tblPrEx>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208</w:t>
            </w:r>
          </w:p>
        </w:tc>
        <w:tc>
          <w:tcPr>
            <w:tcW w:w="418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社会保障和就业支出</w:t>
            </w:r>
          </w:p>
        </w:tc>
        <w:tc>
          <w:tcPr>
            <w:tcW w:w="2011"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3,034.55</w:t>
            </w:r>
          </w:p>
        </w:tc>
        <w:tc>
          <w:tcPr>
            <w:tcW w:w="148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607.30</w:t>
            </w:r>
          </w:p>
        </w:tc>
        <w:tc>
          <w:tcPr>
            <w:tcW w:w="15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900.00</w:t>
            </w:r>
          </w:p>
        </w:tc>
        <w:tc>
          <w:tcPr>
            <w:tcW w:w="159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
            </w:r>
          </w:p>
        </w:tc>
        <w:tc>
          <w:tcPr>
            <w:tcW w:w="147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1,527.25</w:t>
            </w:r>
          </w:p>
        </w:tc>
        <w:tc>
          <w:tcPr>
            <w:tcW w:w="148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
            </w:r>
          </w:p>
        </w:tc>
      </w:tr>
      <w:tr>
        <w:tblPrEx>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20805</w:t>
            </w:r>
          </w:p>
        </w:tc>
        <w:tc>
          <w:tcPr>
            <w:tcW w:w="418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行政事业单位养老支出</w:t>
            </w:r>
          </w:p>
        </w:tc>
        <w:tc>
          <w:tcPr>
            <w:tcW w:w="2011"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77.37</w:t>
            </w:r>
          </w:p>
        </w:tc>
        <w:tc>
          <w:tcPr>
            <w:tcW w:w="148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77.37</w:t>
            </w:r>
          </w:p>
        </w:tc>
        <w:tc>
          <w:tcPr>
            <w:tcW w:w="15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
            </w:r>
          </w:p>
        </w:tc>
        <w:tc>
          <w:tcPr>
            <w:tcW w:w="159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
            </w:r>
          </w:p>
        </w:tc>
        <w:tc>
          <w:tcPr>
            <w:tcW w:w="147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
            </w:r>
          </w:p>
        </w:tc>
        <w:tc>
          <w:tcPr>
            <w:tcW w:w="148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
            </w:r>
          </w:p>
        </w:tc>
      </w:tr>
      <w:tr>
        <w:tblPrEx>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2080505</w:t>
            </w:r>
          </w:p>
        </w:tc>
        <w:tc>
          <w:tcPr>
            <w:tcW w:w="418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机关事业单位基本养老保险缴费支出</w:t>
            </w:r>
          </w:p>
        </w:tc>
        <w:tc>
          <w:tcPr>
            <w:tcW w:w="2011"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51.58</w:t>
            </w:r>
          </w:p>
        </w:tc>
        <w:tc>
          <w:tcPr>
            <w:tcW w:w="148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51.58</w:t>
            </w:r>
          </w:p>
        </w:tc>
        <w:tc>
          <w:tcPr>
            <w:tcW w:w="15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
            </w:r>
          </w:p>
        </w:tc>
        <w:tc>
          <w:tcPr>
            <w:tcW w:w="159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
            </w:r>
          </w:p>
        </w:tc>
        <w:tc>
          <w:tcPr>
            <w:tcW w:w="147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
            </w:r>
          </w:p>
        </w:tc>
        <w:tc>
          <w:tcPr>
            <w:tcW w:w="148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
            </w:r>
          </w:p>
        </w:tc>
      </w:tr>
      <w:tr>
        <w:tblPrEx>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2080506</w:t>
            </w:r>
          </w:p>
        </w:tc>
        <w:tc>
          <w:tcPr>
            <w:tcW w:w="418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机关事业单位职业年金缴费支出</w:t>
            </w:r>
          </w:p>
        </w:tc>
        <w:tc>
          <w:tcPr>
            <w:tcW w:w="2011"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25.79</w:t>
            </w:r>
          </w:p>
        </w:tc>
        <w:tc>
          <w:tcPr>
            <w:tcW w:w="148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25.79</w:t>
            </w:r>
          </w:p>
        </w:tc>
        <w:tc>
          <w:tcPr>
            <w:tcW w:w="15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
            </w:r>
          </w:p>
        </w:tc>
        <w:tc>
          <w:tcPr>
            <w:tcW w:w="159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
            </w:r>
          </w:p>
        </w:tc>
        <w:tc>
          <w:tcPr>
            <w:tcW w:w="147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
            </w:r>
          </w:p>
        </w:tc>
        <w:tc>
          <w:tcPr>
            <w:tcW w:w="148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
            </w:r>
          </w:p>
        </w:tc>
      </w:tr>
      <w:tr>
        <w:tblPrEx>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20808</w:t>
            </w:r>
          </w:p>
        </w:tc>
        <w:tc>
          <w:tcPr>
            <w:tcW w:w="418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抚恤</w:t>
            </w:r>
          </w:p>
        </w:tc>
        <w:tc>
          <w:tcPr>
            <w:tcW w:w="2011"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2,957.18</w:t>
            </w:r>
          </w:p>
        </w:tc>
        <w:tc>
          <w:tcPr>
            <w:tcW w:w="148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529.93</w:t>
            </w:r>
          </w:p>
        </w:tc>
        <w:tc>
          <w:tcPr>
            <w:tcW w:w="15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900.00</w:t>
            </w:r>
          </w:p>
        </w:tc>
        <w:tc>
          <w:tcPr>
            <w:tcW w:w="159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
            </w:r>
          </w:p>
        </w:tc>
        <w:tc>
          <w:tcPr>
            <w:tcW w:w="147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1,527.25</w:t>
            </w:r>
          </w:p>
        </w:tc>
        <w:tc>
          <w:tcPr>
            <w:tcW w:w="148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
            </w:r>
          </w:p>
        </w:tc>
      </w:tr>
      <w:tr>
        <w:tblPrEx>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2080804</w:t>
            </w:r>
          </w:p>
        </w:tc>
        <w:tc>
          <w:tcPr>
            <w:tcW w:w="418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优抚事业单位支出</w:t>
            </w:r>
          </w:p>
        </w:tc>
        <w:tc>
          <w:tcPr>
            <w:tcW w:w="2011"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2,957.18</w:t>
            </w:r>
          </w:p>
        </w:tc>
        <w:tc>
          <w:tcPr>
            <w:tcW w:w="148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529.93</w:t>
            </w:r>
          </w:p>
        </w:tc>
        <w:tc>
          <w:tcPr>
            <w:tcW w:w="15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900.00</w:t>
            </w:r>
          </w:p>
        </w:tc>
        <w:tc>
          <w:tcPr>
            <w:tcW w:w="159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
            </w:r>
          </w:p>
        </w:tc>
        <w:tc>
          <w:tcPr>
            <w:tcW w:w="147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1,527.25</w:t>
            </w:r>
          </w:p>
        </w:tc>
        <w:tc>
          <w:tcPr>
            <w:tcW w:w="148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
            </w:r>
          </w:p>
        </w:tc>
      </w:tr>
      <w:tr>
        <w:tblPrEx>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221</w:t>
            </w:r>
          </w:p>
        </w:tc>
        <w:tc>
          <w:tcPr>
            <w:tcW w:w="418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住房保障支出</w:t>
            </w:r>
          </w:p>
        </w:tc>
        <w:tc>
          <w:tcPr>
            <w:tcW w:w="2011"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481.43</w:t>
            </w:r>
          </w:p>
        </w:tc>
        <w:tc>
          <w:tcPr>
            <w:tcW w:w="148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339.98</w:t>
            </w:r>
          </w:p>
        </w:tc>
        <w:tc>
          <w:tcPr>
            <w:tcW w:w="15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
            </w:r>
          </w:p>
        </w:tc>
        <w:tc>
          <w:tcPr>
            <w:tcW w:w="159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
            </w:r>
          </w:p>
        </w:tc>
        <w:tc>
          <w:tcPr>
            <w:tcW w:w="147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141.45</w:t>
            </w:r>
          </w:p>
        </w:tc>
        <w:tc>
          <w:tcPr>
            <w:tcW w:w="148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
            </w:r>
          </w:p>
        </w:tc>
      </w:tr>
      <w:tr>
        <w:tblPrEx>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22102</w:t>
            </w:r>
          </w:p>
        </w:tc>
        <w:tc>
          <w:tcPr>
            <w:tcW w:w="418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住房改革支出</w:t>
            </w:r>
          </w:p>
        </w:tc>
        <w:tc>
          <w:tcPr>
            <w:tcW w:w="2011"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481.43</w:t>
            </w:r>
          </w:p>
        </w:tc>
        <w:tc>
          <w:tcPr>
            <w:tcW w:w="148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339.98</w:t>
            </w:r>
          </w:p>
        </w:tc>
        <w:tc>
          <w:tcPr>
            <w:tcW w:w="15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
            </w:r>
          </w:p>
        </w:tc>
        <w:tc>
          <w:tcPr>
            <w:tcW w:w="159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
            </w:r>
          </w:p>
        </w:tc>
        <w:tc>
          <w:tcPr>
            <w:tcW w:w="147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141.45</w:t>
            </w:r>
          </w:p>
        </w:tc>
        <w:tc>
          <w:tcPr>
            <w:tcW w:w="148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
            </w:r>
          </w:p>
        </w:tc>
      </w:tr>
      <w:tr>
        <w:tblPrEx>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2210201</w:t>
            </w:r>
          </w:p>
        </w:tc>
        <w:tc>
          <w:tcPr>
            <w:tcW w:w="418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住房公积金</w:t>
            </w:r>
          </w:p>
        </w:tc>
        <w:tc>
          <w:tcPr>
            <w:tcW w:w="2011"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141.45</w:t>
            </w:r>
          </w:p>
        </w:tc>
        <w:tc>
          <w:tcPr>
            <w:tcW w:w="148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
            </w:r>
          </w:p>
        </w:tc>
        <w:tc>
          <w:tcPr>
            <w:tcW w:w="15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
            </w:r>
          </w:p>
        </w:tc>
        <w:tc>
          <w:tcPr>
            <w:tcW w:w="159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
            </w:r>
          </w:p>
        </w:tc>
        <w:tc>
          <w:tcPr>
            <w:tcW w:w="147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141.45</w:t>
            </w:r>
          </w:p>
        </w:tc>
        <w:tc>
          <w:tcPr>
            <w:tcW w:w="148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
            </w:r>
          </w:p>
        </w:tc>
      </w:tr>
      <w:tr>
        <w:tblPrEx>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2210202</w:t>
            </w:r>
          </w:p>
        </w:tc>
        <w:tc>
          <w:tcPr>
            <w:tcW w:w="418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提租补贴</w:t>
            </w:r>
          </w:p>
        </w:tc>
        <w:tc>
          <w:tcPr>
            <w:tcW w:w="2011"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339.98</w:t>
            </w:r>
          </w:p>
        </w:tc>
        <w:tc>
          <w:tcPr>
            <w:tcW w:w="148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339.98</w:t>
            </w:r>
          </w:p>
        </w:tc>
        <w:tc>
          <w:tcPr>
            <w:tcW w:w="15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
            </w:r>
          </w:p>
        </w:tc>
        <w:tc>
          <w:tcPr>
            <w:tcW w:w="159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
            </w:r>
          </w:p>
        </w:tc>
        <w:tc>
          <w:tcPr>
            <w:tcW w:w="147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
            </w:r>
          </w:p>
        </w:tc>
        <w:tc>
          <w:tcPr>
            <w:tcW w:w="148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
            </w:r>
          </w:p>
        </w:tc>
      </w:tr>
      <w:tr>
        <w:tblPrEx>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229</w:t>
            </w:r>
          </w:p>
        </w:tc>
        <w:tc>
          <w:tcPr>
            <w:tcW w:w="418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其他支出</w:t>
            </w:r>
          </w:p>
        </w:tc>
        <w:tc>
          <w:tcPr>
            <w:tcW w:w="2011"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25.00</w:t>
            </w:r>
          </w:p>
        </w:tc>
        <w:tc>
          <w:tcPr>
            <w:tcW w:w="148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
            </w:r>
          </w:p>
        </w:tc>
        <w:tc>
          <w:tcPr>
            <w:tcW w:w="15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25.00</w:t>
            </w:r>
          </w:p>
        </w:tc>
        <w:tc>
          <w:tcPr>
            <w:tcW w:w="159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
            </w:r>
          </w:p>
        </w:tc>
        <w:tc>
          <w:tcPr>
            <w:tcW w:w="147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
            </w:r>
          </w:p>
        </w:tc>
        <w:tc>
          <w:tcPr>
            <w:tcW w:w="148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
            </w:r>
          </w:p>
        </w:tc>
      </w:tr>
      <w:tr>
        <w:tblPrEx>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22960</w:t>
            </w:r>
          </w:p>
        </w:tc>
        <w:tc>
          <w:tcPr>
            <w:tcW w:w="418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彩票公益金安排的支出</w:t>
            </w:r>
          </w:p>
        </w:tc>
        <w:tc>
          <w:tcPr>
            <w:tcW w:w="2011"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25.00</w:t>
            </w:r>
          </w:p>
        </w:tc>
        <w:tc>
          <w:tcPr>
            <w:tcW w:w="148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
            </w:r>
          </w:p>
        </w:tc>
        <w:tc>
          <w:tcPr>
            <w:tcW w:w="15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25.00</w:t>
            </w:r>
          </w:p>
        </w:tc>
        <w:tc>
          <w:tcPr>
            <w:tcW w:w="159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
            </w:r>
          </w:p>
        </w:tc>
        <w:tc>
          <w:tcPr>
            <w:tcW w:w="147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
            </w:r>
          </w:p>
        </w:tc>
        <w:tc>
          <w:tcPr>
            <w:tcW w:w="148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
            </w:r>
          </w:p>
        </w:tc>
      </w:tr>
      <w:tr>
        <w:tblPrEx>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2296002</w:t>
            </w:r>
          </w:p>
        </w:tc>
        <w:tc>
          <w:tcPr>
            <w:tcW w:w="4183"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用于社会福利的彩票公益金支出</w:t>
            </w:r>
          </w:p>
        </w:tc>
        <w:tc>
          <w:tcPr>
            <w:tcW w:w="2011"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25.00</w:t>
            </w:r>
          </w:p>
        </w:tc>
        <w:tc>
          <w:tcPr>
            <w:tcW w:w="148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
            </w:r>
          </w:p>
        </w:tc>
        <w:tc>
          <w:tcPr>
            <w:tcW w:w="15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25.00</w:t>
            </w:r>
          </w:p>
        </w:tc>
        <w:tc>
          <w:tcPr>
            <w:tcW w:w="159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
            </w:r>
          </w:p>
        </w:tc>
        <w:tc>
          <w:tcPr>
            <w:tcW w:w="147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
            </w:r>
          </w:p>
        </w:tc>
        <w:tc>
          <w:tcPr>
            <w:tcW w:w="1482"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
            </w:r>
          </w:p>
        </w:tc>
      </w:tr>
    </w:tbl>
    <w:p>
      <w:pPr>
        <w:widowControl w:val="0"/>
        <w:suppressAutoHyphens/>
        <w:bidi w:val="0"/>
        <w:spacing w:before="59" w:after="0"/>
        <w:ind w:left="0" w:leftChars="0" w:right="0" w:firstLine="0" w:firstLineChars="0"/>
        <w:jc w:val="left"/>
        <w:rPr>
          <w:rFonts w:hint="eastAsia" w:ascii="仿宋" w:hAnsi="仿宋" w:eastAsia="仿宋" w:cs="仿宋"/>
          <w:b w:val="0"/>
          <w:bCs w:val="0"/>
          <w:sz w:val="22"/>
          <w:szCs w:val="22"/>
        </w:rPr>
      </w:pPr>
      <w:r>
        <w:rPr>
          <w:rFonts w:hint="eastAsia" w:ascii="仿宋" w:hAnsi="仿宋" w:eastAsia="仿宋" w:cs="仿宋"/>
          <w:b w:val="0"/>
          <w:bCs w:val="0"/>
          <w:sz w:val="22"/>
          <w:szCs w:val="22"/>
        </w:rPr>
        <w:t>注：本表反映本年度各项支出情况。</w:t>
      </w:r>
      <w:r>
        <w:rPr>
          <w:rFonts w:hint="eastAsia" w:ascii="仿宋" w:hAnsi="仿宋" w:eastAsia="仿宋" w:cs="仿宋"/>
          <w:b w:val="0"/>
          <w:bCs w:val="0"/>
          <w:sz w:val="22"/>
          <w:szCs w:val="22"/>
          <w:lang w:val="en-US" w:eastAsia="zh-CN"/>
        </w:rPr>
        <w:t/>
      </w:r>
      <w:r>
        <w:rPr>
          <w:rFonts w:hint="eastAsia" w:ascii="仿宋" w:hAnsi="仿宋" w:eastAsia="仿宋" w:cs="仿宋"/>
          <w:b w:val="0"/>
          <w:bCs w:val="0"/>
          <w:sz w:val="22"/>
          <w:szCs w:val="22"/>
        </w:rPr>
        <w:t>本表金额单位转换时可能存在尾数误差。</w:t>
      </w:r>
      <w:r>
        <w:rPr>
          <w:rFonts w:hint="eastAsia" w:ascii="仿宋" w:hAnsi="仿宋" w:eastAsia="仿宋" w:cs="仿宋"/>
          <w:b w:val="0"/>
          <w:bCs w:val="0"/>
          <w:sz w:val="22"/>
          <w:szCs w:val="22"/>
          <w:lang w:val="en-US" w:eastAsia="zh-CN"/>
        </w:rPr>
        <w:t/>
      </w:r>
    </w:p>
    <w:p>
      <w:pPr>
        <w:widowControl w:val="0"/>
        <w:suppressAutoHyphens/>
        <w:bidi w:val="0"/>
        <w:spacing w:before="59" w:after="0"/>
        <w:ind w:left="57" w:right="0" w:firstLine="0"/>
        <w:jc w:val="left"/>
        <w:rPr>
          <w:rFonts w:hint="eastAsia" w:ascii="仿宋" w:hAnsi="仿宋" w:eastAsia="仿宋" w:cs="仿宋"/>
          <w:b w:val="0"/>
          <w:bCs w:val="0"/>
          <w:sz w:val="22"/>
          <w:szCs w:val="22"/>
        </w:rPr>
        <w:sectPr>
          <w:footerReference r:id="rId10" w:type="default"/>
          <w:pgSz w:w="16838" w:h="11906" w:orient="landscape"/>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5372" w:type="dxa"/>
        <w:tblInd w:w="75" w:type="dxa"/>
        <w:tblLayout w:type="fixed"/>
        <w:tblCellMar>
          <w:top w:w="55" w:type="dxa"/>
          <w:left w:w="55" w:type="dxa"/>
          <w:bottom w:w="55" w:type="dxa"/>
          <w:right w:w="55" w:type="dxa"/>
        </w:tblCellMar>
      </w:tblPr>
      <w:tblGrid>
        <w:gridCol w:w="3725"/>
        <w:gridCol w:w="1837"/>
        <w:gridCol w:w="847"/>
        <w:gridCol w:w="1913"/>
        <w:gridCol w:w="907"/>
        <w:gridCol w:w="1728"/>
        <w:gridCol w:w="1194"/>
        <w:gridCol w:w="221"/>
        <w:gridCol w:w="1500"/>
        <w:gridCol w:w="1500"/>
      </w:tblGrid>
      <w:tr>
        <w:tblPrEx>
          <w:tblCellMar>
            <w:top w:w="55" w:type="dxa"/>
            <w:left w:w="55" w:type="dxa"/>
            <w:bottom w:w="55" w:type="dxa"/>
            <w:right w:w="55" w:type="dxa"/>
          </w:tblCellMar>
        </w:tblPrEx>
        <w:trPr>
          <w:trHeight w:val="319" w:hRule="atLeast"/>
        </w:trPr>
        <w:tc>
          <w:tcPr>
            <w:tcW w:w="15372" w:type="dxa"/>
            <w:gridSpan w:val="10"/>
          </w:tcPr>
          <w:p>
            <w:pPr>
              <w:pStyle w:val="22"/>
              <w:widowControl w:val="0"/>
              <w:jc w:val="center"/>
              <w:rPr>
                <w:rFonts w:hint="eastAsia" w:ascii="仿宋" w:hAnsi="仿宋" w:eastAsia="仿宋" w:cs="仿宋"/>
                <w:b/>
                <w:bCs/>
                <w:sz w:val="44"/>
                <w:szCs w:val="44"/>
              </w:rPr>
            </w:pPr>
            <w:r>
              <w:rPr>
                <w:rFonts w:hint="eastAsia" w:ascii="宋体" w:hAnsi="宋体" w:eastAsia="宋体" w:cs="宋体"/>
                <w:b/>
                <w:bCs/>
                <w:color w:val="000000"/>
                <w:kern w:val="0"/>
                <w:sz w:val="36"/>
                <w:szCs w:val="36"/>
                <w:lang w:val="zh-CN" w:eastAsia="ar-SA" w:bidi="zh-CN"/>
              </w:rPr>
              <w:t>财政拨款收入支出决算总表</w:t>
            </w:r>
          </w:p>
        </w:tc>
      </w:tr>
      <w:tr>
        <w:tblPrEx>
          <w:tblCellMar>
            <w:top w:w="55" w:type="dxa"/>
            <w:left w:w="55" w:type="dxa"/>
            <w:bottom w:w="55" w:type="dxa"/>
            <w:right w:w="55" w:type="dxa"/>
          </w:tblCellMar>
        </w:tblPrEx>
        <w:trPr>
          <w:trHeight w:val="319" w:hRule="atLeast"/>
        </w:trPr>
        <w:tc>
          <w:tcPr>
            <w:tcW w:w="5562" w:type="dxa"/>
            <w:gridSpan w:val="2"/>
          </w:tcPr>
          <w:p>
            <w:pPr>
              <w:pStyle w:val="22"/>
              <w:widowControl w:val="0"/>
              <w:rPr>
                <w:rFonts w:hint="eastAsia" w:ascii="仿宋" w:hAnsi="仿宋" w:eastAsia="仿宋" w:cs="仿宋"/>
                <w:sz w:val="20"/>
              </w:rPr>
            </w:pPr>
          </w:p>
        </w:tc>
        <w:tc>
          <w:tcPr>
            <w:tcW w:w="847" w:type="dxa"/>
          </w:tcPr>
          <w:p>
            <w:pPr>
              <w:pStyle w:val="22"/>
              <w:widowControl w:val="0"/>
              <w:rPr>
                <w:rFonts w:hint="eastAsia" w:ascii="仿宋" w:hAnsi="仿宋" w:eastAsia="仿宋" w:cs="仿宋"/>
                <w:sz w:val="20"/>
              </w:rPr>
            </w:pPr>
          </w:p>
        </w:tc>
        <w:tc>
          <w:tcPr>
            <w:tcW w:w="1913" w:type="dxa"/>
          </w:tcPr>
          <w:p>
            <w:pPr>
              <w:pStyle w:val="22"/>
              <w:widowControl w:val="0"/>
              <w:rPr>
                <w:rFonts w:hint="eastAsia" w:ascii="仿宋" w:hAnsi="仿宋" w:eastAsia="仿宋" w:cs="仿宋"/>
                <w:sz w:val="20"/>
              </w:rPr>
            </w:pPr>
          </w:p>
        </w:tc>
        <w:tc>
          <w:tcPr>
            <w:tcW w:w="2635" w:type="dxa"/>
            <w:gridSpan w:val="2"/>
          </w:tcPr>
          <w:p>
            <w:pPr>
              <w:pStyle w:val="22"/>
              <w:widowControl w:val="0"/>
              <w:rPr>
                <w:rFonts w:hint="eastAsia" w:ascii="仿宋" w:hAnsi="仿宋" w:eastAsia="仿宋" w:cs="仿宋"/>
                <w:sz w:val="20"/>
              </w:rPr>
            </w:pPr>
          </w:p>
        </w:tc>
        <w:tc>
          <w:tcPr>
            <w:tcW w:w="1194" w:type="dxa"/>
          </w:tcPr>
          <w:p>
            <w:pPr>
              <w:pStyle w:val="22"/>
              <w:widowControl w:val="0"/>
              <w:rPr>
                <w:rFonts w:hint="eastAsia" w:ascii="仿宋" w:hAnsi="仿宋" w:eastAsia="仿宋" w:cs="仿宋"/>
                <w:sz w:val="20"/>
              </w:rPr>
            </w:pPr>
          </w:p>
        </w:tc>
        <w:tc>
          <w:tcPr>
            <w:tcW w:w="3221" w:type="dxa"/>
            <w:gridSpan w:val="3"/>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公开04表</w:t>
            </w:r>
          </w:p>
        </w:tc>
      </w:tr>
      <w:tr>
        <w:tblPrEx>
          <w:tblCellMar>
            <w:top w:w="55" w:type="dxa"/>
            <w:left w:w="55" w:type="dxa"/>
            <w:bottom w:w="55" w:type="dxa"/>
            <w:right w:w="55" w:type="dxa"/>
          </w:tblCellMar>
        </w:tblPrEx>
        <w:trPr>
          <w:trHeight w:val="319" w:hRule="atLeast"/>
        </w:trPr>
        <w:tc>
          <w:tcPr>
            <w:tcW w:w="12151" w:type="dxa"/>
            <w:gridSpan w:val="7"/>
          </w:tcPr>
          <w:p>
            <w:pPr>
              <w:pStyle w:val="22"/>
              <w:widowControl w:val="0"/>
              <w:jc w:val="left"/>
              <w:rPr>
                <w:rFonts w:hint="eastAsia" w:ascii="仿宋" w:hAnsi="仿宋" w:eastAsia="仿宋" w:cs="仿宋"/>
                <w:sz w:val="22"/>
                <w:szCs w:val="22"/>
              </w:rPr>
            </w:pPr>
            <w:r>
              <w:rPr>
                <w:rFonts w:hint="eastAsia" w:ascii="仿宋" w:hAnsi="仿宋" w:eastAsia="仿宋" w:cs="仿宋"/>
                <w:color w:val="000000"/>
                <w:sz w:val="22"/>
                <w:szCs w:val="22"/>
                <w:lang w:eastAsia="zh-CN"/>
              </w:rPr>
              <w:t>单位</w:t>
            </w:r>
            <w:r>
              <w:rPr>
                <w:rFonts w:ascii="仿宋" w:hAnsi="仿宋" w:cs="仿宋" w:eastAsia="仿宋"/>
                <w:color w:val="000000"/>
                <w:sz w:val="22"/>
              </w:rPr>
              <w:t>名称：</w:t>
            </w:r>
            <w:r>
              <w:rPr>
                <w:rFonts w:hint="eastAsia" w:ascii="仿宋" w:hAnsi="仿宋" w:eastAsia="仿宋" w:cs="仿宋"/>
                <w:sz w:val="22"/>
                <w:szCs w:val="22"/>
              </w:rPr>
              <w:t>江苏省伤残人康复中心</w:t>
            </w:r>
          </w:p>
        </w:tc>
        <w:tc>
          <w:tcPr>
            <w:tcW w:w="3221" w:type="dxa"/>
            <w:gridSpan w:val="3"/>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金额单位：万元</w:t>
            </w:r>
          </w:p>
        </w:tc>
      </w:tr>
      <w:tr>
        <w:tblPrEx>
          <w:tblCellMar>
            <w:top w:w="55" w:type="dxa"/>
            <w:left w:w="55" w:type="dxa"/>
            <w:bottom w:w="55" w:type="dxa"/>
            <w:right w:w="55" w:type="dxa"/>
          </w:tblCellMar>
        </w:tblPrEx>
        <w:trPr>
          <w:trHeight w:val="162" w:hRule="atLeast"/>
        </w:trPr>
        <w:tc>
          <w:tcPr>
            <w:tcW w:w="5562" w:type="dxa"/>
            <w:gridSpan w:val="2"/>
            <w:tcBorders>
              <w:top w:val="single" w:color="000000" w:sz="4" w:space="0"/>
              <w:left w:val="single" w:color="000000" w:sz="4" w:space="0"/>
              <w:bottom w:val="single" w:color="000000" w:sz="4" w:space="0"/>
            </w:tcBorders>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收</w:t>
            </w:r>
            <w:r>
              <w:rPr>
                <w:rFonts w:hint="eastAsia" w:ascii="仿宋" w:hAnsi="仿宋" w:eastAsia="仿宋" w:cs="仿宋"/>
                <w:sz w:val="22"/>
                <w:szCs w:val="22"/>
              </w:rPr>
              <w:tab/>
            </w:r>
            <w:r>
              <w:rPr>
                <w:rFonts w:hint="eastAsia" w:ascii="仿宋" w:hAnsi="仿宋" w:eastAsia="仿宋" w:cs="仿宋"/>
                <w:sz w:val="22"/>
                <w:szCs w:val="22"/>
              </w:rPr>
              <w:t>入</w:t>
            </w:r>
          </w:p>
        </w:tc>
        <w:tc>
          <w:tcPr>
            <w:tcW w:w="9810" w:type="dxa"/>
            <w:gridSpan w:val="8"/>
            <w:tcBorders>
              <w:top w:val="single" w:color="000000" w:sz="4" w:space="0"/>
              <w:left w:val="single" w:color="000000" w:sz="4" w:space="0"/>
              <w:bottom w:val="single" w:color="000000" w:sz="4" w:space="0"/>
              <w:right w:val="single" w:color="000000" w:sz="4" w:space="0"/>
            </w:tcBorders>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支</w:t>
            </w:r>
            <w:r>
              <w:rPr>
                <w:rFonts w:hint="eastAsia" w:ascii="仿宋" w:hAnsi="仿宋" w:eastAsia="仿宋" w:cs="仿宋"/>
                <w:sz w:val="22"/>
                <w:szCs w:val="22"/>
              </w:rPr>
              <w:tab/>
            </w:r>
            <w:r>
              <w:rPr>
                <w:rFonts w:hint="eastAsia" w:ascii="仿宋" w:hAnsi="仿宋" w:eastAsia="仿宋" w:cs="仿宋"/>
                <w:sz w:val="22"/>
                <w:szCs w:val="22"/>
              </w:rPr>
              <w:t>出</w:t>
            </w:r>
          </w:p>
        </w:tc>
      </w:tr>
      <w:tr>
        <w:tblPrEx>
          <w:tblCellMar>
            <w:top w:w="55" w:type="dxa"/>
            <w:left w:w="55" w:type="dxa"/>
            <w:bottom w:w="55" w:type="dxa"/>
            <w:right w:w="55" w:type="dxa"/>
          </w:tblCellMar>
        </w:tblPrEx>
        <w:trPr>
          <w:trHeight w:val="199" w:hRule="atLeast"/>
        </w:trPr>
        <w:tc>
          <w:tcPr>
            <w:tcW w:w="3725" w:type="dxa"/>
            <w:vMerge w:val="restart"/>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项</w:t>
            </w:r>
            <w:r>
              <w:rPr>
                <w:rFonts w:hint="eastAsia" w:ascii="仿宋" w:hAnsi="仿宋" w:eastAsia="仿宋" w:cs="仿宋"/>
                <w:sz w:val="22"/>
                <w:szCs w:val="22"/>
              </w:rPr>
              <w:tab/>
            </w:r>
            <w:r>
              <w:rPr>
                <w:rFonts w:hint="eastAsia" w:ascii="仿宋" w:hAnsi="仿宋" w:eastAsia="仿宋" w:cs="仿宋"/>
                <w:sz w:val="22"/>
                <w:szCs w:val="22"/>
              </w:rPr>
              <w:t>目</w:t>
            </w:r>
          </w:p>
        </w:tc>
        <w:tc>
          <w:tcPr>
            <w:tcW w:w="1837" w:type="dxa"/>
            <w:vMerge w:val="restart"/>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决算数</w:t>
            </w:r>
          </w:p>
        </w:tc>
        <w:tc>
          <w:tcPr>
            <w:tcW w:w="3667" w:type="dxa"/>
            <w:gridSpan w:val="3"/>
            <w:vMerge w:val="restart"/>
            <w:tcBorders>
              <w:left w:val="single" w:color="000000" w:sz="4" w:space="0"/>
              <w:bottom w:val="single" w:color="000000" w:sz="4" w:space="0"/>
            </w:tcBorders>
            <w:vAlign w:val="center"/>
          </w:tcPr>
          <w:p>
            <w:pPr>
              <w:widowControl w:val="0"/>
              <w:jc w:val="center"/>
              <w:rPr>
                <w:rFonts w:hint="eastAsia" w:ascii="仿宋" w:hAnsi="仿宋" w:eastAsia="仿宋" w:cs="仿宋"/>
                <w:sz w:val="22"/>
                <w:szCs w:val="22"/>
              </w:rPr>
            </w:pPr>
            <w:r>
              <w:rPr>
                <w:rFonts w:hint="eastAsia" w:ascii="仿宋" w:hAnsi="仿宋" w:eastAsia="仿宋" w:cs="仿宋"/>
                <w:sz w:val="22"/>
                <w:szCs w:val="22"/>
              </w:rPr>
              <w:t>按功能分类</w:t>
            </w:r>
          </w:p>
        </w:tc>
        <w:tc>
          <w:tcPr>
            <w:tcW w:w="6143" w:type="dxa"/>
            <w:gridSpan w:val="5"/>
            <w:tcBorders>
              <w:left w:val="single" w:color="000000" w:sz="4" w:space="0"/>
              <w:bottom w:val="single" w:color="000000" w:sz="4" w:space="0"/>
              <w:right w:val="single" w:color="000000" w:sz="4" w:space="0"/>
            </w:tcBorders>
            <w:vAlign w:val="center"/>
          </w:tcPr>
          <w:p>
            <w:pPr>
              <w:widowControl w:val="0"/>
              <w:jc w:val="center"/>
              <w:rPr>
                <w:rFonts w:hint="eastAsia" w:ascii="仿宋" w:hAnsi="仿宋" w:eastAsia="仿宋" w:cs="仿宋"/>
                <w:sz w:val="22"/>
                <w:szCs w:val="22"/>
              </w:rPr>
            </w:pPr>
            <w:r>
              <w:rPr>
                <w:rFonts w:hint="eastAsia" w:ascii="仿宋" w:hAnsi="仿宋" w:eastAsia="仿宋" w:cs="仿宋"/>
                <w:sz w:val="22"/>
                <w:szCs w:val="22"/>
              </w:rPr>
              <w:t>决算数</w:t>
            </w:r>
          </w:p>
        </w:tc>
      </w:tr>
      <w:tr>
        <w:tblPrEx>
          <w:tblCellMar>
            <w:top w:w="55" w:type="dxa"/>
            <w:left w:w="55" w:type="dxa"/>
            <w:bottom w:w="55" w:type="dxa"/>
            <w:right w:w="55" w:type="dxa"/>
          </w:tblCellMar>
        </w:tblPrEx>
        <w:trPr>
          <w:trHeight w:val="578" w:hRule="atLeast"/>
        </w:trPr>
        <w:tc>
          <w:tcPr>
            <w:tcW w:w="3725" w:type="dxa"/>
            <w:vMerge w:val="continue"/>
            <w:tcBorders>
              <w:left w:val="single" w:color="000000" w:sz="4" w:space="0"/>
              <w:bottom w:val="single" w:color="000000" w:sz="4" w:space="0"/>
            </w:tcBorders>
          </w:tcPr>
          <w:p>
            <w:pPr>
              <w:pStyle w:val="22"/>
              <w:widowControl w:val="0"/>
              <w:rPr>
                <w:rFonts w:hint="eastAsia" w:ascii="仿宋" w:hAnsi="仿宋" w:eastAsia="仿宋" w:cs="仿宋"/>
                <w:sz w:val="22"/>
                <w:szCs w:val="22"/>
              </w:rPr>
            </w:pPr>
          </w:p>
        </w:tc>
        <w:tc>
          <w:tcPr>
            <w:tcW w:w="1837" w:type="dxa"/>
            <w:vMerge w:val="continue"/>
            <w:tcBorders>
              <w:left w:val="single" w:color="000000" w:sz="4" w:space="0"/>
              <w:bottom w:val="single" w:color="000000" w:sz="4" w:space="0"/>
            </w:tcBorders>
          </w:tcPr>
          <w:p>
            <w:pPr>
              <w:pStyle w:val="22"/>
              <w:widowControl w:val="0"/>
              <w:rPr>
                <w:rFonts w:hint="eastAsia" w:ascii="仿宋" w:hAnsi="仿宋" w:eastAsia="仿宋" w:cs="仿宋"/>
                <w:sz w:val="22"/>
                <w:szCs w:val="22"/>
              </w:rPr>
            </w:pPr>
          </w:p>
        </w:tc>
        <w:tc>
          <w:tcPr>
            <w:tcW w:w="3667" w:type="dxa"/>
            <w:gridSpan w:val="3"/>
            <w:vMerge w:val="continue"/>
            <w:tcBorders>
              <w:left w:val="single" w:color="000000" w:sz="4" w:space="0"/>
              <w:bottom w:val="single" w:color="000000" w:sz="4" w:space="0"/>
            </w:tcBorders>
          </w:tcPr>
          <w:p>
            <w:pPr>
              <w:pStyle w:val="22"/>
              <w:widowControl w:val="0"/>
              <w:rPr>
                <w:rFonts w:hint="eastAsia" w:ascii="仿宋" w:hAnsi="仿宋" w:eastAsia="仿宋" w:cs="仿宋"/>
                <w:sz w:val="22"/>
                <w:szCs w:val="22"/>
              </w:rPr>
            </w:pPr>
          </w:p>
        </w:tc>
        <w:tc>
          <w:tcPr>
            <w:tcW w:w="1728"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
            </w:r>
            <w:r>
              <w:rPr>
                <w:rFonts w:ascii="仿宋" w:hAnsi="仿宋" w:cs="仿宋" w:eastAsia="仿宋"/>
                <w:sz w:val="22"/>
              </w:rPr>
              <w:t>小计</w:t>
            </w:r>
          </w:p>
        </w:tc>
        <w:tc>
          <w:tcPr>
            <w:tcW w:w="1415"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一般公共预算财政拨款</w:t>
            </w:r>
          </w:p>
        </w:tc>
        <w:tc>
          <w:tcPr>
            <w:tcW w:w="1500"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政府性基金预算财政拨款</w:t>
            </w:r>
          </w:p>
        </w:tc>
        <w:tc>
          <w:tcPr>
            <w:tcW w:w="1500" w:type="dxa"/>
            <w:tcBorders>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国有资本经营预算财政拨款</w:t>
            </w:r>
          </w:p>
        </w:tc>
      </w:tr>
      <w:tr>
        <w:tblPrEx>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一、一般公共预算财政拨款收入</w:t>
            </w: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1,897.28</w:t>
            </w: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一、一般公共服务支出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二、政府性基金预算财政拨款收入</w:t>
            </w: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130.00</w:t>
            </w: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二、外交支出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三、国有资本经营预算财政拨款收入</w:t>
            </w: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三、国防支出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
            </w: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四、公共安全支出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
            </w: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五、教育支出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
            </w: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六、科学技术支出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25.00</w:t>
            </w: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25.00</w:t>
            </w: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
            </w: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七、文化旅游体育与传媒支出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
            </w: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八、社会保障和就业支出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1,507.30</w:t>
            </w: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1,507.30</w:t>
            </w: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
            </w: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九、卫生健康支出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
            </w: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十、节能环保支出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
            </w: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十一、城乡社区支出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
            </w: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十二、农林水支出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
            </w: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十三、交通运输支出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
            </w: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十四、资源勘探工业信息等支出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
            </w: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十五、商业服务业等支出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
            </w: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十六、金融支出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
            </w: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十七、援助其他地区支出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
            </w: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十八、自然资源海洋气象等支出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
            </w: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十九、住房保障支出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339.98</w:t>
            </w: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339.98</w:t>
            </w: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
            </w: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二十、粮油物资储备支出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
            </w: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二十一、国有资本经营预算支出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
            </w: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二十二、灾害防治及应急管理支出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
            </w: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二十三、其他支出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25.00</w:t>
            </w: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25.00</w:t>
            </w: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
            </w: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二十四、债务还本支出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
            </w: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二十五、债务付息支出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
            </w: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二十六、抗疫特别国债安排的支出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trHeight w:val="359" w:hRule="exact"/>
        </w:trPr>
        <w:tc>
          <w:tcPr>
            <w:tcW w:w="3725" w:type="dxa"/>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
            </w:r>
            <w:r>
              <w:rPr>
                <w:rFonts w:hint="eastAsia" w:ascii="仿宋" w:hAnsi="仿宋" w:eastAsia="仿宋" w:cs="仿宋"/>
                <w:b/>
                <w:bCs/>
                <w:sz w:val="22"/>
                <w:szCs w:val="22"/>
              </w:rPr>
              <w:t>本年收入合计</w:t>
            </w:r>
          </w:p>
        </w:tc>
        <w:tc>
          <w:tcPr>
            <w:tcW w:w="1837" w:type="dxa"/>
            <w:tcBorders>
              <w:top w:val="single" w:color="000000" w:sz="4" w:space="0"/>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2,027.28</w:t>
            </w:r>
          </w:p>
        </w:tc>
        <w:tc>
          <w:tcPr>
            <w:tcW w:w="3667" w:type="dxa"/>
            <w:gridSpan w:val="3"/>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b/>
                <w:bCs/>
                <w:sz w:val="22"/>
                <w:szCs w:val="22"/>
              </w:rPr>
              <w:t>本年支出合计</w:t>
            </w:r>
          </w:p>
        </w:tc>
        <w:tc>
          <w:tcPr>
            <w:tcW w:w="1728" w:type="dxa"/>
            <w:tcBorders>
              <w:top w:val="single" w:color="000000" w:sz="4" w:space="0"/>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1,897.28</w:t>
            </w:r>
          </w:p>
        </w:tc>
        <w:tc>
          <w:tcPr>
            <w:tcW w:w="1415" w:type="dxa"/>
            <w:gridSpan w:val="2"/>
            <w:tcBorders>
              <w:top w:val="single" w:color="000000" w:sz="4" w:space="0"/>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1,872.28</w:t>
            </w:r>
          </w:p>
        </w:tc>
        <w:tc>
          <w:tcPr>
            <w:tcW w:w="1500" w:type="dxa"/>
            <w:tcBorders>
              <w:top w:val="single" w:color="000000" w:sz="4" w:space="0"/>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25.00</w:t>
            </w:r>
          </w:p>
        </w:tc>
        <w:tc>
          <w:tcPr>
            <w:tcW w:w="1500"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trHeight w:val="242" w:hRule="atLeast"/>
        </w:trPr>
        <w:tc>
          <w:tcPr>
            <w:tcW w:w="3725" w:type="dxa"/>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年初财政拨款结转和结余</w:t>
            </w:r>
          </w:p>
        </w:tc>
        <w:tc>
          <w:tcPr>
            <w:tcW w:w="1837"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667" w:type="dxa"/>
            <w:gridSpan w:val="3"/>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年末财政拨款结转和结余</w:t>
            </w:r>
          </w:p>
        </w:tc>
        <w:tc>
          <w:tcPr>
            <w:tcW w:w="1728"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130.00</w:t>
            </w:r>
          </w:p>
        </w:tc>
        <w:tc>
          <w:tcPr>
            <w:tcW w:w="1415" w:type="dxa"/>
            <w:gridSpan w:val="2"/>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25.00</w:t>
            </w:r>
          </w:p>
        </w:tc>
        <w:tc>
          <w:tcPr>
            <w:tcW w:w="150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105.00</w:t>
            </w:r>
          </w:p>
        </w:tc>
        <w:tc>
          <w:tcPr>
            <w:tcW w:w="1500"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trHeight w:val="242" w:hRule="atLeast"/>
        </w:trPr>
        <w:tc>
          <w:tcPr>
            <w:tcW w:w="3725" w:type="dxa"/>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一、一般公共预算财政拨款</w:t>
            </w:r>
          </w:p>
        </w:tc>
        <w:tc>
          <w:tcPr>
            <w:tcW w:w="1837"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667" w:type="dxa"/>
            <w:gridSpan w:val="3"/>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
            </w:r>
          </w:p>
        </w:tc>
        <w:tc>
          <w:tcPr>
            <w:tcW w:w="1728"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415" w:type="dxa"/>
            <w:gridSpan w:val="2"/>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50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500"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trHeight w:val="242" w:hRule="atLeast"/>
        </w:trPr>
        <w:tc>
          <w:tcPr>
            <w:tcW w:w="3725" w:type="dxa"/>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二、政府性基金预算财政拨款</w:t>
            </w:r>
          </w:p>
        </w:tc>
        <w:tc>
          <w:tcPr>
            <w:tcW w:w="1837"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667" w:type="dxa"/>
            <w:gridSpan w:val="3"/>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
            </w:r>
          </w:p>
        </w:tc>
        <w:tc>
          <w:tcPr>
            <w:tcW w:w="1728"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415" w:type="dxa"/>
            <w:gridSpan w:val="2"/>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50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500"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trHeight w:val="242" w:hRule="atLeast"/>
        </w:trPr>
        <w:tc>
          <w:tcPr>
            <w:tcW w:w="3725" w:type="dxa"/>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三、国有资本经营预算财政拨款</w:t>
            </w:r>
          </w:p>
        </w:tc>
        <w:tc>
          <w:tcPr>
            <w:tcW w:w="1837"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667" w:type="dxa"/>
            <w:gridSpan w:val="3"/>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
            </w:r>
          </w:p>
        </w:tc>
        <w:tc>
          <w:tcPr>
            <w:tcW w:w="1728"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415" w:type="dxa"/>
            <w:gridSpan w:val="2"/>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50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500"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322" w:hRule="exact"/>
        </w:trPr>
        <w:tc>
          <w:tcPr>
            <w:tcW w:w="3725"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b/>
                <w:bCs/>
                <w:sz w:val="22"/>
                <w:szCs w:val="22"/>
              </w:rPr>
              <w:t>总计</w:t>
            </w:r>
          </w:p>
        </w:tc>
        <w:tc>
          <w:tcPr>
            <w:tcW w:w="1837"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2,027.28</w:t>
            </w:r>
          </w:p>
        </w:tc>
        <w:tc>
          <w:tcPr>
            <w:tcW w:w="3667" w:type="dxa"/>
            <w:gridSpan w:val="3"/>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b/>
                <w:bCs/>
                <w:sz w:val="22"/>
                <w:szCs w:val="22"/>
              </w:rPr>
              <w:t>总计</w:t>
            </w:r>
          </w:p>
        </w:tc>
        <w:tc>
          <w:tcPr>
            <w:tcW w:w="1728"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2,027.28</w:t>
            </w:r>
          </w:p>
        </w:tc>
        <w:tc>
          <w:tcPr>
            <w:tcW w:w="1415" w:type="dxa"/>
            <w:gridSpan w:val="2"/>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1,897.28</w:t>
            </w:r>
          </w:p>
        </w:tc>
        <w:tc>
          <w:tcPr>
            <w:tcW w:w="1500"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130.00</w:t>
            </w:r>
          </w:p>
        </w:tc>
        <w:tc>
          <w:tcPr>
            <w:tcW w:w="1500" w:type="dxa"/>
            <w:tcBorders>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
            </w:r>
          </w:p>
        </w:tc>
      </w:tr>
    </w:tbl>
    <w:p>
      <w:pPr>
        <w:ind w:left="0" w:leftChars="0" w:firstLine="0" w:firstLineChars="0"/>
        <w:jc w:val="both"/>
        <w:rPr>
          <w:rFonts w:hint="eastAsia" w:ascii="仿宋" w:hAnsi="仿宋" w:eastAsia="仿宋" w:cs="仿宋"/>
          <w:b w:val="0"/>
          <w:bCs w:val="0"/>
        </w:rPr>
      </w:pPr>
      <w:r>
        <w:rPr>
          <w:rFonts w:hint="eastAsia" w:ascii="仿宋" w:hAnsi="仿宋" w:eastAsia="仿宋" w:cs="仿宋"/>
          <w:b w:val="0"/>
          <w:bCs w:val="0"/>
          <w:lang w:val="en-US" w:eastAsia="zh-CN"/>
        </w:rPr>
        <w:t>注：</w:t>
      </w:r>
      <w:r>
        <w:rPr>
          <w:rFonts w:hint="eastAsia" w:ascii="仿宋" w:hAnsi="仿宋" w:eastAsia="仿宋" w:cs="仿宋"/>
          <w:b w:val="0"/>
          <w:bCs w:val="0"/>
        </w:rPr>
        <w:t>本表反映本年度一般公共预算财政拨款、政府性基金预算财政拨款和国有资本经营预算财政拨款的总收支和年末结转结余情况。</w:t>
      </w:r>
      <w:r>
        <w:rPr>
          <w:rFonts w:hint="eastAsia" w:ascii="仿宋" w:hAnsi="仿宋" w:eastAsia="仿宋" w:cs="仿宋"/>
          <w:b w:val="0"/>
          <w:bCs w:val="0"/>
          <w:sz w:val="22"/>
          <w:szCs w:val="22"/>
          <w:lang w:val="en-US" w:eastAsia="zh-CN"/>
        </w:rPr>
        <w:t/>
      </w:r>
      <w:r>
        <w:rPr>
          <w:rFonts w:hint="eastAsia" w:ascii="仿宋" w:hAnsi="仿宋" w:eastAsia="仿宋" w:cs="仿宋"/>
          <w:b w:val="0"/>
          <w:bCs w:val="0"/>
        </w:rPr>
        <w:t>本表金额单位转换时可能存在尾数误差。</w:t>
      </w:r>
      <w:r>
        <w:rPr>
          <w:rFonts w:hint="eastAsia" w:ascii="仿宋" w:hAnsi="仿宋" w:eastAsia="仿宋" w:cs="仿宋"/>
          <w:b w:val="0"/>
          <w:bCs w:val="0"/>
          <w:sz w:val="22"/>
          <w:szCs w:val="22"/>
          <w:lang w:val="en-US" w:eastAsia="zh-CN"/>
        </w:rPr>
        <w:t/>
      </w:r>
    </w:p>
    <w:p>
      <w:pPr>
        <w:jc w:val="both"/>
        <w:rPr>
          <w:rFonts w:hint="eastAsia" w:ascii="仿宋" w:hAnsi="仿宋" w:eastAsia="仿宋" w:cs="仿宋"/>
          <w:b w:val="0"/>
          <w:bCs w:val="0"/>
        </w:rPr>
        <w:sectPr>
          <w:footerReference r:id="rId11" w:type="default"/>
          <w:pgSz w:w="16838" w:h="11906" w:orient="landscape"/>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5417" w:type="dxa"/>
        <w:tblInd w:w="44" w:type="dxa"/>
        <w:tblLayout w:type="fixed"/>
        <w:tblCellMar>
          <w:top w:w="55" w:type="dxa"/>
          <w:left w:w="55" w:type="dxa"/>
          <w:bottom w:w="55" w:type="dxa"/>
          <w:right w:w="55" w:type="dxa"/>
        </w:tblCellMar>
      </w:tblPr>
      <w:tblGrid>
        <w:gridCol w:w="1278"/>
        <w:gridCol w:w="5022"/>
        <w:gridCol w:w="3184"/>
        <w:gridCol w:w="2778"/>
        <w:gridCol w:w="3155"/>
      </w:tblGrid>
      <w:tr>
        <w:tblPrEx>
          <w:tblCellMar>
            <w:top w:w="55" w:type="dxa"/>
            <w:left w:w="55" w:type="dxa"/>
            <w:bottom w:w="55" w:type="dxa"/>
            <w:right w:w="55" w:type="dxa"/>
          </w:tblCellMar>
        </w:tblPrEx>
        <w:trPr>
          <w:trHeight w:val="321" w:hRule="atLeast"/>
        </w:trPr>
        <w:tc>
          <w:tcPr>
            <w:tcW w:w="15417" w:type="dxa"/>
            <w:gridSpan w:val="5"/>
            <w:vAlign w:val="center"/>
          </w:tcPr>
          <w:p>
            <w:pPr>
              <w:pStyle w:val="22"/>
              <w:widowControl w:val="0"/>
              <w:jc w:val="center"/>
              <w:rPr>
                <w:rFonts w:hint="eastAsia" w:ascii="仿宋" w:hAnsi="仿宋" w:eastAsia="仿宋" w:cs="仿宋"/>
                <w:b/>
                <w:bCs/>
                <w:sz w:val="44"/>
                <w:szCs w:val="44"/>
              </w:rPr>
            </w:pPr>
            <w:r>
              <w:rPr>
                <w:rFonts w:hint="eastAsia" w:ascii="宋体" w:hAnsi="宋体" w:eastAsia="宋体" w:cs="宋体"/>
                <w:b/>
                <w:bCs/>
                <w:color w:val="000000"/>
                <w:kern w:val="0"/>
                <w:sz w:val="36"/>
                <w:szCs w:val="36"/>
                <w:lang w:val="zh-CN" w:eastAsia="ar-SA" w:bidi="zh-CN"/>
              </w:rPr>
              <w:t>财政拨款支出决算表（功能科目）</w:t>
            </w:r>
          </w:p>
        </w:tc>
      </w:tr>
      <w:tr>
        <w:tblPrEx>
          <w:tblCellMar>
            <w:top w:w="55" w:type="dxa"/>
            <w:left w:w="55" w:type="dxa"/>
            <w:bottom w:w="55" w:type="dxa"/>
            <w:right w:w="55" w:type="dxa"/>
          </w:tblCellMar>
        </w:tblPrEx>
        <w:trPr>
          <w:trHeight w:val="321" w:hRule="atLeast"/>
        </w:trPr>
        <w:tc>
          <w:tcPr>
            <w:tcW w:w="6300" w:type="dxa"/>
            <w:gridSpan w:val="2"/>
          </w:tcPr>
          <w:p>
            <w:pPr>
              <w:pStyle w:val="22"/>
              <w:widowControl w:val="0"/>
              <w:rPr>
                <w:rFonts w:hint="eastAsia" w:ascii="仿宋" w:hAnsi="仿宋" w:eastAsia="仿宋" w:cs="仿宋"/>
                <w:sz w:val="20"/>
              </w:rPr>
            </w:pPr>
          </w:p>
        </w:tc>
        <w:tc>
          <w:tcPr>
            <w:tcW w:w="3184" w:type="dxa"/>
          </w:tcPr>
          <w:p>
            <w:pPr>
              <w:pStyle w:val="22"/>
              <w:widowControl w:val="0"/>
              <w:rPr>
                <w:rFonts w:hint="eastAsia" w:ascii="仿宋" w:hAnsi="仿宋" w:eastAsia="仿宋" w:cs="仿宋"/>
                <w:sz w:val="27"/>
              </w:rPr>
            </w:pPr>
          </w:p>
        </w:tc>
        <w:tc>
          <w:tcPr>
            <w:tcW w:w="5933" w:type="dxa"/>
            <w:gridSpan w:val="2"/>
            <w:vAlign w:val="center"/>
          </w:tcPr>
          <w:p>
            <w:pPr>
              <w:pStyle w:val="22"/>
              <w:widowControl w:val="0"/>
              <w:jc w:val="right"/>
              <w:rPr>
                <w:rFonts w:hint="eastAsia" w:ascii="仿宋" w:hAnsi="仿宋" w:eastAsia="仿宋" w:cs="仿宋"/>
                <w:sz w:val="27"/>
              </w:rPr>
            </w:pPr>
            <w:r>
              <w:rPr>
                <w:rFonts w:hint="eastAsia" w:ascii="仿宋" w:hAnsi="仿宋" w:eastAsia="仿宋" w:cs="仿宋"/>
              </w:rPr>
              <w:t>公开05表</w:t>
            </w:r>
          </w:p>
        </w:tc>
      </w:tr>
      <w:tr>
        <w:tblPrEx>
          <w:tblCellMar>
            <w:top w:w="55" w:type="dxa"/>
            <w:left w:w="55" w:type="dxa"/>
            <w:bottom w:w="55" w:type="dxa"/>
            <w:right w:w="55" w:type="dxa"/>
          </w:tblCellMar>
        </w:tblPrEx>
        <w:trPr>
          <w:trHeight w:val="288" w:hRule="atLeast"/>
        </w:trPr>
        <w:tc>
          <w:tcPr>
            <w:tcW w:w="6300" w:type="dxa"/>
            <w:gridSpan w:val="2"/>
          </w:tcPr>
          <w:p>
            <w:pPr>
              <w:pStyle w:val="22"/>
              <w:widowControl w:val="0"/>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cs="仿宋" w:eastAsia="仿宋"/>
                <w:color w:val="000000"/>
                <w:sz w:val="22"/>
              </w:rPr>
              <w:t>名称：</w:t>
            </w:r>
            <w:r>
              <w:rPr>
                <w:rFonts w:hint="eastAsia" w:ascii="仿宋" w:hAnsi="仿宋" w:eastAsia="仿宋" w:cs="仿宋"/>
              </w:rPr>
              <w:t>江苏省伤残人康复中心</w:t>
            </w:r>
          </w:p>
        </w:tc>
        <w:tc>
          <w:tcPr>
            <w:tcW w:w="3184" w:type="dxa"/>
          </w:tcPr>
          <w:p>
            <w:pPr>
              <w:pStyle w:val="22"/>
              <w:widowControl w:val="0"/>
              <w:rPr>
                <w:rFonts w:hint="eastAsia" w:ascii="仿宋" w:hAnsi="仿宋" w:eastAsia="仿宋" w:cs="仿宋"/>
                <w:sz w:val="27"/>
              </w:rPr>
            </w:pPr>
          </w:p>
        </w:tc>
        <w:tc>
          <w:tcPr>
            <w:tcW w:w="2778" w:type="dxa"/>
            <w:vAlign w:val="center"/>
          </w:tcPr>
          <w:p>
            <w:pPr>
              <w:pStyle w:val="22"/>
              <w:widowControl w:val="0"/>
              <w:jc w:val="right"/>
              <w:rPr>
                <w:rFonts w:hint="eastAsia" w:ascii="仿宋" w:hAnsi="仿宋" w:eastAsia="仿宋" w:cs="仿宋"/>
                <w:sz w:val="27"/>
              </w:rPr>
            </w:pPr>
          </w:p>
        </w:tc>
        <w:tc>
          <w:tcPr>
            <w:tcW w:w="3155" w:type="dxa"/>
            <w:vAlign w:val="center"/>
          </w:tcPr>
          <w:p>
            <w:pPr>
              <w:pStyle w:val="22"/>
              <w:widowControl w:val="0"/>
              <w:jc w:val="right"/>
              <w:rPr>
                <w:rFonts w:hint="eastAsia" w:ascii="仿宋" w:hAnsi="仿宋" w:eastAsia="仿宋" w:cs="仿宋"/>
                <w:sz w:val="27"/>
              </w:rPr>
            </w:pPr>
            <w:r>
              <w:rPr>
                <w:rFonts w:hint="eastAsia" w:ascii="仿宋" w:hAnsi="仿宋" w:eastAsia="仿宋" w:cs="仿宋"/>
              </w:rPr>
              <w:t>金额单位：万元</w:t>
            </w:r>
          </w:p>
        </w:tc>
      </w:tr>
      <w:tr>
        <w:tblPrEx>
          <w:tblCellMar>
            <w:top w:w="55" w:type="dxa"/>
            <w:left w:w="55" w:type="dxa"/>
            <w:bottom w:w="55" w:type="dxa"/>
            <w:right w:w="55" w:type="dxa"/>
          </w:tblCellMar>
        </w:tblPrEx>
        <w:trPr>
          <w:trHeight w:val="319" w:hRule="atLeast"/>
        </w:trPr>
        <w:tc>
          <w:tcPr>
            <w:tcW w:w="6300" w:type="dxa"/>
            <w:gridSpan w:val="2"/>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项</w:t>
            </w:r>
            <w:r>
              <w:rPr>
                <w:rFonts w:hint="eastAsia" w:ascii="仿宋" w:hAnsi="仿宋" w:eastAsia="仿宋" w:cs="仿宋"/>
                <w:sz w:val="22"/>
                <w:szCs w:val="22"/>
              </w:rPr>
              <w:tab/>
            </w:r>
            <w:r>
              <w:rPr>
                <w:rFonts w:hint="eastAsia" w:ascii="仿宋" w:hAnsi="仿宋" w:eastAsia="仿宋" w:cs="仿宋"/>
                <w:sz w:val="22"/>
                <w:szCs w:val="22"/>
              </w:rPr>
              <w:t>目</w:t>
            </w:r>
          </w:p>
        </w:tc>
        <w:tc>
          <w:tcPr>
            <w:tcW w:w="3184" w:type="dxa"/>
            <w:vMerge w:val="restart"/>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本年支出合计</w:t>
            </w:r>
          </w:p>
        </w:tc>
        <w:tc>
          <w:tcPr>
            <w:tcW w:w="2778" w:type="dxa"/>
            <w:vMerge w:val="restart"/>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基本支出</w:t>
            </w:r>
          </w:p>
        </w:tc>
        <w:tc>
          <w:tcPr>
            <w:tcW w:w="3155" w:type="dxa"/>
            <w:vMerge w:val="restart"/>
            <w:tcBorders>
              <w:top w:val="single" w:color="000000" w:sz="6" w:space="0"/>
              <w:left w:val="single" w:color="000000" w:sz="6" w:space="0"/>
              <w:bottom w:val="single" w:color="000000" w:sz="6" w:space="0"/>
              <w:right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项目支出</w:t>
            </w:r>
          </w:p>
        </w:tc>
      </w:tr>
      <w:tr>
        <w:tblPrEx>
          <w:tblCellMar>
            <w:top w:w="55" w:type="dxa"/>
            <w:left w:w="55" w:type="dxa"/>
            <w:bottom w:w="55" w:type="dxa"/>
            <w:right w:w="55" w:type="dxa"/>
          </w:tblCellMar>
        </w:tblPrEx>
        <w:trPr>
          <w:trHeight w:val="341" w:hRule="atLeast"/>
        </w:trPr>
        <w:tc>
          <w:tcPr>
            <w:tcW w:w="1278"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功能分类</w:t>
            </w:r>
          </w:p>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科目编码</w:t>
            </w:r>
          </w:p>
        </w:tc>
        <w:tc>
          <w:tcPr>
            <w:tcW w:w="5022"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科目名称</w:t>
            </w:r>
          </w:p>
        </w:tc>
        <w:tc>
          <w:tcPr>
            <w:tcW w:w="3184" w:type="dxa"/>
            <w:vMerge w:val="continue"/>
            <w:tcBorders>
              <w:left w:val="single" w:color="000000" w:sz="6" w:space="0"/>
              <w:bottom w:val="single" w:color="000000" w:sz="6" w:space="0"/>
            </w:tcBorders>
          </w:tcPr>
          <w:p>
            <w:pPr>
              <w:widowControl w:val="0"/>
              <w:jc w:val="left"/>
              <w:rPr>
                <w:rFonts w:hint="eastAsia" w:ascii="仿宋" w:hAnsi="仿宋" w:eastAsia="仿宋" w:cs="仿宋"/>
                <w:sz w:val="22"/>
                <w:szCs w:val="22"/>
              </w:rPr>
            </w:pPr>
          </w:p>
        </w:tc>
        <w:tc>
          <w:tcPr>
            <w:tcW w:w="2778" w:type="dxa"/>
            <w:vMerge w:val="continue"/>
            <w:tcBorders>
              <w:left w:val="single" w:color="000000" w:sz="6" w:space="0"/>
              <w:bottom w:val="single" w:color="000000" w:sz="6" w:space="0"/>
            </w:tcBorders>
          </w:tcPr>
          <w:p>
            <w:pPr>
              <w:widowControl w:val="0"/>
              <w:jc w:val="left"/>
              <w:rPr>
                <w:rFonts w:hint="eastAsia" w:ascii="仿宋" w:hAnsi="仿宋" w:eastAsia="仿宋" w:cs="仿宋"/>
                <w:sz w:val="22"/>
                <w:szCs w:val="22"/>
              </w:rPr>
            </w:pPr>
          </w:p>
        </w:tc>
        <w:tc>
          <w:tcPr>
            <w:tcW w:w="3155" w:type="dxa"/>
            <w:vMerge w:val="continue"/>
            <w:tcBorders>
              <w:left w:val="single" w:color="000000" w:sz="6" w:space="0"/>
              <w:bottom w:val="single" w:color="000000" w:sz="6" w:space="0"/>
              <w:right w:val="single" w:color="000000" w:sz="6" w:space="0"/>
            </w:tcBorders>
          </w:tcPr>
          <w:p>
            <w:pPr>
              <w:widowControl w:val="0"/>
              <w:jc w:val="left"/>
              <w:rPr>
                <w:rFonts w:hint="eastAsia" w:ascii="仿宋" w:hAnsi="仿宋" w:eastAsia="仿宋" w:cs="仿宋"/>
                <w:sz w:val="22"/>
                <w:szCs w:val="22"/>
              </w:rPr>
            </w:pPr>
          </w:p>
        </w:tc>
      </w:tr>
      <w:tr>
        <w:tblPrEx>
          <w:tblCellMar>
            <w:top w:w="55" w:type="dxa"/>
            <w:left w:w="55" w:type="dxa"/>
            <w:bottom w:w="55" w:type="dxa"/>
            <w:right w:w="55" w:type="dxa"/>
          </w:tblCellMar>
        </w:tblPrEx>
        <w:trPr>
          <w:trHeight w:val="275" w:hRule="atLeast"/>
        </w:trPr>
        <w:tc>
          <w:tcPr>
            <w:tcW w:w="6300" w:type="dxa"/>
            <w:gridSpan w:val="2"/>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栏次</w:t>
            </w:r>
          </w:p>
        </w:tc>
        <w:tc>
          <w:tcPr>
            <w:tcW w:w="3184"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1</w:t>
            </w:r>
          </w:p>
        </w:tc>
        <w:tc>
          <w:tcPr>
            <w:tcW w:w="2778"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2</w:t>
            </w:r>
          </w:p>
        </w:tc>
        <w:tc>
          <w:tcPr>
            <w:tcW w:w="3155" w:type="dxa"/>
            <w:tcBorders>
              <w:left w:val="single" w:color="000000" w:sz="6" w:space="0"/>
              <w:bottom w:val="single" w:color="000000" w:sz="6" w:space="0"/>
              <w:right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3</w:t>
            </w:r>
          </w:p>
        </w:tc>
      </w:tr>
      <w:tr>
        <w:tblPrEx>
          <w:tblCellMar>
            <w:top w:w="55" w:type="dxa"/>
            <w:left w:w="55" w:type="dxa"/>
            <w:bottom w:w="55" w:type="dxa"/>
            <w:right w:w="55" w:type="dxa"/>
          </w:tblCellMar>
        </w:tblPrEx>
        <w:trPr>
          <w:trHeight w:val="374" w:hRule="exact"/>
        </w:trPr>
        <w:tc>
          <w:tcPr>
            <w:tcW w:w="6300" w:type="dxa"/>
            <w:gridSpan w:val="2"/>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
            </w:r>
            <w:r>
              <w:rPr>
                <w:rFonts w:hint="eastAsia" w:ascii="仿宋" w:hAnsi="仿宋" w:eastAsia="仿宋" w:cs="仿宋"/>
                <w:sz w:val="22"/>
                <w:szCs w:val="22"/>
              </w:rPr>
              <w:t>合计</w:t>
            </w:r>
          </w:p>
        </w:tc>
        <w:tc>
          <w:tcPr>
            <w:tcW w:w="3184" w:type="dxa"/>
            <w:tcBorders>
              <w:left w:val="single" w:color="000000" w:sz="6" w:space="0"/>
              <w:bottom w:val="single" w:color="000000" w:sz="6"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1,897.28</w:t>
            </w:r>
          </w:p>
        </w:tc>
        <w:tc>
          <w:tcPr>
            <w:tcW w:w="2778" w:type="dxa"/>
            <w:tcBorders>
              <w:left w:val="single" w:color="000000" w:sz="6" w:space="0"/>
              <w:bottom w:val="single" w:color="000000" w:sz="6" w:space="0"/>
            </w:tcBorders>
          </w:tcPr>
          <w:p>
            <w:pPr>
              <w:pStyle w:val="22"/>
              <w:widowControl w:val="0"/>
              <w:jc w:val="right"/>
              <w:rPr>
                <w:rFonts w:hint="eastAsia" w:ascii="仿宋" w:hAnsi="仿宋" w:eastAsia="仿宋" w:cs="仿宋"/>
                <w:sz w:val="22"/>
                <w:szCs w:val="22"/>
              </w:rPr>
            </w:pPr>
            <w:r>
              <w:rPr>
                <w:rFonts w:hint="eastAsia" w:ascii="仿宋" w:hAnsi="仿宋" w:eastAsia="仿宋" w:cs="仿宋"/>
              </w:rPr>
              <w:t>947.28</w:t>
            </w:r>
          </w:p>
        </w:tc>
        <w:tc>
          <w:tcPr>
            <w:tcW w:w="3155" w:type="dxa"/>
            <w:tcBorders>
              <w:left w:val="single" w:color="000000" w:sz="6" w:space="0"/>
              <w:bottom w:val="single" w:color="000000" w:sz="6" w:space="0"/>
              <w:right w:val="single" w:color="000000" w:sz="6"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950.00</w:t>
            </w:r>
          </w:p>
        </w:tc>
      </w:tr>
      <w:tr>
        <w:tblPrEx>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206</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科学技术支出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25.00</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25.00</w:t>
            </w:r>
          </w:p>
        </w:tc>
      </w:tr>
      <w:tr>
        <w:tblPrEx>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20609</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科技重大项目</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25.00</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25.00</w:t>
            </w:r>
          </w:p>
        </w:tc>
      </w:tr>
      <w:tr>
        <w:tblPrEx>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2060902</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重点研发计划</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25.00</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25.00</w:t>
            </w:r>
          </w:p>
        </w:tc>
      </w:tr>
      <w:tr>
        <w:tblPrEx>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208</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社会保障和就业支出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1,507.30</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607.30</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900.00</w:t>
            </w:r>
          </w:p>
        </w:tc>
      </w:tr>
      <w:tr>
        <w:tblPrEx>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20805</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行政事业单位养老支出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77.37</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77.37</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2080505</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机关事业单位基本养老保险缴费支出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51.58</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51.58</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2080506</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机关事业单位职业年金缴费支出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25.79</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25.79</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20808</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抚恤</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1,429.93</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529.93</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900.00</w:t>
            </w:r>
          </w:p>
        </w:tc>
      </w:tr>
      <w:tr>
        <w:tblPrEx>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2080804</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优抚事业单位支出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1,429.93</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529.93</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900.00</w:t>
            </w:r>
          </w:p>
        </w:tc>
      </w:tr>
      <w:tr>
        <w:tblPrEx>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221</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住房保障支出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339.98</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339.98</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22102</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住房改革支出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339.98</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339.98</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2210202</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提租补贴</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339.98</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339.98</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229</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其他支出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25.00</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25.00</w:t>
            </w:r>
          </w:p>
        </w:tc>
      </w:tr>
      <w:tr>
        <w:tblPrEx>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22960</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彩票公益金安排的支出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25.00</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25.00</w:t>
            </w:r>
          </w:p>
        </w:tc>
      </w:tr>
      <w:tr>
        <w:tblPrEx>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2296002</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用于社会福利的彩票公益金支出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25.00</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25.00</w:t>
            </w:r>
          </w:p>
        </w:tc>
      </w:tr>
    </w:tbl>
    <w:p>
      <w:pPr>
        <w:widowControl w:val="0"/>
        <w:tabs>
          <w:tab w:val="left" w:pos="0"/>
        </w:tabs>
        <w:suppressAutoHyphens/>
        <w:bidi w:val="0"/>
        <w:spacing w:before="0" w:after="0"/>
        <w:ind w:left="0" w:leftChars="0" w:right="0" w:firstLine="0" w:firstLineChars="0"/>
        <w:jc w:val="both"/>
        <w:rPr>
          <w:rFonts w:hint="eastAsia" w:ascii="仿宋" w:hAnsi="仿宋" w:eastAsia="仿宋" w:cs="仿宋"/>
          <w:b w:val="0"/>
          <w:bCs w:val="0"/>
        </w:rPr>
      </w:pPr>
      <w:r>
        <w:rPr>
          <w:rFonts w:hint="eastAsia" w:ascii="仿宋" w:hAnsi="仿宋" w:eastAsia="仿宋" w:cs="仿宋"/>
          <w:b w:val="0"/>
          <w:bCs w:val="0"/>
        </w:rPr>
        <w:t>注：本表反映本年度一般公共预算财政拨款、政府性基金预算财政拨款和国有资本经营预算财政拨款支出情况。</w:t>
      </w:r>
      <w:r>
        <w:rPr>
          <w:rFonts w:hint="eastAsia" w:ascii="仿宋" w:hAnsi="仿宋" w:eastAsia="仿宋" w:cs="仿宋"/>
          <w:b w:val="0"/>
          <w:bCs w:val="0"/>
          <w:sz w:val="22"/>
          <w:szCs w:val="22"/>
          <w:lang w:val="en-US" w:eastAsia="zh-CN"/>
        </w:rPr>
        <w:t/>
      </w:r>
      <w:r>
        <w:rPr>
          <w:rFonts w:hint="eastAsia" w:ascii="仿宋" w:hAnsi="仿宋" w:eastAsia="仿宋" w:cs="仿宋"/>
          <w:b w:val="0"/>
          <w:bCs w:val="0"/>
        </w:rPr>
        <w:t>本表金额单位转换时可能存在尾数误差。</w:t>
      </w:r>
      <w:r>
        <w:rPr>
          <w:rFonts w:hint="eastAsia" w:ascii="仿宋" w:hAnsi="仿宋" w:eastAsia="仿宋" w:cs="仿宋"/>
          <w:b w:val="0"/>
          <w:bCs w:val="0"/>
          <w:sz w:val="22"/>
          <w:szCs w:val="22"/>
          <w:lang w:val="en-US" w:eastAsia="zh-CN"/>
        </w:rPr>
        <w:t/>
      </w:r>
    </w:p>
    <w:p>
      <w:pPr>
        <w:widowControl w:val="0"/>
        <w:numPr>
          <w:ilvl w:val="0"/>
          <w:numId w:val="0"/>
        </w:numPr>
        <w:tabs>
          <w:tab w:val="left" w:pos="55"/>
        </w:tabs>
        <w:suppressAutoHyphens/>
        <w:bidi w:val="0"/>
        <w:spacing w:before="0" w:after="0"/>
        <w:ind w:right="0" w:rightChars="0"/>
        <w:jc w:val="both"/>
        <w:rPr>
          <w:rFonts w:hint="eastAsia" w:ascii="仿宋" w:hAnsi="仿宋" w:eastAsia="仿宋" w:cs="仿宋"/>
          <w:b w:val="0"/>
          <w:bCs w:val="0"/>
        </w:rPr>
        <w:sectPr>
          <w:footerReference r:id="rId12" w:type="default"/>
          <w:pgSz w:w="16838" w:h="11906" w:orient="landscape"/>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0515" w:type="dxa"/>
        <w:tblInd w:w="38" w:type="dxa"/>
        <w:tblLayout w:type="fixed"/>
        <w:tblCellMar>
          <w:top w:w="55" w:type="dxa"/>
          <w:left w:w="55" w:type="dxa"/>
          <w:bottom w:w="55" w:type="dxa"/>
          <w:right w:w="55" w:type="dxa"/>
        </w:tblCellMar>
      </w:tblPr>
      <w:tblGrid>
        <w:gridCol w:w="990"/>
        <w:gridCol w:w="3542"/>
        <w:gridCol w:w="2047"/>
        <w:gridCol w:w="2040"/>
        <w:gridCol w:w="1896"/>
      </w:tblGrid>
      <w:tr>
        <w:tblPrEx>
          <w:tblCellMar>
            <w:top w:w="55" w:type="dxa"/>
            <w:left w:w="55" w:type="dxa"/>
            <w:bottom w:w="55" w:type="dxa"/>
            <w:right w:w="55" w:type="dxa"/>
          </w:tblCellMar>
        </w:tblPrEx>
        <w:trPr>
          <w:trHeight w:val="319" w:hRule="atLeast"/>
        </w:trPr>
        <w:tc>
          <w:tcPr>
            <w:tcW w:w="10515" w:type="dxa"/>
            <w:gridSpan w:val="5"/>
            <w:vAlign w:val="center"/>
          </w:tcPr>
          <w:p>
            <w:pPr>
              <w:pStyle w:val="22"/>
              <w:widowControl w:val="0"/>
              <w:jc w:val="center"/>
              <w:rPr>
                <w:rFonts w:hint="eastAsia" w:ascii="仿宋" w:hAnsi="仿宋" w:eastAsia="仿宋" w:cs="仿宋"/>
                <w:b/>
                <w:bCs/>
                <w:sz w:val="44"/>
                <w:szCs w:val="44"/>
              </w:rPr>
            </w:pPr>
            <w:r>
              <w:rPr>
                <w:rFonts w:hint="eastAsia" w:ascii="宋体" w:hAnsi="宋体" w:eastAsia="宋体" w:cs="宋体"/>
                <w:b/>
                <w:bCs/>
                <w:color w:val="000000"/>
                <w:kern w:val="0"/>
                <w:sz w:val="36"/>
                <w:szCs w:val="36"/>
                <w:lang w:val="zh-CN" w:eastAsia="ar-SA" w:bidi="zh-CN"/>
              </w:rPr>
              <w:t>财政拨款基本支出决算表（经济科目）</w:t>
            </w:r>
          </w:p>
        </w:tc>
      </w:tr>
      <w:tr>
        <w:tblPrEx>
          <w:tblCellMar>
            <w:top w:w="55" w:type="dxa"/>
            <w:left w:w="55" w:type="dxa"/>
            <w:bottom w:w="55" w:type="dxa"/>
            <w:right w:w="55" w:type="dxa"/>
          </w:tblCellMar>
        </w:tblPrEx>
        <w:trPr>
          <w:trHeight w:val="319" w:hRule="atLeast"/>
        </w:trPr>
        <w:tc>
          <w:tcPr>
            <w:tcW w:w="4532" w:type="dxa"/>
            <w:gridSpan w:val="2"/>
          </w:tcPr>
          <w:p>
            <w:pPr>
              <w:pStyle w:val="22"/>
              <w:widowControl w:val="0"/>
              <w:rPr>
                <w:rFonts w:hint="eastAsia" w:ascii="仿宋" w:hAnsi="仿宋" w:eastAsia="仿宋" w:cs="仿宋"/>
                <w:sz w:val="20"/>
              </w:rPr>
            </w:pPr>
          </w:p>
        </w:tc>
        <w:tc>
          <w:tcPr>
            <w:tcW w:w="2047" w:type="dxa"/>
          </w:tcPr>
          <w:p>
            <w:pPr>
              <w:pStyle w:val="22"/>
              <w:widowControl w:val="0"/>
              <w:rPr>
                <w:rFonts w:hint="eastAsia" w:ascii="仿宋" w:hAnsi="仿宋" w:eastAsia="仿宋" w:cs="仿宋"/>
                <w:sz w:val="20"/>
              </w:rPr>
            </w:pPr>
          </w:p>
        </w:tc>
        <w:tc>
          <w:tcPr>
            <w:tcW w:w="2040" w:type="dxa"/>
          </w:tcPr>
          <w:p>
            <w:pPr>
              <w:pStyle w:val="22"/>
              <w:widowControl w:val="0"/>
              <w:rPr>
                <w:rFonts w:hint="eastAsia" w:ascii="仿宋" w:hAnsi="仿宋" w:eastAsia="仿宋" w:cs="仿宋"/>
                <w:sz w:val="20"/>
              </w:rPr>
            </w:pPr>
          </w:p>
        </w:tc>
        <w:tc>
          <w:tcPr>
            <w:tcW w:w="1896" w:type="dxa"/>
            <w:vAlign w:val="center"/>
          </w:tcPr>
          <w:p>
            <w:pPr>
              <w:pStyle w:val="22"/>
              <w:widowControl w:val="0"/>
              <w:jc w:val="right"/>
              <w:rPr>
                <w:rFonts w:hint="eastAsia" w:ascii="仿宋" w:hAnsi="仿宋" w:eastAsia="仿宋" w:cs="仿宋"/>
                <w:sz w:val="20"/>
              </w:rPr>
            </w:pPr>
            <w:r>
              <w:rPr>
                <w:rFonts w:hint="eastAsia" w:ascii="仿宋" w:hAnsi="仿宋" w:eastAsia="仿宋" w:cs="仿宋"/>
              </w:rPr>
              <w:t>公开06表</w:t>
            </w:r>
          </w:p>
        </w:tc>
      </w:tr>
      <w:tr>
        <w:tblPrEx>
          <w:tblCellMar>
            <w:top w:w="55" w:type="dxa"/>
            <w:left w:w="55" w:type="dxa"/>
            <w:bottom w:w="55" w:type="dxa"/>
            <w:right w:w="55" w:type="dxa"/>
          </w:tblCellMar>
        </w:tblPrEx>
        <w:trPr>
          <w:trHeight w:val="319" w:hRule="atLeast"/>
        </w:trPr>
        <w:tc>
          <w:tcPr>
            <w:tcW w:w="8619" w:type="dxa"/>
            <w:gridSpan w:val="4"/>
          </w:tcPr>
          <w:p>
            <w:pPr>
              <w:pStyle w:val="22"/>
              <w:widowControl w:val="0"/>
              <w:rPr>
                <w:rFonts w:hint="eastAsia" w:ascii="仿宋" w:hAnsi="仿宋" w:eastAsia="仿宋" w:cs="仿宋"/>
                <w:sz w:val="22"/>
                <w:szCs w:val="22"/>
              </w:rPr>
            </w:pPr>
            <w:r>
              <w:rPr>
                <w:rFonts w:hint="eastAsia" w:ascii="仿宋" w:hAnsi="仿宋" w:eastAsia="仿宋" w:cs="仿宋"/>
                <w:color w:val="000000"/>
                <w:sz w:val="22"/>
                <w:szCs w:val="22"/>
                <w:lang w:eastAsia="zh-CN"/>
              </w:rPr>
              <w:t>单位</w:t>
            </w:r>
            <w:r>
              <w:rPr>
                <w:rFonts w:ascii="仿宋" w:hAnsi="仿宋" w:cs="仿宋" w:eastAsia="仿宋"/>
                <w:color w:val="000000"/>
                <w:sz w:val="22"/>
              </w:rPr>
              <w:t>名称：</w:t>
            </w:r>
            <w:r>
              <w:rPr>
                <w:rFonts w:hint="eastAsia" w:ascii="仿宋" w:hAnsi="仿宋" w:eastAsia="仿宋" w:cs="仿宋"/>
                <w:sz w:val="22"/>
                <w:szCs w:val="22"/>
              </w:rPr>
              <w:t>江苏省伤残人康复中心</w:t>
            </w:r>
          </w:p>
        </w:tc>
        <w:tc>
          <w:tcPr>
            <w:tcW w:w="1896" w:type="dxa"/>
            <w:vAlign w:val="center"/>
          </w:tcPr>
          <w:p>
            <w:pPr>
              <w:pStyle w:val="22"/>
              <w:widowControl w:val="0"/>
              <w:jc w:val="right"/>
              <w:rPr>
                <w:rFonts w:hint="eastAsia" w:ascii="仿宋" w:hAnsi="仿宋" w:eastAsia="仿宋" w:cs="仿宋"/>
                <w:sz w:val="20"/>
              </w:rPr>
            </w:pPr>
            <w:r>
              <w:rPr>
                <w:rFonts w:hint="eastAsia" w:ascii="仿宋" w:hAnsi="仿宋" w:eastAsia="仿宋" w:cs="仿宋"/>
              </w:rPr>
              <w:t>金额单位：万元</w:t>
            </w:r>
          </w:p>
        </w:tc>
      </w:tr>
      <w:tr>
        <w:tblPrEx>
          <w:tblCellMar>
            <w:top w:w="55" w:type="dxa"/>
            <w:left w:w="55" w:type="dxa"/>
            <w:bottom w:w="55" w:type="dxa"/>
            <w:right w:w="55" w:type="dxa"/>
          </w:tblCellMar>
        </w:tblPrEx>
        <w:trPr>
          <w:trHeight w:val="243" w:hRule="atLeast"/>
        </w:trPr>
        <w:tc>
          <w:tcPr>
            <w:tcW w:w="4532"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5983"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sz w:val="20"/>
              </w:rPr>
            </w:pPr>
            <w:r>
              <w:rPr>
                <w:rFonts w:hint="eastAsia" w:ascii="仿宋" w:hAnsi="仿宋" w:eastAsia="仿宋" w:cs="仿宋"/>
              </w:rPr>
              <w:t>财政拨款基本支出</w:t>
            </w:r>
          </w:p>
        </w:tc>
      </w:tr>
      <w:tr>
        <w:tblPrEx>
          <w:tblCellMar>
            <w:top w:w="55" w:type="dxa"/>
            <w:left w:w="55" w:type="dxa"/>
            <w:bottom w:w="55" w:type="dxa"/>
            <w:right w:w="55" w:type="dxa"/>
          </w:tblCellMar>
        </w:tblPrEx>
        <w:trPr>
          <w:trHeight w:val="483" w:hRule="atLeast"/>
        </w:trPr>
        <w:tc>
          <w:tcPr>
            <w:tcW w:w="990"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经济分类科目编码</w:t>
            </w:r>
          </w:p>
        </w:tc>
        <w:tc>
          <w:tcPr>
            <w:tcW w:w="3542"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2047"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合计</w:t>
            </w:r>
          </w:p>
        </w:tc>
        <w:tc>
          <w:tcPr>
            <w:tcW w:w="2040"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人员经费</w:t>
            </w:r>
          </w:p>
        </w:tc>
        <w:tc>
          <w:tcPr>
            <w:tcW w:w="1896" w:type="dxa"/>
            <w:tcBorders>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公用经费</w:t>
            </w:r>
          </w:p>
        </w:tc>
      </w:tr>
      <w:tr>
        <w:tblPrEx>
          <w:tblCellMar>
            <w:top w:w="55" w:type="dxa"/>
            <w:left w:w="55" w:type="dxa"/>
            <w:bottom w:w="55" w:type="dxa"/>
            <w:right w:w="55" w:type="dxa"/>
          </w:tblCellMar>
        </w:tblPrEx>
        <w:trPr>
          <w:trHeight w:val="409" w:hRule="exact"/>
        </w:trPr>
        <w:tc>
          <w:tcPr>
            <w:tcW w:w="4532"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
            </w:r>
            <w:r>
              <w:rPr>
                <w:rFonts w:ascii="仿宋" w:hAnsi="仿宋" w:cs="仿宋" w:eastAsia="仿宋"/>
              </w:rPr>
              <w:t>合计</w:t>
            </w:r>
          </w:p>
        </w:tc>
        <w:tc>
          <w:tcPr>
            <w:tcW w:w="2047"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947.28</w:t>
            </w:r>
          </w:p>
        </w:tc>
        <w:tc>
          <w:tcPr>
            <w:tcW w:w="204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802.30</w:t>
            </w:r>
          </w:p>
        </w:tc>
        <w:tc>
          <w:tcPr>
            <w:tcW w:w="1896"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144.98</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val="true"/>
              </w:rPr>
              <w:t>301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val="true"/>
              </w:rPr>
              <w:t>工资福利支出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460.91</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460.91</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基本工资</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141.47</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141.47</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津贴补贴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29.61</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29.61</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奖金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伙食补助费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绩效工资</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172.40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172.40</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机关事业单位基本养老保险缴费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51.58</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51.58</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职业年金缴费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25.79</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25.79</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30110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职工基本医疗保险缴费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40.06</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40.06</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30111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公务员医疗补助缴费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30112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其他社会保障缴费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30113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住房公积金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30114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医疗费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其他工资福利支出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val="true"/>
              </w:rPr>
              <w:t>302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val="true"/>
              </w:rPr>
              <w:t>商品和服务支出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144.98</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144.98</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办公费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3.00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3.00</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印刷费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咨询费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手续费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1.50</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电费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40.00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40.00</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邮电费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4.30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4.30</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取暖费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物业管理费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30211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差旅费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11.00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11.00</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30212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因公出国（境）费用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30213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维修（护）费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30214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租赁费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30215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会议费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30216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培训费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30217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公务接待费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30218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专用材料费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30224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被装购置费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30225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专用燃料费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30226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劳务费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30227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委托业务费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30228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工会经费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30229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福利费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30231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公务用车运行维护费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30239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其他交通费用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30240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税金及附加费用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其他商品和服务支出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85.18</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85.18</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val="true"/>
              </w:rPr>
              <w:t>303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val="true"/>
              </w:rPr>
              <w:t>对个人和家庭的补助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341.39</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341.39</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离休费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退休费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341.35</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341.35</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退职（役）费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抚恤金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生活补助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救济费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医疗费补助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助学金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奖励金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0.04</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0.04</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30310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个人农业生产补贴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30311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代缴社会保险费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其他对个人和家庭的补助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val="true"/>
              </w:rPr>
              <w:t>307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val="true"/>
              </w:rPr>
              <w:t>债务利息及费用支出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30701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国内债务付息</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30702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国外债务付息</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30703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国内债务发行费用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30704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国外债务发行费用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val="true"/>
              </w:rPr>
              <w:t>310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val="true"/>
              </w:rPr>
              <w:t>资本性支出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房屋建筑物购建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办公设备购置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专用设备购置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31005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基础设施建设</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大型修缮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信息网络及软件购置更新</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物资储备</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土地补偿</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31010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安置补助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31011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地上附着物和青苗补偿</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31012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拆迁补偿</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31013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公务用车购置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31019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其他交通工具购置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31021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文物和陈列品购置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31022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无形资产购置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其他资本性支出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val="true"/>
              </w:rPr>
              <w:t>312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val="true"/>
              </w:rPr>
              <w:t>对企业补助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31201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资本金注入</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31203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政府投资基金股权投资</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31204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费用补贴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31205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利息补贴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31299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其他对企业补助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val="true"/>
              </w:rPr>
              <w:t>399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val="true"/>
              </w:rPr>
              <w:t>其他支出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39906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赠与</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39907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国家赔偿费用支出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39908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对民间非营利组织和群众性自治组织补贴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39999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bl>
    <w:p>
      <w:pPr>
        <w:widowControl w:val="0"/>
        <w:tabs>
          <w:tab w:val="left" w:pos="660"/>
          <w:tab w:val="left" w:pos="10780"/>
        </w:tabs>
        <w:suppressAutoHyphens/>
        <w:bidi w:val="0"/>
        <w:spacing w:before="25" w:after="0" w:line="290" w:lineRule="auto"/>
        <w:ind w:left="0" w:leftChars="0" w:right="0" w:rightChars="0" w:firstLine="0" w:firstLineChars="0"/>
        <w:jc w:val="both"/>
        <w:rPr>
          <w:rFonts w:hint="eastAsia" w:ascii="仿宋" w:hAnsi="仿宋" w:eastAsia="仿宋" w:cs="仿宋"/>
          <w:b w:val="0"/>
          <w:bCs w:val="0"/>
          <w:sz w:val="22"/>
          <w:szCs w:val="22"/>
        </w:rPr>
      </w:pPr>
      <w:r>
        <w:rPr>
          <w:rFonts w:hint="eastAsia" w:ascii="仿宋" w:hAnsi="仿宋" w:eastAsia="仿宋" w:cs="仿宋"/>
          <w:b w:val="0"/>
          <w:bCs w:val="0"/>
          <w:sz w:val="22"/>
          <w:szCs w:val="22"/>
        </w:rPr>
        <w:t>注：本表反映本年度一般公共预算财政拨款、政府性基金预算财政拨款和国有资本经营预算财政拨款基本支出情况。</w:t>
      </w:r>
      <w:r>
        <w:rPr>
          <w:rFonts w:hint="eastAsia" w:ascii="仿宋" w:hAnsi="仿宋" w:eastAsia="仿宋" w:cs="仿宋"/>
          <w:b w:val="0"/>
          <w:bCs w:val="0"/>
          <w:sz w:val="22"/>
          <w:szCs w:val="22"/>
          <w:lang w:val="en-US" w:eastAsia="zh-CN"/>
        </w:rPr>
        <w:t/>
      </w:r>
      <w:r>
        <w:rPr>
          <w:rFonts w:hint="eastAsia" w:ascii="仿宋" w:hAnsi="仿宋" w:eastAsia="仿宋" w:cs="仿宋"/>
          <w:b w:val="0"/>
          <w:bCs w:val="0"/>
          <w:sz w:val="22"/>
          <w:szCs w:val="22"/>
        </w:rPr>
        <w:t>本表金额单位转换时可能存在尾数误差。</w:t>
      </w:r>
      <w:r>
        <w:rPr>
          <w:rFonts w:hint="eastAsia" w:ascii="仿宋" w:hAnsi="仿宋" w:eastAsia="仿宋" w:cs="仿宋"/>
          <w:b w:val="0"/>
          <w:bCs w:val="0"/>
          <w:sz w:val="22"/>
          <w:szCs w:val="22"/>
          <w:lang w:val="en-US" w:eastAsia="zh-CN"/>
        </w:rPr>
        <w:t/>
      </w:r>
    </w:p>
    <w:p>
      <w:pPr>
        <w:widowControl w:val="0"/>
        <w:numPr>
          <w:ilvl w:val="0"/>
          <w:numId w:val="0"/>
        </w:numPr>
        <w:suppressAutoHyphens/>
        <w:bidi w:val="0"/>
        <w:spacing w:before="0" w:after="0" w:line="255" w:lineRule="exact"/>
        <w:jc w:val="both"/>
        <w:rPr>
          <w:rFonts w:hint="eastAsia" w:ascii="仿宋" w:hAnsi="仿宋" w:eastAsia="仿宋" w:cs="仿宋"/>
          <w:b w:val="0"/>
          <w:bCs w:val="0"/>
          <w:sz w:val="22"/>
          <w:szCs w:val="22"/>
        </w:rPr>
        <w:sectPr>
          <w:footerReference r:id="rId13" w:type="default"/>
          <w:pgSz w:w="11906" w:h="16838"/>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0446" w:type="dxa"/>
        <w:tblInd w:w="78" w:type="dxa"/>
        <w:tblLayout w:type="fixed"/>
        <w:tblCellMar>
          <w:top w:w="55" w:type="dxa"/>
          <w:left w:w="55" w:type="dxa"/>
          <w:bottom w:w="55" w:type="dxa"/>
          <w:right w:w="55" w:type="dxa"/>
        </w:tblCellMar>
      </w:tblPr>
      <w:tblGrid>
        <w:gridCol w:w="1134"/>
        <w:gridCol w:w="4332"/>
        <w:gridCol w:w="1969"/>
        <w:gridCol w:w="1499"/>
        <w:gridCol w:w="1512"/>
      </w:tblGrid>
      <w:tr>
        <w:tblPrEx>
          <w:tblCellMar>
            <w:top w:w="55" w:type="dxa"/>
            <w:left w:w="55" w:type="dxa"/>
            <w:bottom w:w="55" w:type="dxa"/>
            <w:right w:w="55" w:type="dxa"/>
          </w:tblCellMar>
        </w:tblPrEx>
        <w:trPr>
          <w:trHeight w:val="560" w:hRule="atLeast"/>
        </w:trPr>
        <w:tc>
          <w:tcPr>
            <w:tcW w:w="10446" w:type="dxa"/>
            <w:gridSpan w:val="5"/>
            <w:vAlign w:val="center"/>
          </w:tcPr>
          <w:p>
            <w:pPr>
              <w:pStyle w:val="22"/>
              <w:widowControl w:val="0"/>
              <w:jc w:val="center"/>
              <w:rPr>
                <w:rFonts w:hint="eastAsia" w:ascii="仿宋" w:hAnsi="仿宋" w:eastAsia="仿宋" w:cs="仿宋"/>
                <w:b/>
                <w:bCs/>
                <w:sz w:val="44"/>
                <w:szCs w:val="44"/>
              </w:rPr>
            </w:pPr>
            <w:r>
              <w:rPr>
                <w:rFonts w:hint="eastAsia" w:ascii="宋体" w:hAnsi="宋体" w:eastAsia="宋体" w:cs="宋体"/>
                <w:b/>
                <w:bCs/>
                <w:color w:val="000000"/>
                <w:kern w:val="0"/>
                <w:sz w:val="36"/>
                <w:szCs w:val="36"/>
                <w:lang w:val="zh-CN" w:eastAsia="ar-SA" w:bidi="zh-CN"/>
              </w:rPr>
              <w:t>一般公共预算支出决算表（功能科目）</w:t>
            </w:r>
          </w:p>
        </w:tc>
      </w:tr>
      <w:tr>
        <w:tblPrEx>
          <w:tblCellMar>
            <w:top w:w="55" w:type="dxa"/>
            <w:left w:w="55" w:type="dxa"/>
            <w:bottom w:w="55" w:type="dxa"/>
            <w:right w:w="55" w:type="dxa"/>
          </w:tblCellMar>
        </w:tblPrEx>
        <w:trPr>
          <w:trHeight w:val="147" w:hRule="atLeast"/>
        </w:trPr>
        <w:tc>
          <w:tcPr>
            <w:tcW w:w="5466" w:type="dxa"/>
            <w:gridSpan w:val="2"/>
          </w:tcPr>
          <w:p>
            <w:pPr>
              <w:pStyle w:val="22"/>
              <w:widowControl w:val="0"/>
              <w:rPr>
                <w:rFonts w:hint="eastAsia" w:ascii="仿宋" w:hAnsi="仿宋" w:eastAsia="仿宋" w:cs="仿宋"/>
                <w:sz w:val="20"/>
              </w:rPr>
            </w:pPr>
          </w:p>
        </w:tc>
        <w:tc>
          <w:tcPr>
            <w:tcW w:w="1969" w:type="dxa"/>
          </w:tcPr>
          <w:p>
            <w:pPr>
              <w:pStyle w:val="22"/>
              <w:widowControl w:val="0"/>
              <w:rPr>
                <w:rFonts w:hint="eastAsia" w:ascii="仿宋" w:hAnsi="仿宋" w:eastAsia="仿宋" w:cs="仿宋"/>
                <w:sz w:val="20"/>
              </w:rPr>
            </w:pPr>
          </w:p>
        </w:tc>
        <w:tc>
          <w:tcPr>
            <w:tcW w:w="1499" w:type="dxa"/>
          </w:tcPr>
          <w:p>
            <w:pPr>
              <w:pStyle w:val="22"/>
              <w:widowControl w:val="0"/>
              <w:rPr>
                <w:rFonts w:hint="eastAsia" w:ascii="仿宋" w:hAnsi="仿宋" w:eastAsia="仿宋" w:cs="仿宋"/>
                <w:sz w:val="20"/>
              </w:rPr>
            </w:pPr>
          </w:p>
        </w:tc>
        <w:tc>
          <w:tcPr>
            <w:tcW w:w="1512" w:type="dxa"/>
            <w:vAlign w:val="center"/>
          </w:tcPr>
          <w:p>
            <w:pPr>
              <w:pStyle w:val="22"/>
              <w:widowControl w:val="0"/>
              <w:jc w:val="right"/>
              <w:rPr>
                <w:rFonts w:hint="eastAsia" w:ascii="仿宋" w:hAnsi="仿宋" w:eastAsia="仿宋" w:cs="仿宋"/>
                <w:sz w:val="20"/>
              </w:rPr>
            </w:pPr>
            <w:r>
              <w:rPr>
                <w:rFonts w:hint="eastAsia" w:ascii="仿宋" w:hAnsi="仿宋" w:eastAsia="仿宋" w:cs="仿宋"/>
              </w:rPr>
              <w:t>公开07表</w:t>
            </w:r>
          </w:p>
        </w:tc>
      </w:tr>
      <w:tr>
        <w:tblPrEx>
          <w:tblCellMar>
            <w:top w:w="55" w:type="dxa"/>
            <w:left w:w="55" w:type="dxa"/>
            <w:bottom w:w="55" w:type="dxa"/>
            <w:right w:w="55" w:type="dxa"/>
          </w:tblCellMar>
        </w:tblPrEx>
        <w:trPr>
          <w:trHeight w:val="303" w:hRule="atLeast"/>
        </w:trPr>
        <w:tc>
          <w:tcPr>
            <w:tcW w:w="7435" w:type="dxa"/>
            <w:gridSpan w:val="3"/>
          </w:tcPr>
          <w:p>
            <w:pPr>
              <w:pStyle w:val="22"/>
              <w:widowControl w:val="0"/>
              <w:jc w:val="left"/>
              <w:rPr>
                <w:rFonts w:hint="eastAsia" w:ascii="仿宋" w:hAnsi="仿宋" w:eastAsia="仿宋" w:cs="仿宋"/>
              </w:rPr>
            </w:pPr>
            <w:r>
              <w:rPr>
                <w:rFonts w:hint="eastAsia" w:ascii="仿宋" w:hAnsi="仿宋" w:eastAsia="仿宋" w:cs="仿宋"/>
                <w:color w:val="000000"/>
                <w:sz w:val="22"/>
                <w:szCs w:val="22"/>
                <w:lang w:eastAsia="zh-CN"/>
              </w:rPr>
              <w:t>单位</w:t>
            </w:r>
            <w:r>
              <w:rPr>
                <w:rFonts w:ascii="仿宋" w:hAnsi="仿宋" w:cs="仿宋" w:eastAsia="仿宋"/>
                <w:color w:val="000000"/>
                <w:sz w:val="22"/>
              </w:rPr>
              <w:t>名称：</w:t>
            </w:r>
            <w:r>
              <w:rPr>
                <w:rFonts w:hint="eastAsia" w:ascii="仿宋" w:hAnsi="仿宋" w:eastAsia="仿宋" w:cs="仿宋"/>
              </w:rPr>
              <w:t>江苏省伤残人康复中心</w:t>
            </w:r>
          </w:p>
        </w:tc>
        <w:tc>
          <w:tcPr>
            <w:tcW w:w="3011" w:type="dxa"/>
            <w:gridSpan w:val="2"/>
          </w:tcPr>
          <w:p>
            <w:pPr>
              <w:pStyle w:val="22"/>
              <w:widowControl w:val="0"/>
              <w:jc w:val="right"/>
              <w:rPr>
                <w:rFonts w:hint="eastAsia" w:ascii="仿宋" w:hAnsi="仿宋" w:eastAsia="仿宋" w:cs="仿宋"/>
              </w:rPr>
            </w:pPr>
            <w:r>
              <w:rPr>
                <w:rFonts w:hint="eastAsia" w:ascii="仿宋" w:hAnsi="仿宋" w:eastAsia="仿宋" w:cs="仿宋"/>
              </w:rPr>
              <w:t>金额单位：万元</w:t>
            </w:r>
          </w:p>
        </w:tc>
      </w:tr>
      <w:tr>
        <w:tblPrEx>
          <w:tblCellMar>
            <w:top w:w="55" w:type="dxa"/>
            <w:left w:w="55" w:type="dxa"/>
            <w:bottom w:w="55" w:type="dxa"/>
            <w:right w:w="55" w:type="dxa"/>
          </w:tblCellMar>
        </w:tblPrEx>
        <w:trPr>
          <w:trHeight w:val="158" w:hRule="atLeast"/>
        </w:trPr>
        <w:tc>
          <w:tcPr>
            <w:tcW w:w="5466" w:type="dxa"/>
            <w:gridSpan w:val="2"/>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1969" w:type="dxa"/>
            <w:vMerge w:val="restart"/>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本年支出合计</w:t>
            </w:r>
          </w:p>
        </w:tc>
        <w:tc>
          <w:tcPr>
            <w:tcW w:w="1499" w:type="dxa"/>
            <w:vMerge w:val="restart"/>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基本支出</w:t>
            </w:r>
          </w:p>
        </w:tc>
        <w:tc>
          <w:tcPr>
            <w:tcW w:w="1512" w:type="dxa"/>
            <w:vMerge w:val="restart"/>
            <w:tcBorders>
              <w:top w:val="single" w:color="000000" w:sz="6" w:space="0"/>
              <w:left w:val="single" w:color="000000" w:sz="6" w:space="0"/>
              <w:bottom w:val="single" w:color="000000" w:sz="6" w:space="0"/>
              <w:right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项目支出</w:t>
            </w:r>
          </w:p>
        </w:tc>
      </w:tr>
      <w:tr>
        <w:tblPrEx>
          <w:tblCellMar>
            <w:top w:w="55" w:type="dxa"/>
            <w:left w:w="55" w:type="dxa"/>
            <w:bottom w:w="55" w:type="dxa"/>
            <w:right w:w="55" w:type="dxa"/>
          </w:tblCellMar>
        </w:tblPrEx>
        <w:trPr>
          <w:trHeight w:val="561" w:hRule="atLeast"/>
        </w:trPr>
        <w:tc>
          <w:tcPr>
            <w:tcW w:w="1134"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功能分类科目编码</w:t>
            </w:r>
          </w:p>
        </w:tc>
        <w:tc>
          <w:tcPr>
            <w:tcW w:w="4332"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1969" w:type="dxa"/>
            <w:vMerge w:val="continue"/>
            <w:tcBorders>
              <w:left w:val="single" w:color="000000" w:sz="6" w:space="0"/>
              <w:bottom w:val="single" w:color="000000" w:sz="6" w:space="0"/>
            </w:tcBorders>
          </w:tcPr>
          <w:p>
            <w:pPr>
              <w:widowControl w:val="0"/>
              <w:jc w:val="left"/>
              <w:rPr>
                <w:rFonts w:hint="eastAsia" w:ascii="仿宋" w:hAnsi="仿宋" w:eastAsia="仿宋" w:cs="仿宋"/>
                <w:sz w:val="2"/>
                <w:szCs w:val="2"/>
              </w:rPr>
            </w:pPr>
          </w:p>
        </w:tc>
        <w:tc>
          <w:tcPr>
            <w:tcW w:w="1499" w:type="dxa"/>
            <w:vMerge w:val="continue"/>
            <w:tcBorders>
              <w:left w:val="single" w:color="000000" w:sz="6" w:space="0"/>
              <w:bottom w:val="single" w:color="000000" w:sz="6" w:space="0"/>
            </w:tcBorders>
          </w:tcPr>
          <w:p>
            <w:pPr>
              <w:widowControl w:val="0"/>
              <w:jc w:val="left"/>
              <w:rPr>
                <w:rFonts w:hint="eastAsia" w:ascii="仿宋" w:hAnsi="仿宋" w:eastAsia="仿宋" w:cs="仿宋"/>
                <w:sz w:val="2"/>
                <w:szCs w:val="2"/>
              </w:rPr>
            </w:pPr>
          </w:p>
        </w:tc>
        <w:tc>
          <w:tcPr>
            <w:tcW w:w="1512" w:type="dxa"/>
            <w:vMerge w:val="continue"/>
            <w:tcBorders>
              <w:left w:val="single" w:color="000000" w:sz="6" w:space="0"/>
              <w:bottom w:val="single" w:color="000000" w:sz="6" w:space="0"/>
              <w:right w:val="single" w:color="000000" w:sz="6" w:space="0"/>
            </w:tcBorders>
          </w:tcPr>
          <w:p>
            <w:pPr>
              <w:widowControl w:val="0"/>
              <w:jc w:val="left"/>
              <w:rPr>
                <w:rFonts w:hint="eastAsia" w:ascii="仿宋" w:hAnsi="仿宋" w:eastAsia="仿宋" w:cs="仿宋"/>
                <w:sz w:val="2"/>
                <w:szCs w:val="2"/>
              </w:rPr>
            </w:pPr>
          </w:p>
        </w:tc>
      </w:tr>
      <w:tr>
        <w:tblPrEx>
          <w:tblCellMar>
            <w:top w:w="55" w:type="dxa"/>
            <w:left w:w="55" w:type="dxa"/>
            <w:bottom w:w="55" w:type="dxa"/>
            <w:right w:w="55" w:type="dxa"/>
          </w:tblCellMar>
        </w:tblPrEx>
        <w:trPr>
          <w:trHeight w:val="152" w:hRule="atLeast"/>
        </w:trPr>
        <w:tc>
          <w:tcPr>
            <w:tcW w:w="5466" w:type="dxa"/>
            <w:gridSpan w:val="2"/>
            <w:tcBorders>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栏次</w:t>
            </w:r>
          </w:p>
        </w:tc>
        <w:tc>
          <w:tcPr>
            <w:tcW w:w="1969"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1</w:t>
            </w:r>
          </w:p>
        </w:tc>
        <w:tc>
          <w:tcPr>
            <w:tcW w:w="1499"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2</w:t>
            </w:r>
          </w:p>
        </w:tc>
        <w:tc>
          <w:tcPr>
            <w:tcW w:w="1512" w:type="dxa"/>
            <w:tcBorders>
              <w:left w:val="single" w:color="000000" w:sz="6" w:space="0"/>
              <w:bottom w:val="single" w:color="000000" w:sz="6" w:space="0"/>
              <w:right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3</w:t>
            </w:r>
          </w:p>
        </w:tc>
      </w:tr>
      <w:tr>
        <w:tblPrEx>
          <w:tblCellMar>
            <w:top w:w="55" w:type="dxa"/>
            <w:left w:w="55" w:type="dxa"/>
            <w:bottom w:w="55" w:type="dxa"/>
            <w:right w:w="55" w:type="dxa"/>
          </w:tblCellMar>
        </w:tblPrEx>
        <w:trPr>
          <w:trHeight w:val="298" w:hRule="exact"/>
        </w:trPr>
        <w:tc>
          <w:tcPr>
            <w:tcW w:w="5466" w:type="dxa"/>
            <w:gridSpan w:val="2"/>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0"/>
              </w:rPr>
            </w:pPr>
            <w:r>
              <w:rPr>
                <w:rFonts w:hint="eastAsia" w:ascii="仿宋" w:hAnsi="仿宋" w:eastAsia="仿宋" w:cs="仿宋"/>
              </w:rPr>
              <w:t/>
            </w:r>
            <w:r>
              <w:rPr>
                <w:rFonts w:hint="eastAsia" w:ascii="仿宋" w:hAnsi="仿宋" w:eastAsia="仿宋" w:cs="仿宋"/>
              </w:rPr>
              <w:t>合计</w:t>
            </w:r>
          </w:p>
        </w:tc>
        <w:tc>
          <w:tcPr>
            <w:tcW w:w="1969" w:type="dxa"/>
            <w:tcBorders>
              <w:left w:val="single" w:color="000000" w:sz="6" w:space="0"/>
              <w:bottom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1,872.28</w:t>
            </w:r>
          </w:p>
        </w:tc>
        <w:tc>
          <w:tcPr>
            <w:tcW w:w="1499" w:type="dxa"/>
            <w:tcBorders>
              <w:left w:val="single" w:color="000000" w:sz="6" w:space="0"/>
              <w:bottom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947.28</w:t>
            </w:r>
          </w:p>
        </w:tc>
        <w:tc>
          <w:tcPr>
            <w:tcW w:w="1512" w:type="dxa"/>
            <w:tcBorders>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925.00</w:t>
            </w:r>
          </w:p>
        </w:tc>
      </w:tr>
      <w:tr>
        <w:tblPrEx>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206</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科学技术支出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25.00</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25.00</w:t>
            </w:r>
          </w:p>
        </w:tc>
      </w:tr>
      <w:tr>
        <w:tblPrEx>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20609</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科技重大项目</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25.00</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25.00</w:t>
            </w:r>
          </w:p>
        </w:tc>
      </w:tr>
      <w:tr>
        <w:tblPrEx>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2060902</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重点研发计划</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25.00</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25.00</w:t>
            </w:r>
          </w:p>
        </w:tc>
      </w:tr>
      <w:tr>
        <w:tblPrEx>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208</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社会保障和就业支出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1,507.30</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607.30</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900.00</w:t>
            </w:r>
          </w:p>
        </w:tc>
      </w:tr>
      <w:tr>
        <w:tblPrEx>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20805</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行政事业单位养老支出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77.37</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77.37</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2080505</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机关事业单位基本养老保险缴费支出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51.58</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51.58</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2080506</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机关事业单位职业年金缴费支出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25.79</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25.79</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20808</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抚恤</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1,429.93</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529.93</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900.00</w:t>
            </w:r>
          </w:p>
        </w:tc>
      </w:tr>
      <w:tr>
        <w:tblPrEx>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2080804</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优抚事业单位支出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1,429.93</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529.93</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900.00</w:t>
            </w:r>
          </w:p>
        </w:tc>
      </w:tr>
      <w:tr>
        <w:tblPrEx>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221</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住房保障支出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339.98</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339.98</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22102</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住房改革支出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339.98</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339.98</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2210202</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提租补贴</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339.98</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339.98</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bl>
    <w:p>
      <w:pPr>
        <w:tabs>
          <w:tab w:val="left" w:pos="0"/>
        </w:tabs>
        <w:spacing w:before="25" w:after="0"/>
        <w:ind w:left="0" w:leftChars="0" w:right="0" w:rightChars="0" w:firstLine="0" w:firstLineChars="0"/>
        <w:jc w:val="both"/>
        <w:rPr>
          <w:rFonts w:hint="eastAsia" w:ascii="仿宋" w:hAnsi="仿宋" w:eastAsia="仿宋" w:cs="仿宋"/>
          <w:b w:val="0"/>
          <w:bCs w:val="0"/>
          <w:sz w:val="22"/>
          <w:szCs w:val="22"/>
        </w:rPr>
      </w:pPr>
      <w:r>
        <w:rPr>
          <w:rFonts w:hint="eastAsia" w:ascii="仿宋" w:hAnsi="仿宋" w:eastAsia="仿宋" w:cs="仿宋"/>
          <w:b w:val="0"/>
          <w:bCs w:val="0"/>
          <w:sz w:val="22"/>
          <w:szCs w:val="22"/>
        </w:rPr>
        <w:t>注：本表反映本年度一般公共预算财政拨款支出情况。</w:t>
      </w:r>
      <w:r>
        <w:rPr>
          <w:rFonts w:hint="eastAsia" w:ascii="仿宋" w:hAnsi="仿宋" w:eastAsia="仿宋" w:cs="仿宋"/>
          <w:b w:val="0"/>
          <w:bCs w:val="0"/>
          <w:sz w:val="22"/>
          <w:szCs w:val="22"/>
          <w:lang w:val="en-US" w:eastAsia="zh-CN"/>
        </w:rPr>
        <w:t/>
      </w:r>
      <w:r>
        <w:rPr>
          <w:rFonts w:hint="eastAsia" w:ascii="仿宋" w:hAnsi="仿宋" w:eastAsia="仿宋" w:cs="仿宋"/>
          <w:b w:val="0"/>
          <w:bCs w:val="0"/>
          <w:sz w:val="22"/>
          <w:szCs w:val="22"/>
        </w:rPr>
        <w:t>本表金额单位转换时可能存在尾数误差。</w:t>
      </w:r>
      <w:r>
        <w:rPr>
          <w:rFonts w:hint="eastAsia" w:ascii="仿宋" w:hAnsi="仿宋" w:eastAsia="仿宋" w:cs="仿宋"/>
          <w:b w:val="0"/>
          <w:bCs w:val="0"/>
          <w:sz w:val="22"/>
          <w:szCs w:val="22"/>
          <w:lang w:val="en-US" w:eastAsia="zh-CN"/>
        </w:rPr>
        <w:t/>
      </w:r>
    </w:p>
    <w:p>
      <w:pPr>
        <w:widowControl w:val="0"/>
        <w:numPr>
          <w:ilvl w:val="0"/>
          <w:numId w:val="0"/>
        </w:numPr>
        <w:suppressAutoHyphens/>
        <w:bidi w:val="0"/>
        <w:spacing w:before="25" w:after="0"/>
        <w:jc w:val="both"/>
        <w:rPr>
          <w:rFonts w:hint="eastAsia" w:ascii="仿宋" w:hAnsi="仿宋" w:eastAsia="仿宋" w:cs="仿宋"/>
          <w:b w:val="0"/>
          <w:bCs w:val="0"/>
          <w:sz w:val="22"/>
          <w:szCs w:val="22"/>
        </w:rPr>
        <w:sectPr>
          <w:footerReference r:id="rId14" w:type="default"/>
          <w:pgSz w:w="11906" w:h="16838"/>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0473" w:type="dxa"/>
        <w:tblInd w:w="65" w:type="dxa"/>
        <w:tblLayout w:type="fixed"/>
        <w:tblCellMar>
          <w:top w:w="55" w:type="dxa"/>
          <w:left w:w="55" w:type="dxa"/>
          <w:bottom w:w="55" w:type="dxa"/>
          <w:right w:w="55" w:type="dxa"/>
        </w:tblCellMar>
      </w:tblPr>
      <w:tblGrid>
        <w:gridCol w:w="1121"/>
        <w:gridCol w:w="3566"/>
        <w:gridCol w:w="2200"/>
        <w:gridCol w:w="1708"/>
        <w:gridCol w:w="1878"/>
      </w:tblGrid>
      <w:tr>
        <w:tblPrEx>
          <w:tblCellMar>
            <w:top w:w="55" w:type="dxa"/>
            <w:left w:w="55" w:type="dxa"/>
            <w:bottom w:w="55" w:type="dxa"/>
            <w:right w:w="55" w:type="dxa"/>
          </w:tblCellMar>
        </w:tblPrEx>
        <w:trPr>
          <w:trHeight w:val="319" w:hRule="atLeast"/>
        </w:trPr>
        <w:tc>
          <w:tcPr>
            <w:tcW w:w="10473" w:type="dxa"/>
            <w:gridSpan w:val="5"/>
          </w:tcPr>
          <w:p>
            <w:pPr>
              <w:pStyle w:val="22"/>
              <w:widowControl w:val="0"/>
              <w:jc w:val="center"/>
              <w:rPr>
                <w:rFonts w:hint="eastAsia" w:ascii="仿宋" w:hAnsi="仿宋" w:eastAsia="仿宋" w:cs="仿宋"/>
                <w:b/>
                <w:bCs/>
                <w:sz w:val="44"/>
                <w:szCs w:val="44"/>
              </w:rPr>
            </w:pPr>
            <w:r>
              <w:rPr>
                <w:rFonts w:hint="eastAsia" w:ascii="宋体" w:hAnsi="宋体" w:eastAsia="宋体" w:cs="宋体"/>
                <w:b/>
                <w:bCs/>
                <w:color w:val="000000"/>
                <w:kern w:val="0"/>
                <w:sz w:val="36"/>
                <w:szCs w:val="36"/>
                <w:lang w:val="zh-CN" w:eastAsia="ar-SA" w:bidi="zh-CN"/>
              </w:rPr>
              <w:t>一般公共预算基本支出决算表（经济科目）</w:t>
            </w:r>
          </w:p>
        </w:tc>
      </w:tr>
      <w:tr>
        <w:tblPrEx>
          <w:tblCellMar>
            <w:top w:w="55" w:type="dxa"/>
            <w:left w:w="55" w:type="dxa"/>
            <w:bottom w:w="55" w:type="dxa"/>
            <w:right w:w="55" w:type="dxa"/>
          </w:tblCellMar>
        </w:tblPrEx>
        <w:trPr>
          <w:trHeight w:val="199" w:hRule="atLeast"/>
        </w:trPr>
        <w:tc>
          <w:tcPr>
            <w:tcW w:w="8595" w:type="dxa"/>
            <w:gridSpan w:val="4"/>
            <w:vAlign w:val="center"/>
          </w:tcPr>
          <w:p>
            <w:pPr>
              <w:pStyle w:val="22"/>
              <w:widowControl w:val="0"/>
              <w:jc w:val="right"/>
              <w:rPr>
                <w:rFonts w:hint="eastAsia" w:ascii="仿宋" w:hAnsi="仿宋" w:eastAsia="仿宋" w:cs="仿宋"/>
                <w:color w:val="000000"/>
                <w:sz w:val="22"/>
                <w:szCs w:val="22"/>
                <w:lang w:eastAsia="zh-CN"/>
              </w:rPr>
            </w:pPr>
          </w:p>
        </w:tc>
        <w:tc>
          <w:tcPr>
            <w:tcW w:w="1878" w:type="dxa"/>
            <w:vAlign w:val="center"/>
          </w:tcPr>
          <w:p>
            <w:pPr>
              <w:pStyle w:val="22"/>
              <w:widowControl w:val="0"/>
              <w:jc w:val="right"/>
              <w:rPr>
                <w:rFonts w:hint="eastAsia" w:ascii="仿宋" w:hAnsi="仿宋" w:eastAsia="仿宋" w:cs="仿宋"/>
              </w:rPr>
            </w:pPr>
            <w:r>
              <w:rPr>
                <w:rFonts w:hint="eastAsia" w:ascii="仿宋" w:hAnsi="仿宋" w:eastAsia="仿宋" w:cs="仿宋"/>
              </w:rPr>
              <w:t>公开08表</w:t>
            </w:r>
          </w:p>
        </w:tc>
      </w:tr>
      <w:tr>
        <w:tblPrEx>
          <w:tblCellMar>
            <w:top w:w="55" w:type="dxa"/>
            <w:left w:w="55" w:type="dxa"/>
            <w:bottom w:w="55" w:type="dxa"/>
            <w:right w:w="55" w:type="dxa"/>
          </w:tblCellMar>
        </w:tblPrEx>
        <w:trPr>
          <w:trHeight w:val="320" w:hRule="atLeast"/>
        </w:trPr>
        <w:tc>
          <w:tcPr>
            <w:tcW w:w="8595" w:type="dxa"/>
            <w:gridSpan w:val="4"/>
            <w:vAlign w:val="center"/>
          </w:tcPr>
          <w:p>
            <w:pPr>
              <w:pStyle w:val="22"/>
              <w:widowControl w:val="0"/>
              <w:jc w:val="left"/>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cs="仿宋" w:eastAsia="仿宋"/>
                <w:color w:val="000000"/>
                <w:sz w:val="22"/>
              </w:rPr>
              <w:t>名称：</w:t>
            </w:r>
            <w:r>
              <w:rPr>
                <w:rFonts w:hint="eastAsia" w:ascii="仿宋" w:hAnsi="仿宋" w:eastAsia="仿宋" w:cs="仿宋"/>
              </w:rPr>
              <w:t>江苏省伤残人康复中心</w:t>
            </w:r>
          </w:p>
        </w:tc>
        <w:tc>
          <w:tcPr>
            <w:tcW w:w="1878" w:type="dxa"/>
            <w:vAlign w:val="center"/>
          </w:tcPr>
          <w:p>
            <w:pPr>
              <w:pStyle w:val="22"/>
              <w:widowControl w:val="0"/>
              <w:jc w:val="right"/>
              <w:rPr>
                <w:rFonts w:hint="eastAsia" w:ascii="仿宋" w:hAnsi="仿宋" w:eastAsia="仿宋" w:cs="仿宋"/>
                <w:sz w:val="20"/>
              </w:rPr>
            </w:pPr>
            <w:r>
              <w:rPr>
                <w:rFonts w:hint="eastAsia" w:ascii="仿宋" w:hAnsi="仿宋" w:eastAsia="仿宋" w:cs="仿宋"/>
              </w:rPr>
              <w:t>金额单位：万元</w:t>
            </w:r>
          </w:p>
        </w:tc>
      </w:tr>
      <w:tr>
        <w:tblPrEx>
          <w:tblCellMar>
            <w:top w:w="55" w:type="dxa"/>
            <w:left w:w="55" w:type="dxa"/>
            <w:bottom w:w="55" w:type="dxa"/>
            <w:right w:w="55" w:type="dxa"/>
          </w:tblCellMar>
        </w:tblPrEx>
        <w:trPr>
          <w:trHeight w:val="180" w:hRule="atLeast"/>
        </w:trPr>
        <w:tc>
          <w:tcPr>
            <w:tcW w:w="4687"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5786"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sz w:val="20"/>
              </w:rPr>
            </w:pPr>
            <w:r>
              <w:rPr>
                <w:rFonts w:hint="eastAsia" w:ascii="仿宋" w:hAnsi="仿宋" w:eastAsia="仿宋" w:cs="仿宋"/>
              </w:rPr>
              <w:t>一般公共预算财政拨款基本支出</w:t>
            </w:r>
          </w:p>
        </w:tc>
      </w:tr>
      <w:tr>
        <w:tblPrEx>
          <w:tblCellMar>
            <w:top w:w="55" w:type="dxa"/>
            <w:left w:w="55" w:type="dxa"/>
            <w:bottom w:w="55" w:type="dxa"/>
            <w:right w:w="55" w:type="dxa"/>
          </w:tblCellMar>
        </w:tblPrEx>
        <w:trPr>
          <w:trHeight w:val="474" w:hRule="atLeast"/>
        </w:trPr>
        <w:tc>
          <w:tcPr>
            <w:tcW w:w="1121"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经济分类科目编码</w:t>
            </w:r>
          </w:p>
        </w:tc>
        <w:tc>
          <w:tcPr>
            <w:tcW w:w="3566"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2200"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合计</w:t>
            </w:r>
          </w:p>
        </w:tc>
        <w:tc>
          <w:tcPr>
            <w:tcW w:w="1708"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人员经费</w:t>
            </w:r>
          </w:p>
        </w:tc>
        <w:tc>
          <w:tcPr>
            <w:tcW w:w="1878" w:type="dxa"/>
            <w:tcBorders>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公用经费</w:t>
            </w:r>
          </w:p>
        </w:tc>
      </w:tr>
      <w:tr>
        <w:tblPrEx>
          <w:tblCellMar>
            <w:top w:w="55" w:type="dxa"/>
            <w:left w:w="55" w:type="dxa"/>
            <w:bottom w:w="55" w:type="dxa"/>
            <w:right w:w="55" w:type="dxa"/>
          </w:tblCellMar>
        </w:tblPrEx>
        <w:trPr>
          <w:trHeight w:val="394" w:hRule="exact"/>
        </w:trPr>
        <w:tc>
          <w:tcPr>
            <w:tcW w:w="4687"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
            </w:r>
            <w:r>
              <w:rPr>
                <w:rFonts w:hint="eastAsia" w:ascii="仿宋" w:hAnsi="仿宋" w:eastAsia="仿宋" w:cs="仿宋"/>
              </w:rPr>
              <w:t>合计</w:t>
            </w:r>
          </w:p>
        </w:tc>
        <w:tc>
          <w:tcPr>
            <w:tcW w:w="220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947.28</w:t>
            </w:r>
          </w:p>
        </w:tc>
        <w:tc>
          <w:tcPr>
            <w:tcW w:w="1708"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802.30</w:t>
            </w:r>
          </w:p>
        </w:tc>
        <w:tc>
          <w:tcPr>
            <w:tcW w:w="1878"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144.98</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val="true"/>
              </w:rPr>
              <w:t>301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val="true"/>
              </w:rPr>
              <w:t>工资福利支出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460.91</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460.91</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30101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基本工资</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141.47</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141.47</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30102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津贴补贴</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29.61</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29.61</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30103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奖金</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30106</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伙食补助费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30107</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绩效工资</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172.40</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172.40</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30108</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机关事业单位基本养老保险缴费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51.58</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51.58</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30109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职业年金缴费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25.79</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25.79</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30110</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职工基本医疗保险缴费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40.06</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40.06</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30111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公务员医疗补助缴费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30112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其他社会保障缴费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30113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住房公积金</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30114</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医疗费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30199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其他工资福利支出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val="true"/>
              </w:rPr>
              <w:t>302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val="true"/>
              </w:rPr>
              <w:t>商品和服务支出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144.98</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144.98</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办公费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3.00</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3.00</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印刷费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咨询费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30204</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手续费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30205</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水费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1.50</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1.50</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30206</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电费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40.00</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40.00</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30207</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邮电费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4.30</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4.30</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30208</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取暖费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物业管理费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30211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差旅费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11.00</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11.00</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30212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因公出国（境）费用</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30213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维修（护）费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30214</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租赁费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30215</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会议费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30216</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培训费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30217</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公务接待费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30218</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专用材料费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30224</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被装购置费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30225</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专用燃料费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30226</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劳务费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30227</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委托业务费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30228</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工会经费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30229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福利费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30231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公务用车运行维护费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30239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其他交通费用</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30240</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税金及附加费用</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30299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其他商品和服务支出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85.18</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85.18</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val="true"/>
              </w:rPr>
              <w:t>303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val="true"/>
              </w:rPr>
              <w:t>对个人和家庭的补助</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341.39</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341.39</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离休费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退休费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341.35</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341.35</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退职（役）费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30304</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抚恤金</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30305</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生活补助</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30306</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救济费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30307</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医疗费补助</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30308</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助学金</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奖励金</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0.04</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0.04</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30310</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个人农业生产补贴</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30311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代缴社会保险费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30399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其他对个人和家庭的补助</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val="true"/>
              </w:rPr>
              <w:t>307</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val="true"/>
              </w:rPr>
              <w:t>债务利息及费用支出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30701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国内债务付息</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30702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国外债务付息</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30703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国内债务发行费用</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30704</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国外债务发行费用</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val="true"/>
              </w:rPr>
              <w:t>310</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val="true"/>
              </w:rPr>
              <w:t>资本性支出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31001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房屋建筑物购建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31002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办公设备购置</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31003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专用设备购置</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31005</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基础设施建设</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31006</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大型修缮</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31007</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信息网络及软件购置更新</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31008</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物资储备</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31009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土地补偿</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31010</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安置补助</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31011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地上附着物和青苗补偿</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31012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拆迁补偿</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31013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公务用车购置</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31019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其他交通工具购置</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31021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文物和陈列品购置</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31022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无形资产购置</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31099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其他资本性支出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val="true"/>
              </w:rPr>
              <w:t>312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val="true"/>
              </w:rPr>
              <w:t>对企业补助</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31201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资本金注入</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31203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政府投资基金股权投资</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31204</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费用补贴</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31205</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利息补贴</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31299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其他对企业补助</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val="true"/>
              </w:rPr>
              <w:t>399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val="true"/>
              </w:rPr>
              <w:t>其他支出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39906</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赠与</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39907</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国家赔偿费用支出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39908</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对民间非营利组织和群众性自治组织补贴</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39999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bl>
    <w:p>
      <w:pPr>
        <w:spacing w:before="25" w:after="0"/>
        <w:ind w:left="0" w:leftChars="0" w:right="-92" w:rightChars="-42" w:firstLine="0" w:firstLineChars="0"/>
        <w:jc w:val="both"/>
        <w:rPr>
          <w:rFonts w:hint="eastAsia" w:ascii="仿宋" w:hAnsi="仿宋" w:eastAsia="仿宋" w:cs="仿宋"/>
          <w:b w:val="0"/>
          <w:bCs w:val="0"/>
          <w:sz w:val="22"/>
          <w:szCs w:val="22"/>
        </w:rPr>
      </w:pPr>
      <w:r>
        <w:rPr>
          <w:rFonts w:hint="eastAsia" w:ascii="仿宋" w:hAnsi="仿宋" w:eastAsia="仿宋" w:cs="仿宋"/>
          <w:b w:val="0"/>
          <w:bCs w:val="0"/>
          <w:sz w:val="22"/>
          <w:szCs w:val="22"/>
        </w:rPr>
        <w:t>注：本表反映本年度一般公共预算财政拨款基本支出情况。</w:t>
      </w:r>
      <w:r>
        <w:rPr>
          <w:rFonts w:hint="eastAsia" w:ascii="仿宋" w:hAnsi="仿宋" w:eastAsia="仿宋" w:cs="仿宋"/>
          <w:b w:val="0"/>
          <w:bCs w:val="0"/>
          <w:sz w:val="22"/>
          <w:szCs w:val="22"/>
          <w:lang w:val="en-US" w:eastAsia="zh-CN"/>
        </w:rPr>
        <w:t/>
      </w:r>
      <w:r>
        <w:rPr>
          <w:rFonts w:hint="eastAsia" w:ascii="仿宋" w:hAnsi="仿宋" w:eastAsia="仿宋" w:cs="仿宋"/>
          <w:b w:val="0"/>
          <w:bCs w:val="0"/>
          <w:sz w:val="22"/>
          <w:szCs w:val="22"/>
        </w:rPr>
        <w:t>本表金额单位转换时可能存在尾数误差。</w:t>
      </w:r>
      <w:r>
        <w:rPr>
          <w:rFonts w:hint="eastAsia" w:ascii="仿宋" w:hAnsi="仿宋" w:eastAsia="仿宋" w:cs="仿宋"/>
          <w:b w:val="0"/>
          <w:bCs w:val="0"/>
          <w:sz w:val="22"/>
          <w:szCs w:val="22"/>
          <w:lang w:val="en-US" w:eastAsia="zh-CN"/>
        </w:rPr>
        <w:t/>
      </w:r>
    </w:p>
    <w:p>
      <w:pPr>
        <w:widowControl w:val="0"/>
        <w:numPr>
          <w:ilvl w:val="0"/>
          <w:numId w:val="0"/>
        </w:numPr>
        <w:suppressAutoHyphens/>
        <w:bidi w:val="0"/>
        <w:spacing w:before="25" w:after="0"/>
        <w:jc w:val="both"/>
        <w:rPr>
          <w:rFonts w:hint="eastAsia" w:ascii="仿宋" w:hAnsi="仿宋" w:eastAsia="仿宋" w:cs="仿宋"/>
          <w:b w:val="0"/>
          <w:bCs w:val="0"/>
          <w:sz w:val="22"/>
          <w:szCs w:val="22"/>
        </w:rPr>
        <w:sectPr>
          <w:footerReference r:id="rId15" w:type="default"/>
          <w:pgSz w:w="11906" w:h="16838"/>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6486" w:type="dxa"/>
        <w:tblInd w:w="62" w:type="dxa"/>
        <w:tblLayout w:type="fixed"/>
        <w:tblCellMar>
          <w:top w:w="55" w:type="dxa"/>
          <w:left w:w="55" w:type="dxa"/>
          <w:bottom w:w="55" w:type="dxa"/>
          <w:right w:w="55" w:type="dxa"/>
        </w:tblCellMar>
      </w:tblPr>
      <w:tblGrid>
        <w:gridCol w:w="1044"/>
        <w:gridCol w:w="1042"/>
        <w:gridCol w:w="1020"/>
        <w:gridCol w:w="1029"/>
        <w:gridCol w:w="998"/>
        <w:gridCol w:w="1026"/>
        <w:gridCol w:w="1043"/>
        <w:gridCol w:w="1010"/>
        <w:gridCol w:w="1058"/>
        <w:gridCol w:w="1010"/>
        <w:gridCol w:w="948"/>
        <w:gridCol w:w="1089"/>
        <w:gridCol w:w="1042"/>
        <w:gridCol w:w="1043"/>
        <w:gridCol w:w="1057"/>
        <w:gridCol w:w="1027"/>
      </w:tblGrid>
      <w:tr>
        <w:tblPrEx>
          <w:tblCellMar>
            <w:top w:w="55" w:type="dxa"/>
            <w:left w:w="55" w:type="dxa"/>
            <w:bottom w:w="55" w:type="dxa"/>
            <w:right w:w="55" w:type="dxa"/>
          </w:tblCellMar>
        </w:tblPrEx>
        <w:trPr>
          <w:trHeight w:val="321" w:hRule="atLeast"/>
        </w:trPr>
        <w:tc>
          <w:tcPr>
            <w:tcW w:w="16486" w:type="dxa"/>
            <w:gridSpan w:val="16"/>
          </w:tcPr>
          <w:p>
            <w:pPr>
              <w:pStyle w:val="22"/>
              <w:widowControl w:val="0"/>
              <w:jc w:val="center"/>
              <w:rPr>
                <w:rFonts w:hint="eastAsia" w:ascii="仿宋" w:hAnsi="仿宋" w:eastAsia="仿宋" w:cs="仿宋"/>
                <w:b/>
                <w:bCs/>
                <w:sz w:val="44"/>
                <w:szCs w:val="44"/>
              </w:rPr>
            </w:pPr>
            <w:r>
              <w:rPr>
                <w:rFonts w:hint="eastAsia" w:ascii="宋体" w:hAnsi="宋体" w:eastAsia="宋体" w:cs="宋体"/>
                <w:b/>
                <w:bCs/>
                <w:color w:val="000000"/>
                <w:kern w:val="0"/>
                <w:sz w:val="36"/>
                <w:szCs w:val="36"/>
                <w:lang w:val="zh-CN" w:eastAsia="ar-SA" w:bidi="zh-CN"/>
              </w:rPr>
              <w:t>一般公共预算“三公”经费、会议费、培训费支出决算表</w:t>
            </w:r>
          </w:p>
        </w:tc>
      </w:tr>
      <w:tr>
        <w:tblPrEx>
          <w:tblCellMar>
            <w:top w:w="55" w:type="dxa"/>
            <w:left w:w="55" w:type="dxa"/>
            <w:bottom w:w="55" w:type="dxa"/>
            <w:right w:w="55" w:type="dxa"/>
          </w:tblCellMar>
        </w:tblPrEx>
        <w:trPr>
          <w:trHeight w:val="207" w:hRule="atLeast"/>
        </w:trPr>
        <w:tc>
          <w:tcPr>
            <w:tcW w:w="16486" w:type="dxa"/>
            <w:gridSpan w:val="16"/>
          </w:tcPr>
          <w:p>
            <w:pPr>
              <w:pStyle w:val="22"/>
              <w:widowControl w:val="0"/>
              <w:jc w:val="right"/>
              <w:rPr>
                <w:rFonts w:hint="eastAsia" w:ascii="仿宋" w:hAnsi="仿宋" w:eastAsia="仿宋" w:cs="仿宋"/>
                <w:sz w:val="20"/>
              </w:rPr>
            </w:pPr>
            <w:r>
              <w:rPr>
                <w:rFonts w:hint="eastAsia" w:ascii="仿宋" w:hAnsi="仿宋" w:eastAsia="仿宋" w:cs="仿宋"/>
              </w:rPr>
              <w:t>公开09表</w:t>
            </w:r>
          </w:p>
        </w:tc>
      </w:tr>
      <w:tr>
        <w:tblPrEx>
          <w:tblCellMar>
            <w:top w:w="55" w:type="dxa"/>
            <w:left w:w="55" w:type="dxa"/>
            <w:bottom w:w="55" w:type="dxa"/>
            <w:right w:w="55" w:type="dxa"/>
          </w:tblCellMar>
        </w:tblPrEx>
        <w:trPr>
          <w:trHeight w:val="103" w:hRule="atLeast"/>
        </w:trPr>
        <w:tc>
          <w:tcPr>
            <w:tcW w:w="8212" w:type="dxa"/>
            <w:gridSpan w:val="8"/>
            <w:tcBorders>
              <w:bottom w:val="single" w:color="auto" w:sz="4" w:space="0"/>
            </w:tcBorders>
          </w:tcPr>
          <w:p>
            <w:pPr>
              <w:pStyle w:val="22"/>
              <w:widowControl w:val="0"/>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cs="仿宋" w:eastAsia="仿宋"/>
                <w:color w:val="000000"/>
                <w:sz w:val="22"/>
              </w:rPr>
              <w:t>名称：</w:t>
            </w:r>
            <w:r>
              <w:rPr>
                <w:rFonts w:hint="eastAsia" w:ascii="仿宋" w:hAnsi="仿宋" w:eastAsia="仿宋" w:cs="仿宋"/>
              </w:rPr>
              <w:t>江苏省伤残人康复中心</w:t>
            </w:r>
          </w:p>
        </w:tc>
        <w:tc>
          <w:tcPr>
            <w:tcW w:w="8274" w:type="dxa"/>
            <w:gridSpan w:val="8"/>
            <w:tcBorders>
              <w:bottom w:val="single" w:color="auto" w:sz="4" w:space="0"/>
            </w:tcBorders>
          </w:tcPr>
          <w:p>
            <w:pPr>
              <w:pStyle w:val="22"/>
              <w:widowControl w:val="0"/>
              <w:jc w:val="right"/>
              <w:rPr>
                <w:rFonts w:hint="eastAsia" w:ascii="仿宋" w:hAnsi="仿宋" w:eastAsia="仿宋" w:cs="仿宋"/>
              </w:rPr>
            </w:pPr>
            <w:r>
              <w:rPr>
                <w:rFonts w:hint="eastAsia" w:ascii="仿宋" w:hAnsi="仿宋" w:eastAsia="仿宋" w:cs="仿宋"/>
              </w:rPr>
              <w:t>金额单位：万元</w:t>
            </w:r>
          </w:p>
        </w:tc>
      </w:tr>
      <w:tr>
        <w:tblPrEx>
          <w:tblCellMar>
            <w:top w:w="55" w:type="dxa"/>
            <w:left w:w="55" w:type="dxa"/>
            <w:bottom w:w="55" w:type="dxa"/>
            <w:right w:w="55" w:type="dxa"/>
          </w:tblCellMar>
        </w:tblPrEx>
        <w:trPr>
          <w:trHeight w:val="171" w:hRule="atLeast"/>
        </w:trPr>
        <w:tc>
          <w:tcPr>
            <w:tcW w:w="8212" w:type="dxa"/>
            <w:gridSpan w:val="8"/>
            <w:tcBorders>
              <w:top w:val="single" w:color="auto" w:sz="4" w:space="0"/>
              <w:left w:val="single" w:color="auto" w:sz="4" w:space="0"/>
              <w:bottom w:val="single" w:color="auto" w:sz="4" w:space="0"/>
              <w:right w:val="single" w:color="auto" w:sz="4" w:space="0"/>
            </w:tcBorders>
          </w:tcPr>
          <w:p>
            <w:pPr>
              <w:pStyle w:val="22"/>
              <w:widowControl w:val="0"/>
              <w:jc w:val="center"/>
              <w:rPr>
                <w:rFonts w:hint="eastAsia" w:ascii="仿宋" w:hAnsi="仿宋" w:eastAsia="仿宋" w:cs="仿宋"/>
              </w:rPr>
            </w:pPr>
            <w:r>
              <w:rPr>
                <w:rFonts w:hint="eastAsia" w:ascii="仿宋" w:hAnsi="仿宋" w:eastAsia="仿宋" w:cs="仿宋"/>
                <w:lang w:val="en-US" w:eastAsia="zh-CN"/>
              </w:rPr>
              <w:t>预算数</w:t>
            </w:r>
          </w:p>
        </w:tc>
        <w:tc>
          <w:tcPr>
            <w:tcW w:w="8274" w:type="dxa"/>
            <w:gridSpan w:val="8"/>
            <w:tcBorders>
              <w:top w:val="single" w:color="auto" w:sz="4" w:space="0"/>
              <w:left w:val="single" w:color="auto" w:sz="4" w:space="0"/>
              <w:bottom w:val="single" w:color="auto" w:sz="4" w:space="0"/>
              <w:right w:val="single" w:color="auto" w:sz="4" w:space="0"/>
            </w:tcBorders>
          </w:tcPr>
          <w:p>
            <w:pPr>
              <w:pStyle w:val="22"/>
              <w:widowControl w:val="0"/>
              <w:jc w:val="center"/>
              <w:rPr>
                <w:rFonts w:hint="eastAsia" w:ascii="仿宋" w:hAnsi="仿宋" w:eastAsia="仿宋" w:cs="仿宋"/>
                <w:lang w:val="en-US" w:eastAsia="zh-CN"/>
              </w:rPr>
            </w:pPr>
            <w:r>
              <w:rPr>
                <w:rFonts w:hint="eastAsia" w:ascii="仿宋" w:hAnsi="仿宋" w:eastAsia="仿宋" w:cs="仿宋"/>
                <w:lang w:val="en-US" w:eastAsia="zh-CN"/>
              </w:rPr>
              <w:t>决算数</w:t>
            </w:r>
          </w:p>
        </w:tc>
      </w:tr>
      <w:tr>
        <w:tblPrEx>
          <w:tblCellMar>
            <w:top w:w="55" w:type="dxa"/>
            <w:left w:w="55" w:type="dxa"/>
            <w:bottom w:w="55" w:type="dxa"/>
            <w:right w:w="55" w:type="dxa"/>
          </w:tblCellMar>
        </w:tblPrEx>
        <w:trPr>
          <w:trHeight w:val="179" w:hRule="atLeast"/>
        </w:trPr>
        <w:tc>
          <w:tcPr>
            <w:tcW w:w="6159" w:type="dxa"/>
            <w:gridSpan w:val="6"/>
            <w:tcBorders>
              <w:top w:val="single" w:color="auto"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“三公”经费</w:t>
            </w:r>
          </w:p>
        </w:tc>
        <w:tc>
          <w:tcPr>
            <w:tcW w:w="1043" w:type="dxa"/>
            <w:vMerge w:val="restart"/>
            <w:tcBorders>
              <w:top w:val="single" w:color="auto"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会议费</w:t>
            </w:r>
          </w:p>
        </w:tc>
        <w:tc>
          <w:tcPr>
            <w:tcW w:w="1010" w:type="dxa"/>
            <w:vMerge w:val="restart"/>
            <w:tcBorders>
              <w:top w:val="single" w:color="auto" w:sz="4" w:space="0"/>
              <w:left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培训费</w:t>
            </w:r>
          </w:p>
        </w:tc>
        <w:tc>
          <w:tcPr>
            <w:tcW w:w="6190" w:type="dxa"/>
            <w:gridSpan w:val="6"/>
            <w:tcBorders>
              <w:top w:val="single" w:color="auto"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“三公”经费</w:t>
            </w:r>
          </w:p>
        </w:tc>
        <w:tc>
          <w:tcPr>
            <w:tcW w:w="1057" w:type="dxa"/>
            <w:vMerge w:val="restart"/>
            <w:tcBorders>
              <w:top w:val="single" w:color="auto" w:sz="4" w:space="0"/>
              <w:left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会议费</w:t>
            </w:r>
          </w:p>
        </w:tc>
        <w:tc>
          <w:tcPr>
            <w:tcW w:w="1027" w:type="dxa"/>
            <w:vMerge w:val="restart"/>
            <w:tcBorders>
              <w:top w:val="single" w:color="auto" w:sz="4" w:space="0"/>
              <w:left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培训费</w:t>
            </w:r>
          </w:p>
        </w:tc>
      </w:tr>
      <w:tr>
        <w:tblPrEx>
          <w:tblCellMar>
            <w:top w:w="55" w:type="dxa"/>
            <w:left w:w="55" w:type="dxa"/>
            <w:bottom w:w="55" w:type="dxa"/>
            <w:right w:w="55" w:type="dxa"/>
          </w:tblCellMar>
        </w:tblPrEx>
        <w:trPr>
          <w:trHeight w:val="297" w:hRule="atLeast"/>
        </w:trPr>
        <w:tc>
          <w:tcPr>
            <w:tcW w:w="1044" w:type="dxa"/>
            <w:vMerge w:val="restart"/>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“三公”经费合计</w:t>
            </w:r>
          </w:p>
        </w:tc>
        <w:tc>
          <w:tcPr>
            <w:tcW w:w="1042" w:type="dxa"/>
            <w:vMerge w:val="restart"/>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因公出国（境）费</w:t>
            </w:r>
          </w:p>
        </w:tc>
        <w:tc>
          <w:tcPr>
            <w:tcW w:w="3047" w:type="dxa"/>
            <w:gridSpan w:val="3"/>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公务用车购置及运行费</w:t>
            </w:r>
          </w:p>
        </w:tc>
        <w:tc>
          <w:tcPr>
            <w:tcW w:w="1026" w:type="dxa"/>
            <w:vMerge w:val="restart"/>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w:t>
            </w:r>
          </w:p>
          <w:p>
            <w:pPr>
              <w:pStyle w:val="22"/>
              <w:widowControl w:val="0"/>
              <w:jc w:val="center"/>
              <w:rPr>
                <w:rFonts w:hint="eastAsia" w:ascii="仿宋" w:hAnsi="仿宋" w:eastAsia="仿宋" w:cs="仿宋"/>
              </w:rPr>
            </w:pPr>
            <w:r>
              <w:rPr>
                <w:rFonts w:hint="eastAsia" w:ascii="仿宋" w:hAnsi="仿宋" w:eastAsia="仿宋" w:cs="仿宋"/>
              </w:rPr>
              <w:t>接待费</w:t>
            </w:r>
          </w:p>
        </w:tc>
        <w:tc>
          <w:tcPr>
            <w:tcW w:w="1043" w:type="dxa"/>
            <w:vMerge w:val="continue"/>
            <w:tcBorders>
              <w:left w:val="single" w:color="000000" w:sz="4" w:space="0"/>
              <w:bottom w:val="single" w:color="000000" w:sz="4" w:space="0"/>
            </w:tcBorders>
            <w:vAlign w:val="center"/>
          </w:tcPr>
          <w:p>
            <w:pPr>
              <w:widowControl w:val="0"/>
              <w:jc w:val="center"/>
              <w:rPr>
                <w:rFonts w:hint="eastAsia" w:ascii="仿宋" w:hAnsi="仿宋" w:eastAsia="仿宋" w:cs="仿宋"/>
                <w:sz w:val="20"/>
              </w:rPr>
            </w:pPr>
          </w:p>
        </w:tc>
        <w:tc>
          <w:tcPr>
            <w:tcW w:w="1010" w:type="dxa"/>
            <w:vMerge w:val="continue"/>
            <w:tcBorders>
              <w:left w:val="single" w:color="000000" w:sz="4" w:space="0"/>
              <w:right w:val="single" w:color="000000" w:sz="4" w:space="0"/>
            </w:tcBorders>
            <w:vAlign w:val="center"/>
          </w:tcPr>
          <w:p>
            <w:pPr>
              <w:widowControl w:val="0"/>
              <w:jc w:val="center"/>
              <w:rPr>
                <w:rFonts w:hint="eastAsia" w:ascii="仿宋" w:hAnsi="仿宋" w:eastAsia="仿宋" w:cs="仿宋"/>
                <w:sz w:val="20"/>
              </w:rPr>
            </w:pPr>
          </w:p>
        </w:tc>
        <w:tc>
          <w:tcPr>
            <w:tcW w:w="1058" w:type="dxa"/>
            <w:vMerge w:val="restart"/>
            <w:tcBorders>
              <w:left w:val="single" w:color="000000" w:sz="4" w:space="0"/>
              <w:right w:val="single" w:color="000000" w:sz="4" w:space="0"/>
            </w:tcBorders>
            <w:vAlign w:val="center"/>
          </w:tcPr>
          <w:p>
            <w:pPr>
              <w:pStyle w:val="22"/>
              <w:widowControl w:val="0"/>
              <w:jc w:val="center"/>
              <w:rPr>
                <w:rFonts w:hint="eastAsia" w:ascii="仿宋" w:hAnsi="仿宋" w:eastAsia="仿宋" w:cs="仿宋"/>
                <w:sz w:val="20"/>
              </w:rPr>
            </w:pPr>
            <w:r>
              <w:rPr>
                <w:rFonts w:hint="eastAsia" w:ascii="仿宋" w:hAnsi="仿宋" w:eastAsia="仿宋" w:cs="仿宋"/>
              </w:rPr>
              <w:t>“三公”经费合计</w:t>
            </w:r>
          </w:p>
        </w:tc>
        <w:tc>
          <w:tcPr>
            <w:tcW w:w="1010" w:type="dxa"/>
            <w:vMerge w:val="restart"/>
            <w:tcBorders>
              <w:left w:val="single" w:color="000000" w:sz="4" w:space="0"/>
              <w:right w:val="single" w:color="000000" w:sz="4" w:space="0"/>
            </w:tcBorders>
            <w:vAlign w:val="center"/>
          </w:tcPr>
          <w:p>
            <w:pPr>
              <w:pStyle w:val="22"/>
              <w:widowControl w:val="0"/>
              <w:jc w:val="center"/>
              <w:rPr>
                <w:rFonts w:hint="eastAsia" w:ascii="仿宋" w:hAnsi="仿宋" w:eastAsia="仿宋" w:cs="仿宋"/>
                <w:sz w:val="20"/>
              </w:rPr>
            </w:pPr>
            <w:r>
              <w:rPr>
                <w:rFonts w:hint="eastAsia" w:ascii="仿宋" w:hAnsi="仿宋" w:eastAsia="仿宋" w:cs="仿宋"/>
              </w:rPr>
              <w:t>因公出国（境）费</w:t>
            </w:r>
          </w:p>
        </w:tc>
        <w:tc>
          <w:tcPr>
            <w:tcW w:w="3079" w:type="dxa"/>
            <w:gridSpan w:val="3"/>
            <w:tcBorders>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sz w:val="20"/>
              </w:rPr>
            </w:pPr>
            <w:r>
              <w:rPr>
                <w:rFonts w:hint="eastAsia" w:ascii="仿宋" w:hAnsi="仿宋" w:eastAsia="仿宋" w:cs="仿宋"/>
              </w:rPr>
              <w:t>公务用车购置及运行费</w:t>
            </w:r>
          </w:p>
        </w:tc>
        <w:tc>
          <w:tcPr>
            <w:tcW w:w="1043" w:type="dxa"/>
            <w:vMerge w:val="restart"/>
            <w:tcBorders>
              <w:left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w:t>
            </w:r>
          </w:p>
          <w:p>
            <w:pPr>
              <w:pStyle w:val="22"/>
              <w:widowControl w:val="0"/>
              <w:jc w:val="center"/>
              <w:rPr>
                <w:rFonts w:hint="eastAsia" w:ascii="仿宋" w:hAnsi="仿宋" w:eastAsia="仿宋" w:cs="仿宋"/>
                <w:sz w:val="20"/>
              </w:rPr>
            </w:pPr>
            <w:r>
              <w:rPr>
                <w:rFonts w:hint="eastAsia" w:ascii="仿宋" w:hAnsi="仿宋" w:eastAsia="仿宋" w:cs="仿宋"/>
              </w:rPr>
              <w:t>接待费</w:t>
            </w:r>
          </w:p>
        </w:tc>
        <w:tc>
          <w:tcPr>
            <w:tcW w:w="1057" w:type="dxa"/>
            <w:vMerge w:val="continue"/>
            <w:tcBorders>
              <w:left w:val="single" w:color="000000" w:sz="4" w:space="0"/>
              <w:right w:val="single" w:color="000000" w:sz="4" w:space="0"/>
            </w:tcBorders>
            <w:vAlign w:val="center"/>
          </w:tcPr>
          <w:p>
            <w:pPr>
              <w:widowControl w:val="0"/>
              <w:jc w:val="center"/>
              <w:rPr>
                <w:rFonts w:hint="eastAsia" w:ascii="仿宋" w:hAnsi="仿宋" w:eastAsia="仿宋" w:cs="仿宋"/>
                <w:sz w:val="20"/>
              </w:rPr>
            </w:pPr>
          </w:p>
        </w:tc>
        <w:tc>
          <w:tcPr>
            <w:tcW w:w="1027" w:type="dxa"/>
            <w:vMerge w:val="continue"/>
            <w:tcBorders>
              <w:left w:val="single" w:color="000000" w:sz="4" w:space="0"/>
              <w:right w:val="single" w:color="000000" w:sz="4" w:space="0"/>
            </w:tcBorders>
            <w:vAlign w:val="center"/>
          </w:tcPr>
          <w:p>
            <w:pPr>
              <w:widowControl w:val="0"/>
              <w:jc w:val="center"/>
              <w:rPr>
                <w:rFonts w:hint="eastAsia" w:ascii="仿宋" w:hAnsi="仿宋" w:eastAsia="仿宋" w:cs="仿宋"/>
                <w:sz w:val="20"/>
              </w:rPr>
            </w:pPr>
          </w:p>
        </w:tc>
      </w:tr>
      <w:tr>
        <w:tblPrEx>
          <w:tblCellMar>
            <w:top w:w="55" w:type="dxa"/>
            <w:left w:w="55" w:type="dxa"/>
            <w:bottom w:w="55" w:type="dxa"/>
            <w:right w:w="55" w:type="dxa"/>
          </w:tblCellMar>
        </w:tblPrEx>
        <w:trPr>
          <w:trHeight w:val="621" w:hRule="exact"/>
        </w:trPr>
        <w:tc>
          <w:tcPr>
            <w:tcW w:w="1044" w:type="dxa"/>
            <w:vMerge w:val="continue"/>
            <w:tcBorders>
              <w:left w:val="single" w:color="000000" w:sz="4" w:space="0"/>
              <w:bottom w:val="single" w:color="000000" w:sz="4" w:space="0"/>
            </w:tcBorders>
          </w:tcPr>
          <w:p>
            <w:pPr>
              <w:widowControl w:val="0"/>
              <w:jc w:val="left"/>
              <w:rPr>
                <w:rFonts w:hint="eastAsia" w:ascii="仿宋" w:hAnsi="仿宋" w:eastAsia="仿宋" w:cs="仿宋"/>
                <w:sz w:val="2"/>
                <w:szCs w:val="2"/>
              </w:rPr>
            </w:pPr>
          </w:p>
        </w:tc>
        <w:tc>
          <w:tcPr>
            <w:tcW w:w="1042" w:type="dxa"/>
            <w:vMerge w:val="continue"/>
            <w:tcBorders>
              <w:left w:val="single" w:color="000000" w:sz="4" w:space="0"/>
              <w:bottom w:val="single" w:color="000000" w:sz="4" w:space="0"/>
            </w:tcBorders>
          </w:tcPr>
          <w:p>
            <w:pPr>
              <w:widowControl w:val="0"/>
              <w:jc w:val="left"/>
              <w:rPr>
                <w:rFonts w:hint="eastAsia" w:ascii="仿宋" w:hAnsi="仿宋" w:eastAsia="仿宋" w:cs="仿宋"/>
                <w:sz w:val="2"/>
                <w:szCs w:val="2"/>
              </w:rPr>
            </w:pPr>
          </w:p>
        </w:tc>
        <w:tc>
          <w:tcPr>
            <w:tcW w:w="1020"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
            </w:r>
            <w:r>
              <w:rPr>
                <w:rFonts w:ascii="仿宋" w:hAnsi="仿宋" w:cs="仿宋" w:eastAsia="仿宋"/>
              </w:rPr>
              <w:t>小计</w:t>
            </w:r>
          </w:p>
        </w:tc>
        <w:tc>
          <w:tcPr>
            <w:tcW w:w="1029"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公务用车购置费</w:t>
            </w:r>
          </w:p>
        </w:tc>
        <w:tc>
          <w:tcPr>
            <w:tcW w:w="998"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公务用车运行费</w:t>
            </w:r>
          </w:p>
        </w:tc>
        <w:tc>
          <w:tcPr>
            <w:tcW w:w="1026" w:type="dxa"/>
            <w:vMerge w:val="continue"/>
            <w:tcBorders>
              <w:left w:val="single" w:color="000000" w:sz="4" w:space="0"/>
              <w:bottom w:val="single" w:color="000000" w:sz="4" w:space="0"/>
            </w:tcBorders>
          </w:tcPr>
          <w:p>
            <w:pPr>
              <w:widowControl w:val="0"/>
              <w:jc w:val="left"/>
              <w:rPr>
                <w:rFonts w:hint="eastAsia" w:ascii="仿宋" w:hAnsi="仿宋" w:eastAsia="仿宋" w:cs="仿宋"/>
                <w:sz w:val="2"/>
                <w:szCs w:val="2"/>
              </w:rPr>
            </w:pPr>
          </w:p>
        </w:tc>
        <w:tc>
          <w:tcPr>
            <w:tcW w:w="1043" w:type="dxa"/>
            <w:vMerge w:val="continue"/>
            <w:tcBorders>
              <w:left w:val="single" w:color="000000" w:sz="4" w:space="0"/>
              <w:bottom w:val="single" w:color="000000" w:sz="4" w:space="0"/>
            </w:tcBorders>
          </w:tcPr>
          <w:p>
            <w:pPr>
              <w:widowControl w:val="0"/>
              <w:jc w:val="left"/>
              <w:rPr>
                <w:rFonts w:hint="eastAsia" w:ascii="仿宋" w:hAnsi="仿宋" w:eastAsia="仿宋" w:cs="仿宋"/>
                <w:sz w:val="2"/>
                <w:szCs w:val="2"/>
              </w:rPr>
            </w:pPr>
          </w:p>
        </w:tc>
        <w:tc>
          <w:tcPr>
            <w:tcW w:w="1010" w:type="dxa"/>
            <w:vMerge w:val="continue"/>
            <w:tcBorders>
              <w:left w:val="single" w:color="000000" w:sz="4" w:space="0"/>
              <w:bottom w:val="single" w:color="000000" w:sz="4" w:space="0"/>
              <w:right w:val="single" w:color="000000" w:sz="4" w:space="0"/>
            </w:tcBorders>
          </w:tcPr>
          <w:p>
            <w:pPr>
              <w:widowControl w:val="0"/>
              <w:jc w:val="left"/>
              <w:rPr>
                <w:rFonts w:hint="eastAsia" w:ascii="仿宋" w:hAnsi="仿宋" w:eastAsia="仿宋" w:cs="仿宋"/>
                <w:sz w:val="2"/>
                <w:szCs w:val="2"/>
              </w:rPr>
            </w:pPr>
          </w:p>
        </w:tc>
        <w:tc>
          <w:tcPr>
            <w:tcW w:w="1058" w:type="dxa"/>
            <w:vMerge w:val="continue"/>
            <w:tcBorders>
              <w:left w:val="single" w:color="000000" w:sz="4" w:space="0"/>
              <w:bottom w:val="single" w:color="000000" w:sz="4" w:space="0"/>
              <w:right w:val="single" w:color="000000" w:sz="4" w:space="0"/>
            </w:tcBorders>
            <w:vAlign w:val="top"/>
          </w:tcPr>
          <w:p>
            <w:pPr>
              <w:widowControl w:val="0"/>
              <w:jc w:val="left"/>
              <w:rPr>
                <w:rFonts w:hint="eastAsia" w:ascii="仿宋" w:hAnsi="仿宋" w:eastAsia="仿宋" w:cs="仿宋"/>
                <w:sz w:val="2"/>
                <w:szCs w:val="2"/>
              </w:rPr>
            </w:pPr>
          </w:p>
        </w:tc>
        <w:tc>
          <w:tcPr>
            <w:tcW w:w="1010" w:type="dxa"/>
            <w:vMerge w:val="continue"/>
            <w:tcBorders>
              <w:left w:val="single" w:color="000000" w:sz="4" w:space="0"/>
              <w:bottom w:val="single" w:color="000000" w:sz="4" w:space="0"/>
              <w:right w:val="single" w:color="000000" w:sz="4" w:space="0"/>
            </w:tcBorders>
            <w:vAlign w:val="top"/>
          </w:tcPr>
          <w:p>
            <w:pPr>
              <w:widowControl w:val="0"/>
              <w:jc w:val="left"/>
              <w:rPr>
                <w:rFonts w:hint="eastAsia" w:ascii="仿宋" w:hAnsi="仿宋" w:eastAsia="仿宋" w:cs="仿宋"/>
                <w:sz w:val="2"/>
                <w:szCs w:val="2"/>
              </w:rPr>
            </w:pPr>
          </w:p>
        </w:tc>
        <w:tc>
          <w:tcPr>
            <w:tcW w:w="948" w:type="dxa"/>
            <w:tcBorders>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sz w:val="2"/>
                <w:szCs w:val="2"/>
              </w:rPr>
            </w:pPr>
            <w:r>
              <w:rPr>
                <w:rFonts w:hint="eastAsia" w:ascii="仿宋" w:hAnsi="仿宋" w:eastAsia="仿宋" w:cs="仿宋"/>
              </w:rPr>
              <w:t/>
            </w:r>
            <w:r>
              <w:rPr>
                <w:rFonts w:ascii="仿宋" w:hAnsi="仿宋" w:cs="仿宋" w:eastAsia="仿宋"/>
              </w:rPr>
              <w:t>小计</w:t>
            </w:r>
          </w:p>
        </w:tc>
        <w:tc>
          <w:tcPr>
            <w:tcW w:w="1089" w:type="dxa"/>
            <w:tcBorders>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sz w:val="2"/>
                <w:szCs w:val="2"/>
              </w:rPr>
            </w:pPr>
            <w:r>
              <w:rPr>
                <w:rFonts w:hint="eastAsia" w:ascii="仿宋" w:hAnsi="仿宋" w:eastAsia="仿宋" w:cs="仿宋"/>
              </w:rPr>
              <w:t>公务用车购置费</w:t>
            </w:r>
          </w:p>
        </w:tc>
        <w:tc>
          <w:tcPr>
            <w:tcW w:w="1042" w:type="dxa"/>
            <w:tcBorders>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sz w:val="2"/>
                <w:szCs w:val="2"/>
              </w:rPr>
            </w:pPr>
            <w:r>
              <w:rPr>
                <w:rFonts w:hint="eastAsia" w:ascii="仿宋" w:hAnsi="仿宋" w:eastAsia="仿宋" w:cs="仿宋"/>
              </w:rPr>
              <w:t>公务用车运行费</w:t>
            </w:r>
          </w:p>
        </w:tc>
        <w:tc>
          <w:tcPr>
            <w:tcW w:w="1043" w:type="dxa"/>
            <w:vMerge w:val="continue"/>
            <w:tcBorders>
              <w:left w:val="single" w:color="000000" w:sz="4" w:space="0"/>
              <w:bottom w:val="single" w:color="000000" w:sz="4" w:space="0"/>
              <w:right w:val="single" w:color="000000" w:sz="4" w:space="0"/>
            </w:tcBorders>
            <w:vAlign w:val="top"/>
          </w:tcPr>
          <w:p>
            <w:pPr>
              <w:widowControl w:val="0"/>
              <w:jc w:val="left"/>
              <w:rPr>
                <w:rFonts w:hint="eastAsia" w:ascii="仿宋" w:hAnsi="仿宋" w:eastAsia="仿宋" w:cs="仿宋"/>
                <w:sz w:val="2"/>
                <w:szCs w:val="2"/>
              </w:rPr>
            </w:pPr>
          </w:p>
        </w:tc>
        <w:tc>
          <w:tcPr>
            <w:tcW w:w="1057" w:type="dxa"/>
            <w:vMerge w:val="continue"/>
            <w:tcBorders>
              <w:left w:val="single" w:color="000000" w:sz="4" w:space="0"/>
              <w:bottom w:val="single" w:color="000000" w:sz="4" w:space="0"/>
              <w:right w:val="single" w:color="000000" w:sz="4" w:space="0"/>
            </w:tcBorders>
            <w:vAlign w:val="top"/>
          </w:tcPr>
          <w:p>
            <w:pPr>
              <w:widowControl w:val="0"/>
              <w:jc w:val="left"/>
              <w:rPr>
                <w:rFonts w:hint="eastAsia" w:ascii="仿宋" w:hAnsi="仿宋" w:eastAsia="仿宋" w:cs="仿宋"/>
                <w:sz w:val="2"/>
                <w:szCs w:val="2"/>
              </w:rPr>
            </w:pPr>
          </w:p>
        </w:tc>
        <w:tc>
          <w:tcPr>
            <w:tcW w:w="1027" w:type="dxa"/>
            <w:vMerge w:val="continue"/>
            <w:tcBorders>
              <w:left w:val="single" w:color="000000" w:sz="4" w:space="0"/>
              <w:bottom w:val="single" w:color="000000" w:sz="4" w:space="0"/>
              <w:right w:val="single" w:color="000000" w:sz="4" w:space="0"/>
            </w:tcBorders>
            <w:vAlign w:val="top"/>
          </w:tcPr>
          <w:p>
            <w:pPr>
              <w:widowControl w:val="0"/>
              <w:jc w:val="left"/>
              <w:rPr>
                <w:rFonts w:hint="eastAsia" w:ascii="仿宋" w:hAnsi="仿宋" w:eastAsia="仿宋" w:cs="仿宋"/>
                <w:sz w:val="2"/>
                <w:szCs w:val="2"/>
              </w:rPr>
            </w:pPr>
          </w:p>
        </w:tc>
      </w:tr>
      <w:tr>
        <w:tblPrEx>
          <w:tblCellMar>
            <w:top w:w="55" w:type="dxa"/>
            <w:left w:w="55" w:type="dxa"/>
            <w:bottom w:w="55" w:type="dxa"/>
            <w:right w:w="55" w:type="dxa"/>
          </w:tblCellMar>
        </w:tblPrEx>
        <w:trPr>
          <w:cantSplit/>
          <w:trHeight w:val="380" w:hRule="atLeast"/>
        </w:trPr>
        <w:tc>
          <w:tcPr>
            <w:tcW w:w="1044"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0.00</w:t>
            </w:r>
          </w:p>
        </w:tc>
        <w:tc>
          <w:tcPr>
            <w:tcW w:w="1042"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0.00</w:t>
            </w:r>
          </w:p>
        </w:tc>
        <w:tc>
          <w:tcPr>
            <w:tcW w:w="102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0.00</w:t>
            </w:r>
          </w:p>
        </w:tc>
        <w:tc>
          <w:tcPr>
            <w:tcW w:w="1029"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0.00</w:t>
            </w:r>
          </w:p>
        </w:tc>
        <w:tc>
          <w:tcPr>
            <w:tcW w:w="998"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0.00</w:t>
            </w:r>
          </w:p>
        </w:tc>
        <w:tc>
          <w:tcPr>
            <w:tcW w:w="1026"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0.00</w:t>
            </w:r>
          </w:p>
        </w:tc>
        <w:tc>
          <w:tcPr>
            <w:tcW w:w="1043"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0.00</w:t>
            </w:r>
          </w:p>
        </w:tc>
        <w:tc>
          <w:tcPr>
            <w:tcW w:w="1010"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0.00</w:t>
            </w:r>
          </w:p>
        </w:tc>
        <w:tc>
          <w:tcPr>
            <w:tcW w:w="1058"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0.00</w:t>
            </w:r>
          </w:p>
        </w:tc>
        <w:tc>
          <w:tcPr>
            <w:tcW w:w="1010"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0.00</w:t>
            </w:r>
          </w:p>
        </w:tc>
        <w:tc>
          <w:tcPr>
            <w:tcW w:w="948"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0.00</w:t>
            </w:r>
          </w:p>
        </w:tc>
        <w:tc>
          <w:tcPr>
            <w:tcW w:w="1089"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0.00</w:t>
            </w:r>
          </w:p>
        </w:tc>
        <w:tc>
          <w:tcPr>
            <w:tcW w:w="1042"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0.00</w:t>
            </w:r>
          </w:p>
        </w:tc>
        <w:tc>
          <w:tcPr>
            <w:tcW w:w="1043"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0.00</w:t>
            </w:r>
          </w:p>
        </w:tc>
        <w:tc>
          <w:tcPr>
            <w:tcW w:w="1057"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0.00</w:t>
            </w:r>
          </w:p>
        </w:tc>
        <w:tc>
          <w:tcPr>
            <w:tcW w:w="1027"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0.00</w:t>
            </w:r>
          </w:p>
        </w:tc>
      </w:tr>
    </w:tbl>
    <w:p>
      <w:pPr>
        <w:spacing w:before="30" w:after="33"/>
        <w:ind w:left="220" w:leftChars="100" w:firstLine="0" w:firstLineChars="0"/>
        <w:rPr>
          <w:rFonts w:hint="eastAsia" w:ascii="仿宋" w:hAnsi="仿宋" w:eastAsia="仿宋" w:cs="仿宋"/>
          <w:sz w:val="22"/>
          <w:szCs w:val="22"/>
        </w:rPr>
      </w:pPr>
      <w:r>
        <w:rPr>
          <w:rFonts w:hint="eastAsia" w:ascii="仿宋" w:hAnsi="仿宋" w:eastAsia="仿宋" w:cs="仿宋"/>
          <w:sz w:val="22"/>
          <w:szCs w:val="22"/>
        </w:rPr>
        <w:t>相关统计数：</w:t>
      </w:r>
    </w:p>
    <w:tbl>
      <w:tblPr>
        <w:tblStyle w:val="12"/>
        <w:tblW w:w="11798" w:type="dxa"/>
        <w:tblInd w:w="62" w:type="dxa"/>
        <w:tblLayout w:type="fixed"/>
        <w:tblCellMar>
          <w:top w:w="55" w:type="dxa"/>
          <w:left w:w="55" w:type="dxa"/>
          <w:bottom w:w="55" w:type="dxa"/>
          <w:right w:w="55" w:type="dxa"/>
        </w:tblCellMar>
      </w:tblPr>
      <w:tblGrid>
        <w:gridCol w:w="4028"/>
        <w:gridCol w:w="1976"/>
        <w:gridCol w:w="3908"/>
        <w:gridCol w:w="1886"/>
      </w:tblGrid>
      <w:tr>
        <w:trPr>
          <w:cantSplit/>
          <w:trHeight w:val="214" w:hRule="atLeast"/>
        </w:trPr>
        <w:tc>
          <w:tcPr>
            <w:tcW w:w="4028" w:type="dxa"/>
            <w:tcBorders>
              <w:top w:val="single" w:color="auto" w:sz="4" w:space="0"/>
              <w:left w:val="single" w:color="auto"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sz w:val="22"/>
                <w:szCs w:val="22"/>
              </w:rPr>
              <w:t/>
            </w:r>
            <w:r>
              <w:rPr>
                <w:rFonts w:ascii="仿宋" w:hAnsi="仿宋" w:cs="仿宋" w:eastAsia="仿宋"/>
                <w:sz w:val="22"/>
              </w:rPr>
              <w:t>项目</w:t>
            </w:r>
          </w:p>
        </w:tc>
        <w:tc>
          <w:tcPr>
            <w:tcW w:w="1976"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sz w:val="22"/>
                <w:szCs w:val="22"/>
              </w:rPr>
              <w:t>统计数</w:t>
            </w:r>
          </w:p>
        </w:tc>
        <w:tc>
          <w:tcPr>
            <w:tcW w:w="3908"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sz w:val="22"/>
                <w:szCs w:val="22"/>
              </w:rPr>
              <w:t>项目</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sz w:val="22"/>
                <w:szCs w:val="22"/>
              </w:rPr>
              <w:t>统计数</w:t>
            </w:r>
          </w:p>
        </w:tc>
      </w:tr>
      <w:tr>
        <w:trPr>
          <w:cantSplit/>
          <w:trHeight w:val="190" w:hRule="atLeast"/>
        </w:trPr>
        <w:tc>
          <w:tcPr>
            <w:tcW w:w="4028" w:type="dxa"/>
            <w:tcBorders>
              <w:top w:val="single" w:color="auto" w:sz="4" w:space="0"/>
              <w:left w:val="single" w:color="auto"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因公出国（境）团组数(个)</w:t>
            </w:r>
          </w:p>
        </w:tc>
        <w:tc>
          <w:tcPr>
            <w:tcW w:w="1976"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
            </w:r>
          </w:p>
        </w:tc>
        <w:tc>
          <w:tcPr>
            <w:tcW w:w="3908"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因公出国（境）人次数(人)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
            </w:r>
          </w:p>
        </w:tc>
      </w:tr>
      <w:tr>
        <w:trPr>
          <w:cantSplit/>
          <w:trHeight w:val="190" w:hRule="atLeast"/>
        </w:trPr>
        <w:tc>
          <w:tcPr>
            <w:tcW w:w="4028" w:type="dxa"/>
            <w:tcBorders>
              <w:top w:val="single" w:color="auto" w:sz="4" w:space="0"/>
              <w:left w:val="single" w:color="auto"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公务用车购置数(辆)</w:t>
            </w:r>
          </w:p>
        </w:tc>
        <w:tc>
          <w:tcPr>
            <w:tcW w:w="1976"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
            </w:r>
          </w:p>
        </w:tc>
        <w:tc>
          <w:tcPr>
            <w:tcW w:w="3908"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公务用车保有量(辆)</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
            </w:r>
          </w:p>
        </w:tc>
      </w:tr>
      <w:tr>
        <w:trPr>
          <w:cantSplit/>
          <w:trHeight w:val="190" w:hRule="atLeast"/>
        </w:trPr>
        <w:tc>
          <w:tcPr>
            <w:tcW w:w="4028" w:type="dxa"/>
            <w:tcBorders>
              <w:top w:val="single" w:color="auto" w:sz="4" w:space="0"/>
              <w:left w:val="single" w:color="auto"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国内公务接待批次(个)</w:t>
            </w:r>
          </w:p>
        </w:tc>
        <w:tc>
          <w:tcPr>
            <w:tcW w:w="1976"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
            </w:r>
          </w:p>
        </w:tc>
        <w:tc>
          <w:tcPr>
            <w:tcW w:w="3908"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国内公务接待人次(人)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
            </w:r>
          </w:p>
        </w:tc>
      </w:tr>
      <w:tr>
        <w:trPr>
          <w:cantSplit/>
          <w:trHeight w:val="190" w:hRule="atLeast"/>
        </w:trPr>
        <w:tc>
          <w:tcPr>
            <w:tcW w:w="4028" w:type="dxa"/>
            <w:tcBorders>
              <w:top w:val="single" w:color="auto" w:sz="4" w:space="0"/>
              <w:left w:val="single" w:color="auto"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国（境）外公务接待批次(个)</w:t>
            </w:r>
          </w:p>
        </w:tc>
        <w:tc>
          <w:tcPr>
            <w:tcW w:w="1976"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
            </w:r>
          </w:p>
        </w:tc>
        <w:tc>
          <w:tcPr>
            <w:tcW w:w="3908"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国（境）外公务接待人次(人)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
            </w:r>
          </w:p>
        </w:tc>
      </w:tr>
      <w:tr>
        <w:trPr>
          <w:cantSplit/>
          <w:trHeight w:val="190" w:hRule="atLeast"/>
        </w:trPr>
        <w:tc>
          <w:tcPr>
            <w:tcW w:w="4028" w:type="dxa"/>
            <w:tcBorders>
              <w:top w:val="single" w:color="auto" w:sz="4" w:space="0"/>
              <w:left w:val="single" w:color="auto"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召开会议次数(个)</w:t>
            </w:r>
          </w:p>
        </w:tc>
        <w:tc>
          <w:tcPr>
            <w:tcW w:w="1976"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
            </w:r>
          </w:p>
        </w:tc>
        <w:tc>
          <w:tcPr>
            <w:tcW w:w="3908"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参加会议人次(人)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
            </w:r>
          </w:p>
        </w:tc>
      </w:tr>
      <w:tr>
        <w:trPr>
          <w:cantSplit/>
          <w:trHeight w:val="190" w:hRule="atLeast"/>
        </w:trPr>
        <w:tc>
          <w:tcPr>
            <w:tcW w:w="4028" w:type="dxa"/>
            <w:tcBorders>
              <w:top w:val="single" w:color="auto" w:sz="4" w:space="0"/>
              <w:left w:val="single" w:color="auto"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组织培训次数(个)</w:t>
            </w:r>
          </w:p>
        </w:tc>
        <w:tc>
          <w:tcPr>
            <w:tcW w:w="1976"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
            </w:r>
          </w:p>
        </w:tc>
        <w:tc>
          <w:tcPr>
            <w:tcW w:w="3908"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参加培训人次(人)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
            </w:r>
          </w:p>
        </w:tc>
      </w:tr>
    </w:tbl>
    <w:p>
      <w:pPr>
        <w:widowControl w:val="0"/>
        <w:suppressAutoHyphens/>
        <w:bidi w:val="0"/>
        <w:spacing w:before="0" w:after="0"/>
        <w:ind w:left="0" w:leftChars="0" w:right="-2" w:rightChars="0" w:firstLine="0" w:firstLineChars="0"/>
        <w:jc w:val="both"/>
        <w:rPr>
          <w:rFonts w:hint="eastAsia" w:ascii="仿宋" w:hAnsi="仿宋" w:eastAsia="仿宋" w:cs="仿宋"/>
          <w:b w:val="0"/>
          <w:bCs w:val="0"/>
          <w:sz w:val="22"/>
          <w:szCs w:val="22"/>
        </w:rPr>
      </w:pPr>
      <w:r>
        <w:rPr>
          <w:rFonts w:hint="eastAsia" w:ascii="仿宋" w:hAnsi="仿宋" w:eastAsia="仿宋" w:cs="仿宋"/>
          <w:b w:val="0"/>
          <w:bCs w:val="0"/>
          <w:sz w:val="22"/>
          <w:szCs w:val="22"/>
        </w:rPr>
        <w:t>注：</w:t>
      </w:r>
      <w:r>
        <w:rPr>
          <w:rFonts w:hint="eastAsia" w:ascii="仿宋" w:hAnsi="仿宋" w:eastAsia="仿宋" w:cs="仿宋"/>
          <w:b w:val="0"/>
          <w:bCs w:val="0"/>
          <w:sz w:val="22"/>
          <w:szCs w:val="22"/>
          <w:lang w:val="en-US" w:eastAsia="zh-CN"/>
        </w:rPr>
        <w:t>本表反映本年度一般公共预算“三公”经费、会议费和培训费支出情况。其中，预算数为全年预算数，反映按规定程序调整后的预算数；决算数是包括当年一般公共预算财政拨款和以前年度结转资金安排的实际支出。</w:t>
      </w:r>
      <w:r>
        <w:rPr>
          <w:rFonts w:ascii="仿宋" w:hAnsi="仿宋" w:cs="仿宋" w:eastAsia="仿宋"/>
          <w:sz w:val="22"/>
        </w:rPr>
        <w:t/>
      </w:r>
      <w:r>
        <w:rPr>
          <w:rFonts w:hint="eastAsia" w:ascii="仿宋" w:hAnsi="仿宋" w:eastAsia="仿宋" w:cs="仿宋"/>
          <w:b w:val="0"/>
          <w:bCs w:val="0"/>
          <w:sz w:val="22"/>
          <w:szCs w:val="22"/>
          <w:lang w:val="en-US" w:eastAsia="zh-CN"/>
        </w:rPr>
        <w:t/>
      </w:r>
    </w:p>
    <w:p>
      <w:pPr>
        <w:widowControl w:val="0"/>
        <w:numPr>
          <w:ilvl w:val="0"/>
          <w:numId w:val="0"/>
        </w:numPr>
        <w:suppressAutoHyphens/>
        <w:bidi w:val="0"/>
        <w:spacing w:before="0" w:after="0"/>
        <w:ind w:left="440" w:leftChars="200" w:right="0" w:rightChars="0" w:firstLine="0" w:firstLineChars="0"/>
        <w:jc w:val="both"/>
        <w:rPr>
          <w:rFonts w:hint="eastAsia" w:ascii="仿宋" w:hAnsi="仿宋" w:eastAsia="仿宋" w:cs="仿宋"/>
          <w:b w:val="0"/>
          <w:bCs w:val="0"/>
          <w:sz w:val="22"/>
          <w:szCs w:val="22"/>
        </w:rPr>
      </w:pPr>
      <w:r>
        <w:rPr>
          <w:rFonts w:hint="eastAsia" w:ascii="仿宋" w:hAnsi="仿宋" w:eastAsia="仿宋" w:cs="仿宋"/>
          <w:b w:val="0"/>
          <w:bCs w:val="0"/>
          <w:sz w:val="22"/>
          <w:szCs w:val="22"/>
        </w:rPr>
        <w:t/>
      </w:r>
      <w:r>
        <w:rPr>
          <w:rFonts w:hint="eastAsia" w:ascii="仿宋" w:hAnsi="仿宋" w:eastAsia="仿宋" w:cs="仿宋"/>
          <w:b w:val="0"/>
          <w:bCs w:val="0"/>
          <w:sz w:val="22"/>
          <w:szCs w:val="22"/>
          <w:lang w:eastAsia="zh-CN"/>
        </w:rPr>
        <w:t>本</w:t>
      </w:r>
      <w:r>
        <w:rPr>
          <w:rFonts w:ascii="仿宋" w:hAnsi="仿宋" w:cs="仿宋" w:eastAsia="仿宋"/>
          <w:sz w:val="22"/>
        </w:rPr>
        <w:t>单位</w:t>
      </w:r>
      <w:r>
        <w:rPr>
          <w:rFonts w:hint="eastAsia" w:ascii="仿宋" w:hAnsi="仿宋" w:eastAsia="仿宋" w:cs="仿宋"/>
          <w:b w:val="0"/>
          <w:bCs w:val="0"/>
          <w:sz w:val="22"/>
          <w:szCs w:val="22"/>
        </w:rPr>
        <w:t>无一般公共预算“三公”经费、会议费、培训费支出决算，故本表为空。</w:t>
      </w:r>
      <w:r>
        <w:rPr>
          <w:rFonts w:ascii="仿宋" w:hAnsi="仿宋" w:cs="仿宋" w:eastAsia="仿宋"/>
          <w:sz w:val="22"/>
        </w:rPr>
        <w:t/>
      </w:r>
    </w:p>
    <w:p>
      <w:pPr>
        <w:widowControl w:val="0"/>
        <w:suppressAutoHyphens/>
        <w:bidi w:val="0"/>
        <w:spacing w:before="0" w:after="0"/>
        <w:ind w:left="227" w:right="0" w:firstLine="220" w:firstLineChars="100"/>
        <w:jc w:val="both"/>
        <w:rPr>
          <w:rFonts w:hint="eastAsia" w:ascii="仿宋" w:hAnsi="仿宋" w:eastAsia="仿宋" w:cs="仿宋"/>
          <w:b w:val="0"/>
          <w:bCs w:val="0"/>
          <w:sz w:val="22"/>
          <w:szCs w:val="22"/>
        </w:rPr>
        <w:sectPr>
          <w:footerReference r:id="rId16" w:type="default"/>
          <w:pgSz w:w="16838" w:h="11906" w:orient="landscape"/>
          <w:pgMar w:top="720" w:right="153" w:bottom="720" w:left="153"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5400" w:type="dxa"/>
        <w:tblInd w:w="62" w:type="dxa"/>
        <w:tblLayout w:type="fixed"/>
        <w:tblCellMar>
          <w:top w:w="55" w:type="dxa"/>
          <w:left w:w="55" w:type="dxa"/>
          <w:bottom w:w="55" w:type="dxa"/>
          <w:right w:w="55" w:type="dxa"/>
        </w:tblCellMar>
      </w:tblPr>
      <w:tblGrid>
        <w:gridCol w:w="1431"/>
        <w:gridCol w:w="6995"/>
        <w:gridCol w:w="2684"/>
        <w:gridCol w:w="2432"/>
        <w:gridCol w:w="1858"/>
      </w:tblGrid>
      <w:tr>
        <w:tblPrEx>
          <w:tblCellMar>
            <w:top w:w="55" w:type="dxa"/>
            <w:left w:w="55" w:type="dxa"/>
            <w:bottom w:w="55" w:type="dxa"/>
            <w:right w:w="55" w:type="dxa"/>
          </w:tblCellMar>
        </w:tblPrEx>
        <w:trPr>
          <w:trHeight w:val="395" w:hRule="atLeast"/>
        </w:trPr>
        <w:tc>
          <w:tcPr>
            <w:tcW w:w="15400" w:type="dxa"/>
            <w:gridSpan w:val="5"/>
            <w:vAlign w:val="center"/>
          </w:tcPr>
          <w:p>
            <w:pPr>
              <w:pStyle w:val="22"/>
              <w:widowControl w:val="0"/>
              <w:jc w:val="center"/>
              <w:rPr>
                <w:rFonts w:hint="eastAsia" w:ascii="仿宋" w:hAnsi="仿宋" w:eastAsia="仿宋" w:cs="仿宋"/>
                <w:b/>
                <w:bCs/>
                <w:sz w:val="44"/>
                <w:szCs w:val="44"/>
              </w:rPr>
            </w:pPr>
            <w:r>
              <w:rPr>
                <w:rFonts w:hint="eastAsia" w:ascii="宋体" w:hAnsi="宋体" w:eastAsia="宋体" w:cs="宋体"/>
                <w:b/>
                <w:bCs/>
                <w:color w:val="000000"/>
                <w:kern w:val="0"/>
                <w:sz w:val="36"/>
                <w:szCs w:val="36"/>
                <w:lang w:val="zh-CN" w:eastAsia="ar-SA" w:bidi="zh-CN"/>
              </w:rPr>
              <w:t>政府性基金预算支出决算表</w:t>
            </w:r>
          </w:p>
        </w:tc>
      </w:tr>
      <w:tr>
        <w:trPr>
          <w:trHeight w:val="323" w:hRule="atLeast"/>
        </w:trPr>
        <w:tc>
          <w:tcPr>
            <w:tcW w:w="8426" w:type="dxa"/>
            <w:gridSpan w:val="2"/>
          </w:tcPr>
          <w:p>
            <w:pPr>
              <w:pStyle w:val="22"/>
              <w:widowControl w:val="0"/>
              <w:rPr>
                <w:rFonts w:hint="eastAsia" w:ascii="仿宋" w:hAnsi="仿宋" w:eastAsia="仿宋" w:cs="仿宋"/>
                <w:sz w:val="20"/>
              </w:rPr>
            </w:pPr>
          </w:p>
        </w:tc>
        <w:tc>
          <w:tcPr>
            <w:tcW w:w="2684" w:type="dxa"/>
          </w:tcPr>
          <w:p>
            <w:pPr>
              <w:pStyle w:val="22"/>
              <w:widowControl w:val="0"/>
              <w:rPr>
                <w:rFonts w:hint="eastAsia" w:ascii="仿宋" w:hAnsi="仿宋" w:eastAsia="仿宋" w:cs="仿宋"/>
                <w:sz w:val="27"/>
              </w:rPr>
            </w:pPr>
          </w:p>
        </w:tc>
        <w:tc>
          <w:tcPr>
            <w:tcW w:w="2432" w:type="dxa"/>
          </w:tcPr>
          <w:p>
            <w:pPr>
              <w:pStyle w:val="22"/>
              <w:widowControl w:val="0"/>
              <w:rPr>
                <w:rFonts w:hint="eastAsia" w:ascii="仿宋" w:hAnsi="仿宋" w:eastAsia="仿宋" w:cs="仿宋"/>
                <w:sz w:val="20"/>
              </w:rPr>
            </w:pPr>
          </w:p>
        </w:tc>
        <w:tc>
          <w:tcPr>
            <w:tcW w:w="1858" w:type="dxa"/>
            <w:vAlign w:val="center"/>
          </w:tcPr>
          <w:p>
            <w:pPr>
              <w:pStyle w:val="22"/>
              <w:widowControl w:val="0"/>
              <w:jc w:val="right"/>
              <w:rPr>
                <w:rFonts w:hint="eastAsia" w:ascii="仿宋" w:hAnsi="仿宋" w:eastAsia="仿宋" w:cs="仿宋"/>
                <w:sz w:val="27"/>
              </w:rPr>
            </w:pPr>
            <w:r>
              <w:rPr>
                <w:rFonts w:hint="eastAsia" w:ascii="仿宋" w:hAnsi="仿宋" w:eastAsia="仿宋" w:cs="仿宋"/>
              </w:rPr>
              <w:t>公开10表</w:t>
            </w:r>
          </w:p>
        </w:tc>
      </w:tr>
      <w:tr>
        <w:tblPrEx>
          <w:tblCellMar>
            <w:top w:w="55" w:type="dxa"/>
            <w:left w:w="55" w:type="dxa"/>
            <w:bottom w:w="55" w:type="dxa"/>
            <w:right w:w="55" w:type="dxa"/>
          </w:tblCellMar>
        </w:tblPrEx>
        <w:trPr>
          <w:trHeight w:val="152" w:hRule="atLeast"/>
        </w:trPr>
        <w:tc>
          <w:tcPr>
            <w:tcW w:w="13542" w:type="dxa"/>
            <w:gridSpan w:val="4"/>
            <w:vAlign w:val="center"/>
          </w:tcPr>
          <w:p>
            <w:pPr>
              <w:pStyle w:val="22"/>
              <w:widowControl w:val="0"/>
              <w:jc w:val="left"/>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cs="仿宋" w:eastAsia="仿宋"/>
                <w:color w:val="000000"/>
                <w:sz w:val="22"/>
              </w:rPr>
              <w:t>名称：</w:t>
            </w:r>
            <w:r>
              <w:rPr>
                <w:rFonts w:hint="eastAsia" w:ascii="仿宋" w:hAnsi="仿宋" w:eastAsia="仿宋" w:cs="仿宋"/>
              </w:rPr>
              <w:t>江苏省伤残人康复中心</w:t>
            </w:r>
          </w:p>
        </w:tc>
        <w:tc>
          <w:tcPr>
            <w:tcW w:w="1858" w:type="dxa"/>
            <w:vAlign w:val="center"/>
          </w:tcPr>
          <w:p>
            <w:pPr>
              <w:pStyle w:val="22"/>
              <w:widowControl w:val="0"/>
              <w:jc w:val="right"/>
              <w:rPr>
                <w:rFonts w:hint="eastAsia" w:ascii="仿宋" w:hAnsi="仿宋" w:eastAsia="仿宋" w:cs="仿宋"/>
                <w:sz w:val="27"/>
              </w:rPr>
            </w:pPr>
            <w:r>
              <w:rPr>
                <w:rFonts w:hint="eastAsia" w:ascii="仿宋" w:hAnsi="仿宋" w:eastAsia="仿宋" w:cs="仿宋"/>
              </w:rPr>
              <w:t>金额单位：万元</w:t>
            </w:r>
          </w:p>
        </w:tc>
      </w:tr>
      <w:tr>
        <w:trPr>
          <w:trHeight w:val="267" w:hRule="atLeast"/>
        </w:trPr>
        <w:tc>
          <w:tcPr>
            <w:tcW w:w="8426"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2684" w:type="dxa"/>
            <w:vMerge w:val="restart"/>
            <w:tcBorders>
              <w:top w:val="single" w:color="000000" w:sz="4" w:space="0"/>
              <w:lef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本年支出合计</w:t>
            </w:r>
          </w:p>
        </w:tc>
        <w:tc>
          <w:tcPr>
            <w:tcW w:w="2432" w:type="dxa"/>
            <w:vMerge w:val="restart"/>
            <w:tcBorders>
              <w:top w:val="single" w:color="000000" w:sz="4" w:space="0"/>
              <w:lef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基本支出</w:t>
            </w:r>
          </w:p>
        </w:tc>
        <w:tc>
          <w:tcPr>
            <w:tcW w:w="1858" w:type="dxa"/>
            <w:vMerge w:val="restart"/>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项目支出</w:t>
            </w:r>
          </w:p>
        </w:tc>
      </w:tr>
      <w:tr>
        <w:tblPrEx>
          <w:tblCellMar>
            <w:top w:w="55" w:type="dxa"/>
            <w:left w:w="55" w:type="dxa"/>
            <w:bottom w:w="55" w:type="dxa"/>
            <w:right w:w="55" w:type="dxa"/>
          </w:tblCellMar>
        </w:tblPrEx>
        <w:trPr>
          <w:trHeight w:val="427" w:hRule="atLeast"/>
        </w:trPr>
        <w:tc>
          <w:tcPr>
            <w:tcW w:w="1431"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功能分类</w:t>
            </w:r>
          </w:p>
          <w:p>
            <w:pPr>
              <w:pStyle w:val="22"/>
              <w:widowControl w:val="0"/>
              <w:jc w:val="center"/>
              <w:rPr>
                <w:rFonts w:hint="eastAsia" w:ascii="仿宋" w:hAnsi="仿宋" w:eastAsia="仿宋" w:cs="仿宋"/>
              </w:rPr>
            </w:pPr>
            <w:r>
              <w:rPr>
                <w:rFonts w:hint="eastAsia" w:ascii="仿宋" w:hAnsi="仿宋" w:eastAsia="仿宋" w:cs="仿宋"/>
              </w:rPr>
              <w:t>科目编码</w:t>
            </w:r>
          </w:p>
        </w:tc>
        <w:tc>
          <w:tcPr>
            <w:tcW w:w="6995"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2684"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2432" w:type="dxa"/>
            <w:vMerge w:val="continue"/>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p>
        </w:tc>
        <w:tc>
          <w:tcPr>
            <w:tcW w:w="1858" w:type="dxa"/>
            <w:vMerge w:val="continue"/>
            <w:tcBorders>
              <w:left w:val="single" w:color="000000" w:sz="4" w:space="0"/>
              <w:bottom w:val="single" w:color="000000" w:sz="4" w:space="0"/>
              <w:right w:val="single" w:color="000000" w:sz="4" w:space="0"/>
            </w:tcBorders>
          </w:tcPr>
          <w:p>
            <w:pPr>
              <w:widowControl w:val="0"/>
              <w:jc w:val="left"/>
              <w:rPr>
                <w:rFonts w:hint="eastAsia" w:ascii="仿宋" w:hAnsi="仿宋" w:eastAsia="仿宋" w:cs="仿宋"/>
              </w:rPr>
            </w:pPr>
          </w:p>
        </w:tc>
      </w:tr>
      <w:tr>
        <w:tblPrEx>
          <w:tblCellMar>
            <w:top w:w="55" w:type="dxa"/>
            <w:left w:w="55" w:type="dxa"/>
            <w:bottom w:w="55" w:type="dxa"/>
            <w:right w:w="55" w:type="dxa"/>
          </w:tblCellMar>
        </w:tblPrEx>
        <w:trPr>
          <w:trHeight w:val="275" w:hRule="atLeast"/>
        </w:trPr>
        <w:tc>
          <w:tcPr>
            <w:tcW w:w="8426"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栏次</w:t>
            </w:r>
          </w:p>
        </w:tc>
        <w:tc>
          <w:tcPr>
            <w:tcW w:w="2684"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lang w:val="en-US" w:eastAsia="zh-CN"/>
              </w:rPr>
            </w:pPr>
            <w:r>
              <w:rPr>
                <w:rFonts w:hint="eastAsia" w:ascii="仿宋" w:hAnsi="仿宋" w:eastAsia="仿宋" w:cs="仿宋"/>
                <w:lang w:val="en-US" w:eastAsia="zh-CN"/>
              </w:rPr>
              <w:t>1</w:t>
            </w:r>
          </w:p>
        </w:tc>
        <w:tc>
          <w:tcPr>
            <w:tcW w:w="2432"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2</w:t>
            </w:r>
          </w:p>
        </w:tc>
        <w:tc>
          <w:tcPr>
            <w:tcW w:w="1858" w:type="dxa"/>
            <w:tcBorders>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lang w:val="en-US" w:eastAsia="zh-CN"/>
              </w:rPr>
            </w:pPr>
            <w:r>
              <w:rPr>
                <w:rFonts w:hint="eastAsia" w:ascii="仿宋" w:hAnsi="仿宋" w:eastAsia="仿宋" w:cs="仿宋"/>
                <w:lang w:val="en-US" w:eastAsia="zh-CN"/>
              </w:rPr>
              <w:t>2</w:t>
            </w:r>
          </w:p>
        </w:tc>
      </w:tr>
      <w:tr>
        <w:tblPrEx>
          <w:tblCellMar>
            <w:top w:w="55" w:type="dxa"/>
            <w:left w:w="55" w:type="dxa"/>
            <w:bottom w:w="55" w:type="dxa"/>
            <w:right w:w="55" w:type="dxa"/>
          </w:tblCellMar>
        </w:tblPrEx>
        <w:trPr>
          <w:trHeight w:val="389" w:hRule="exact"/>
        </w:trPr>
        <w:tc>
          <w:tcPr>
            <w:tcW w:w="8426"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
            </w:r>
            <w:r>
              <w:rPr>
                <w:rFonts w:hint="eastAsia" w:ascii="仿宋" w:hAnsi="仿宋" w:eastAsia="仿宋" w:cs="仿宋"/>
              </w:rPr>
              <w:t>合计</w:t>
            </w:r>
          </w:p>
        </w:tc>
        <w:tc>
          <w:tcPr>
            <w:tcW w:w="2684"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25.00</w:t>
            </w:r>
          </w:p>
        </w:tc>
        <w:tc>
          <w:tcPr>
            <w:tcW w:w="2432"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858"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25.00</w:t>
            </w:r>
          </w:p>
        </w:tc>
      </w:tr>
      <w:tr>
        <w:trPr>
          <w:cantSplit/>
          <w:trHeight w:val="253" w:hRule="atLeast"/>
        </w:trPr>
        <w:tc>
          <w:tcPr>
            <w:tcW w:w="14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229</w:t>
            </w:r>
          </w:p>
        </w:tc>
        <w:tc>
          <w:tcPr>
            <w:tcW w:w="699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其他支出</w:t>
            </w:r>
          </w:p>
        </w:tc>
        <w:tc>
          <w:tcPr>
            <w:tcW w:w="268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rPr>
            </w:pPr>
            <w:r>
              <w:rPr>
                <w:rFonts w:hint="eastAsia" w:ascii="仿宋" w:hAnsi="仿宋" w:eastAsia="仿宋" w:cs="仿宋"/>
              </w:rPr>
              <w:t>25.00</w:t>
            </w:r>
          </w:p>
        </w:tc>
        <w:tc>
          <w:tcPr>
            <w:tcW w:w="2432"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rPr>
            </w:pPr>
            <w:r>
              <w:rPr>
                <w:rFonts w:hint="eastAsia" w:ascii="仿宋" w:hAnsi="仿宋" w:eastAsia="仿宋" w:cs="仿宋"/>
              </w:rPr>
              <w:t/>
            </w:r>
          </w:p>
        </w:tc>
        <w:tc>
          <w:tcPr>
            <w:tcW w:w="1858"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rPr>
            </w:pPr>
            <w:r>
              <w:rPr>
                <w:rFonts w:hint="eastAsia" w:ascii="仿宋" w:hAnsi="仿宋" w:eastAsia="仿宋" w:cs="仿宋"/>
              </w:rPr>
              <w:t>25.00</w:t>
            </w:r>
          </w:p>
        </w:tc>
      </w:tr>
      <w:tr>
        <w:trPr>
          <w:cantSplit/>
          <w:trHeight w:val="253" w:hRule="atLeast"/>
        </w:trPr>
        <w:tc>
          <w:tcPr>
            <w:tcW w:w="14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22960</w:t>
            </w:r>
          </w:p>
        </w:tc>
        <w:tc>
          <w:tcPr>
            <w:tcW w:w="699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彩票公益金安排的支出</w:t>
            </w:r>
          </w:p>
        </w:tc>
        <w:tc>
          <w:tcPr>
            <w:tcW w:w="268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rPr>
            </w:pPr>
            <w:r>
              <w:rPr>
                <w:rFonts w:hint="eastAsia" w:ascii="仿宋" w:hAnsi="仿宋" w:eastAsia="仿宋" w:cs="仿宋"/>
              </w:rPr>
              <w:t>25.00</w:t>
            </w:r>
          </w:p>
        </w:tc>
        <w:tc>
          <w:tcPr>
            <w:tcW w:w="2432"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rPr>
            </w:pPr>
            <w:r>
              <w:rPr>
                <w:rFonts w:hint="eastAsia" w:ascii="仿宋" w:hAnsi="仿宋" w:eastAsia="仿宋" w:cs="仿宋"/>
              </w:rPr>
              <w:t/>
            </w:r>
          </w:p>
        </w:tc>
        <w:tc>
          <w:tcPr>
            <w:tcW w:w="1858"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rPr>
            </w:pPr>
            <w:r>
              <w:rPr>
                <w:rFonts w:hint="eastAsia" w:ascii="仿宋" w:hAnsi="仿宋" w:eastAsia="仿宋" w:cs="仿宋"/>
              </w:rPr>
              <w:t>25.00</w:t>
            </w:r>
          </w:p>
        </w:tc>
      </w:tr>
      <w:tr>
        <w:trPr>
          <w:cantSplit/>
          <w:trHeight w:val="253" w:hRule="atLeast"/>
        </w:trPr>
        <w:tc>
          <w:tcPr>
            <w:tcW w:w="14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2296002</w:t>
            </w:r>
          </w:p>
        </w:tc>
        <w:tc>
          <w:tcPr>
            <w:tcW w:w="699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用于社会福利的彩票公益金支出</w:t>
            </w:r>
          </w:p>
        </w:tc>
        <w:tc>
          <w:tcPr>
            <w:tcW w:w="268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rPr>
            </w:pPr>
            <w:r>
              <w:rPr>
                <w:rFonts w:hint="eastAsia" w:ascii="仿宋" w:hAnsi="仿宋" w:eastAsia="仿宋" w:cs="仿宋"/>
              </w:rPr>
              <w:t>25.00</w:t>
            </w:r>
          </w:p>
        </w:tc>
        <w:tc>
          <w:tcPr>
            <w:tcW w:w="2432"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rPr>
            </w:pPr>
            <w:r>
              <w:rPr>
                <w:rFonts w:hint="eastAsia" w:ascii="仿宋" w:hAnsi="仿宋" w:eastAsia="仿宋" w:cs="仿宋"/>
              </w:rPr>
              <w:t/>
            </w:r>
          </w:p>
        </w:tc>
        <w:tc>
          <w:tcPr>
            <w:tcW w:w="1858"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rPr>
            </w:pPr>
            <w:r>
              <w:rPr>
                <w:rFonts w:hint="eastAsia" w:ascii="仿宋" w:hAnsi="仿宋" w:eastAsia="仿宋" w:cs="仿宋"/>
              </w:rPr>
              <w:t>25.00</w:t>
            </w:r>
          </w:p>
        </w:tc>
      </w:tr>
    </w:tbl>
    <w:p>
      <w:pPr>
        <w:spacing w:before="25" w:after="0"/>
        <w:ind w:left="0" w:leftChars="0" w:firstLine="0" w:firstLineChars="0"/>
        <w:jc w:val="both"/>
        <w:rPr>
          <w:rFonts w:hint="eastAsia" w:ascii="仿宋" w:hAnsi="仿宋" w:eastAsia="仿宋" w:cs="仿宋"/>
          <w:b w:val="0"/>
          <w:bCs w:val="0"/>
          <w:sz w:val="22"/>
          <w:szCs w:val="22"/>
        </w:rPr>
      </w:pPr>
      <w:r>
        <w:rPr>
          <w:rFonts w:hint="eastAsia" w:ascii="仿宋" w:hAnsi="仿宋" w:eastAsia="仿宋" w:cs="仿宋"/>
          <w:b w:val="0"/>
          <w:bCs w:val="0"/>
          <w:sz w:val="22"/>
          <w:szCs w:val="22"/>
        </w:rPr>
        <w:t>注：本表反映本年度政府性基金预算财政拨款支出情况。</w:t>
      </w:r>
      <w:r>
        <w:rPr>
          <w:rFonts w:hint="eastAsia" w:ascii="仿宋" w:hAnsi="仿宋" w:eastAsia="仿宋" w:cs="仿宋"/>
          <w:b w:val="0"/>
          <w:bCs w:val="0"/>
          <w:sz w:val="22"/>
          <w:szCs w:val="22"/>
          <w:lang w:val="en-US" w:eastAsia="zh-CN"/>
        </w:rPr>
        <w:t/>
      </w:r>
      <w:r>
        <w:rPr>
          <w:rFonts w:hint="eastAsia" w:ascii="仿宋" w:hAnsi="仿宋" w:eastAsia="仿宋" w:cs="仿宋"/>
          <w:b w:val="0"/>
          <w:bCs w:val="0"/>
          <w:sz w:val="22"/>
          <w:szCs w:val="22"/>
        </w:rPr>
        <w:t>本表金额单位转换时可能存在尾数误差。</w:t>
      </w:r>
      <w:r>
        <w:rPr>
          <w:rFonts w:hint="eastAsia" w:ascii="仿宋" w:hAnsi="仿宋" w:eastAsia="仿宋" w:cs="仿宋"/>
          <w:b w:val="0"/>
          <w:bCs w:val="0"/>
          <w:sz w:val="22"/>
          <w:szCs w:val="22"/>
          <w:lang w:val="en-US" w:eastAsia="zh-CN"/>
        </w:rPr>
        <w:t/>
      </w:r>
    </w:p>
    <w:p>
      <w:pPr>
        <w:widowControl w:val="0"/>
        <w:numPr>
          <w:ilvl w:val="0"/>
          <w:numId w:val="0"/>
        </w:numPr>
        <w:suppressAutoHyphens/>
        <w:bidi w:val="0"/>
        <w:spacing w:before="25" w:after="0"/>
        <w:jc w:val="both"/>
        <w:rPr>
          <w:rFonts w:hint="default" w:ascii="仿宋" w:hAnsi="仿宋" w:eastAsia="仿宋" w:cs="仿宋"/>
          <w:b w:val="0"/>
          <w:bCs w:val="0"/>
          <w:sz w:val="22"/>
          <w:szCs w:val="22"/>
          <w:lang w:val="en-US" w:eastAsia="zh-CN"/>
        </w:rPr>
        <w:sectPr>
          <w:footerReference r:id="rId17" w:type="default"/>
          <w:pgSz w:w="16838" w:h="11906" w:orient="landscape"/>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5400" w:type="dxa"/>
        <w:tblInd w:w="47" w:type="dxa"/>
        <w:tblLayout w:type="fixed"/>
        <w:tblCellMar>
          <w:top w:w="55" w:type="dxa"/>
          <w:left w:w="55" w:type="dxa"/>
          <w:bottom w:w="55" w:type="dxa"/>
          <w:right w:w="55" w:type="dxa"/>
        </w:tblCellMar>
      </w:tblPr>
      <w:tblGrid>
        <w:gridCol w:w="1462"/>
        <w:gridCol w:w="7058"/>
        <w:gridCol w:w="2510"/>
        <w:gridCol w:w="2309"/>
        <w:gridCol w:w="2061"/>
      </w:tblGrid>
      <w:tr>
        <w:tblPrEx>
          <w:tblCellMar>
            <w:top w:w="55" w:type="dxa"/>
            <w:left w:w="55" w:type="dxa"/>
            <w:bottom w:w="55" w:type="dxa"/>
            <w:right w:w="55" w:type="dxa"/>
          </w:tblCellMar>
        </w:tblPrEx>
        <w:trPr>
          <w:trHeight w:val="395" w:hRule="atLeast"/>
        </w:trPr>
        <w:tc>
          <w:tcPr>
            <w:tcW w:w="15400" w:type="dxa"/>
            <w:gridSpan w:val="5"/>
            <w:vAlign w:val="center"/>
          </w:tcPr>
          <w:p>
            <w:pPr>
              <w:pStyle w:val="22"/>
              <w:widowControl w:val="0"/>
              <w:jc w:val="center"/>
              <w:rPr>
                <w:rFonts w:hint="eastAsia" w:ascii="仿宋" w:hAnsi="仿宋" w:eastAsia="仿宋" w:cs="仿宋"/>
                <w:b/>
                <w:bCs/>
                <w:sz w:val="44"/>
                <w:szCs w:val="44"/>
              </w:rPr>
            </w:pPr>
            <w:r>
              <w:rPr>
                <w:rFonts w:hint="eastAsia" w:ascii="宋体" w:hAnsi="宋体" w:eastAsia="宋体" w:cs="宋体"/>
                <w:b/>
                <w:bCs/>
                <w:color w:val="000000"/>
                <w:kern w:val="0"/>
                <w:sz w:val="36"/>
                <w:szCs w:val="36"/>
                <w:lang w:val="zh-CN" w:eastAsia="ar-SA" w:bidi="zh-CN"/>
              </w:rPr>
              <w:t>国有资本经营预算支出决算表</w:t>
            </w:r>
          </w:p>
        </w:tc>
      </w:tr>
      <w:tr>
        <w:tblPrEx>
          <w:tblCellMar>
            <w:top w:w="55" w:type="dxa"/>
            <w:left w:w="55" w:type="dxa"/>
            <w:bottom w:w="55" w:type="dxa"/>
            <w:right w:w="55" w:type="dxa"/>
          </w:tblCellMar>
        </w:tblPrEx>
        <w:trPr>
          <w:trHeight w:val="323" w:hRule="atLeast"/>
        </w:trPr>
        <w:tc>
          <w:tcPr>
            <w:tcW w:w="8520" w:type="dxa"/>
            <w:gridSpan w:val="2"/>
          </w:tcPr>
          <w:p>
            <w:pPr>
              <w:pStyle w:val="22"/>
              <w:widowControl w:val="0"/>
              <w:rPr>
                <w:rFonts w:hint="eastAsia" w:ascii="仿宋" w:hAnsi="仿宋" w:eastAsia="仿宋" w:cs="仿宋"/>
                <w:sz w:val="20"/>
              </w:rPr>
            </w:pPr>
          </w:p>
        </w:tc>
        <w:tc>
          <w:tcPr>
            <w:tcW w:w="2510" w:type="dxa"/>
          </w:tcPr>
          <w:p>
            <w:pPr>
              <w:pStyle w:val="22"/>
              <w:widowControl w:val="0"/>
              <w:rPr>
                <w:rFonts w:hint="eastAsia" w:ascii="仿宋" w:hAnsi="仿宋" w:eastAsia="仿宋" w:cs="仿宋"/>
                <w:sz w:val="27"/>
              </w:rPr>
            </w:pPr>
          </w:p>
        </w:tc>
        <w:tc>
          <w:tcPr>
            <w:tcW w:w="2309" w:type="dxa"/>
          </w:tcPr>
          <w:p>
            <w:pPr>
              <w:pStyle w:val="22"/>
              <w:widowControl w:val="0"/>
              <w:rPr>
                <w:rFonts w:hint="eastAsia" w:ascii="仿宋" w:hAnsi="仿宋" w:eastAsia="仿宋" w:cs="仿宋"/>
                <w:sz w:val="20"/>
              </w:rPr>
            </w:pPr>
          </w:p>
        </w:tc>
        <w:tc>
          <w:tcPr>
            <w:tcW w:w="2061" w:type="dxa"/>
            <w:vAlign w:val="center"/>
          </w:tcPr>
          <w:p>
            <w:pPr>
              <w:pStyle w:val="22"/>
              <w:widowControl w:val="0"/>
              <w:jc w:val="right"/>
              <w:rPr>
                <w:rFonts w:hint="eastAsia" w:ascii="仿宋" w:hAnsi="仿宋" w:eastAsia="仿宋" w:cs="仿宋"/>
                <w:sz w:val="27"/>
              </w:rPr>
            </w:pPr>
            <w:r>
              <w:rPr>
                <w:rFonts w:hint="eastAsia" w:ascii="仿宋" w:hAnsi="仿宋" w:eastAsia="仿宋" w:cs="仿宋"/>
              </w:rPr>
              <w:t>公开1</w:t>
            </w:r>
            <w:r>
              <w:rPr>
                <w:rFonts w:hint="eastAsia" w:ascii="仿宋" w:hAnsi="仿宋" w:eastAsia="仿宋" w:cs="仿宋"/>
                <w:lang w:val="en-US" w:eastAsia="zh-CN"/>
              </w:rPr>
              <w:t>1</w:t>
            </w:r>
            <w:r>
              <w:rPr>
                <w:rFonts w:hint="eastAsia" w:ascii="仿宋" w:hAnsi="仿宋" w:eastAsia="仿宋" w:cs="仿宋"/>
              </w:rPr>
              <w:t>表</w:t>
            </w:r>
          </w:p>
        </w:tc>
      </w:tr>
      <w:tr>
        <w:tblPrEx>
          <w:tblCellMar>
            <w:top w:w="55" w:type="dxa"/>
            <w:left w:w="55" w:type="dxa"/>
            <w:bottom w:w="55" w:type="dxa"/>
            <w:right w:w="55" w:type="dxa"/>
          </w:tblCellMar>
        </w:tblPrEx>
        <w:trPr>
          <w:trHeight w:val="152" w:hRule="atLeast"/>
        </w:trPr>
        <w:tc>
          <w:tcPr>
            <w:tcW w:w="13339" w:type="dxa"/>
            <w:gridSpan w:val="4"/>
            <w:vAlign w:val="center"/>
          </w:tcPr>
          <w:p>
            <w:pPr>
              <w:pStyle w:val="22"/>
              <w:widowControl w:val="0"/>
              <w:jc w:val="left"/>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cs="仿宋" w:eastAsia="仿宋"/>
                <w:color w:val="000000"/>
                <w:sz w:val="22"/>
              </w:rPr>
              <w:t>名称：</w:t>
            </w:r>
            <w:r>
              <w:rPr>
                <w:rFonts w:hint="eastAsia" w:ascii="仿宋" w:hAnsi="仿宋" w:eastAsia="仿宋" w:cs="仿宋"/>
              </w:rPr>
              <w:t>江苏省伤残人康复中心</w:t>
            </w:r>
          </w:p>
        </w:tc>
        <w:tc>
          <w:tcPr>
            <w:tcW w:w="2061" w:type="dxa"/>
            <w:vAlign w:val="center"/>
          </w:tcPr>
          <w:p>
            <w:pPr>
              <w:pStyle w:val="22"/>
              <w:widowControl w:val="0"/>
              <w:jc w:val="right"/>
              <w:rPr>
                <w:rFonts w:hint="eastAsia" w:ascii="仿宋" w:hAnsi="仿宋" w:eastAsia="仿宋" w:cs="仿宋"/>
                <w:sz w:val="27"/>
              </w:rPr>
            </w:pPr>
            <w:r>
              <w:rPr>
                <w:rFonts w:hint="eastAsia" w:ascii="仿宋" w:hAnsi="仿宋" w:eastAsia="仿宋" w:cs="仿宋"/>
              </w:rPr>
              <w:t>金额单位：万元</w:t>
            </w:r>
          </w:p>
        </w:tc>
      </w:tr>
      <w:tr>
        <w:tblPrEx>
          <w:tblCellMar>
            <w:top w:w="55" w:type="dxa"/>
            <w:left w:w="55" w:type="dxa"/>
            <w:bottom w:w="55" w:type="dxa"/>
            <w:right w:w="55" w:type="dxa"/>
          </w:tblCellMar>
        </w:tblPrEx>
        <w:trPr>
          <w:trHeight w:val="267" w:hRule="atLeast"/>
        </w:trPr>
        <w:tc>
          <w:tcPr>
            <w:tcW w:w="8520"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2510" w:type="dxa"/>
            <w:vMerge w:val="restart"/>
            <w:tcBorders>
              <w:top w:val="single" w:color="000000" w:sz="4" w:space="0"/>
              <w:lef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本年支出合计</w:t>
            </w:r>
          </w:p>
        </w:tc>
        <w:tc>
          <w:tcPr>
            <w:tcW w:w="2309" w:type="dxa"/>
            <w:vMerge w:val="restart"/>
            <w:tcBorders>
              <w:top w:val="single" w:color="000000" w:sz="4" w:space="0"/>
              <w:lef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基本支出</w:t>
            </w:r>
          </w:p>
        </w:tc>
        <w:tc>
          <w:tcPr>
            <w:tcW w:w="2061" w:type="dxa"/>
            <w:vMerge w:val="restart"/>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项目支出</w:t>
            </w:r>
          </w:p>
        </w:tc>
      </w:tr>
      <w:tr>
        <w:tblPrEx>
          <w:tblCellMar>
            <w:top w:w="55" w:type="dxa"/>
            <w:left w:w="55" w:type="dxa"/>
            <w:bottom w:w="55" w:type="dxa"/>
            <w:right w:w="55" w:type="dxa"/>
          </w:tblCellMar>
        </w:tblPrEx>
        <w:trPr>
          <w:trHeight w:val="427" w:hRule="atLeast"/>
        </w:trPr>
        <w:tc>
          <w:tcPr>
            <w:tcW w:w="1462"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功能分类</w:t>
            </w:r>
          </w:p>
          <w:p>
            <w:pPr>
              <w:pStyle w:val="22"/>
              <w:widowControl w:val="0"/>
              <w:jc w:val="center"/>
              <w:rPr>
                <w:rFonts w:hint="eastAsia" w:ascii="仿宋" w:hAnsi="仿宋" w:eastAsia="仿宋" w:cs="仿宋"/>
              </w:rPr>
            </w:pPr>
            <w:r>
              <w:rPr>
                <w:rFonts w:hint="eastAsia" w:ascii="仿宋" w:hAnsi="仿宋" w:eastAsia="仿宋" w:cs="仿宋"/>
              </w:rPr>
              <w:t>科目编码</w:t>
            </w:r>
          </w:p>
        </w:tc>
        <w:tc>
          <w:tcPr>
            <w:tcW w:w="7058"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2510"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2309" w:type="dxa"/>
            <w:vMerge w:val="continue"/>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p>
        </w:tc>
        <w:tc>
          <w:tcPr>
            <w:tcW w:w="2061" w:type="dxa"/>
            <w:vMerge w:val="continue"/>
            <w:tcBorders>
              <w:left w:val="single" w:color="000000" w:sz="4" w:space="0"/>
              <w:bottom w:val="single" w:color="000000" w:sz="4" w:space="0"/>
              <w:right w:val="single" w:color="000000" w:sz="4" w:space="0"/>
            </w:tcBorders>
          </w:tcPr>
          <w:p>
            <w:pPr>
              <w:widowControl w:val="0"/>
              <w:jc w:val="left"/>
              <w:rPr>
                <w:rFonts w:hint="eastAsia" w:ascii="仿宋" w:hAnsi="仿宋" w:eastAsia="仿宋" w:cs="仿宋"/>
              </w:rPr>
            </w:pPr>
          </w:p>
        </w:tc>
      </w:tr>
      <w:tr>
        <w:tblPrEx>
          <w:tblCellMar>
            <w:top w:w="55" w:type="dxa"/>
            <w:left w:w="55" w:type="dxa"/>
            <w:bottom w:w="55" w:type="dxa"/>
            <w:right w:w="55" w:type="dxa"/>
          </w:tblCellMar>
        </w:tblPrEx>
        <w:trPr>
          <w:trHeight w:val="275" w:hRule="atLeast"/>
        </w:trPr>
        <w:tc>
          <w:tcPr>
            <w:tcW w:w="8520"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栏次</w:t>
            </w:r>
          </w:p>
        </w:tc>
        <w:tc>
          <w:tcPr>
            <w:tcW w:w="2510"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lang w:val="en-US" w:eastAsia="zh-CN"/>
              </w:rPr>
            </w:pPr>
            <w:r>
              <w:rPr>
                <w:rFonts w:hint="eastAsia" w:ascii="仿宋" w:hAnsi="仿宋" w:eastAsia="仿宋" w:cs="仿宋"/>
                <w:lang w:val="en-US" w:eastAsia="zh-CN"/>
              </w:rPr>
              <w:t>1</w:t>
            </w:r>
          </w:p>
        </w:tc>
        <w:tc>
          <w:tcPr>
            <w:tcW w:w="2309"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2</w:t>
            </w:r>
          </w:p>
        </w:tc>
        <w:tc>
          <w:tcPr>
            <w:tcW w:w="2061" w:type="dxa"/>
            <w:tcBorders>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lang w:val="en-US" w:eastAsia="zh-CN"/>
              </w:rPr>
            </w:pPr>
            <w:r>
              <w:rPr>
                <w:rFonts w:hint="eastAsia" w:ascii="仿宋" w:hAnsi="仿宋" w:eastAsia="仿宋" w:cs="仿宋"/>
                <w:lang w:val="en-US" w:eastAsia="zh-CN"/>
              </w:rPr>
              <w:t>2</w:t>
            </w:r>
          </w:p>
        </w:tc>
      </w:tr>
      <w:tr>
        <w:tblPrEx>
          <w:tblCellMar>
            <w:top w:w="55" w:type="dxa"/>
            <w:left w:w="55" w:type="dxa"/>
            <w:bottom w:w="55" w:type="dxa"/>
            <w:right w:w="55" w:type="dxa"/>
          </w:tblCellMar>
        </w:tblPrEx>
        <w:trPr>
          <w:trHeight w:val="389" w:hRule="exact"/>
        </w:trPr>
        <w:tc>
          <w:tcPr>
            <w:tcW w:w="8520"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
            </w:r>
            <w:r>
              <w:rPr>
                <w:rFonts w:hint="eastAsia" w:ascii="仿宋" w:hAnsi="仿宋" w:eastAsia="仿宋" w:cs="仿宋"/>
              </w:rPr>
              <w:t>合计</w:t>
            </w:r>
          </w:p>
        </w:tc>
        <w:tc>
          <w:tcPr>
            <w:tcW w:w="251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2309"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2061"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253" w:hRule="atLeast"/>
        </w:trPr>
        <w:tc>
          <w:tcPr>
            <w:tcW w:w="146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w:r>
          </w:p>
        </w:tc>
        <w:tc>
          <w:tcPr>
            <w:tcW w:w="705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w:r>
          </w:p>
        </w:tc>
        <w:tc>
          <w:tcPr>
            <w:tcW w:w="2510"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rPr>
            </w:pPr>
            <w:r>
              <w:rPr>
                <w:rFonts w:hint="eastAsia" w:ascii="仿宋" w:hAnsi="仿宋" w:eastAsia="仿宋" w:cs="仿宋"/>
              </w:rPr>
              <w:t/>
            </w:r>
          </w:p>
        </w:tc>
        <w:tc>
          <w:tcPr>
            <w:tcW w:w="2309"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rPr>
            </w:pPr>
            <w:r>
              <w:rPr>
                <w:rFonts w:hint="eastAsia" w:ascii="仿宋" w:hAnsi="仿宋" w:eastAsia="仿宋" w:cs="仿宋"/>
              </w:rPr>
              <w:t/>
            </w:r>
          </w:p>
        </w:tc>
        <w:tc>
          <w:tcPr>
            <w:tcW w:w="2061"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253" w:hRule="atLeast"/>
        </w:trPr>
        <w:tc>
          <w:tcPr>
            <w:tcW w:w="146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w:r>
          </w:p>
        </w:tc>
        <w:tc>
          <w:tcPr>
            <w:tcW w:w="705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w:r>
          </w:p>
        </w:tc>
        <w:tc>
          <w:tcPr>
            <w:tcW w:w="2510"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rPr>
            </w:pPr>
            <w:r>
              <w:rPr>
                <w:rFonts w:hint="eastAsia" w:ascii="仿宋" w:hAnsi="仿宋" w:eastAsia="仿宋" w:cs="仿宋"/>
              </w:rPr>
              <w:t/>
            </w:r>
          </w:p>
        </w:tc>
        <w:tc>
          <w:tcPr>
            <w:tcW w:w="2309"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rPr>
            </w:pPr>
            <w:r>
              <w:rPr>
                <w:rFonts w:hint="eastAsia" w:ascii="仿宋" w:hAnsi="仿宋" w:eastAsia="仿宋" w:cs="仿宋"/>
              </w:rPr>
              <w:t/>
            </w:r>
          </w:p>
        </w:tc>
        <w:tc>
          <w:tcPr>
            <w:tcW w:w="2061"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rPr>
            </w:pPr>
            <w:r>
              <w:rPr>
                <w:rFonts w:hint="eastAsia" w:ascii="仿宋" w:hAnsi="仿宋" w:eastAsia="仿宋" w:cs="仿宋"/>
              </w:rPr>
              <w:t/>
            </w:r>
          </w:p>
        </w:tc>
      </w:tr>
    </w:tbl>
    <w:p>
      <w:pPr>
        <w:bidi w:val="0"/>
        <w:ind w:left="0" w:leftChars="0" w:firstLine="0" w:firstLineChars="0"/>
        <w:jc w:val="both"/>
        <w:rPr>
          <w:rFonts w:hint="eastAsia" w:ascii="仿宋" w:hAnsi="仿宋" w:eastAsia="仿宋" w:cs="仿宋"/>
          <w:b w:val="0"/>
          <w:bCs w:val="0"/>
          <w:sz w:val="22"/>
          <w:szCs w:val="22"/>
        </w:rPr>
      </w:pPr>
      <w:r>
        <w:rPr>
          <w:rFonts w:hint="eastAsia" w:ascii="仿宋" w:hAnsi="仿宋" w:eastAsia="仿宋" w:cs="仿宋"/>
          <w:b w:val="0"/>
          <w:bCs w:val="0"/>
          <w:sz w:val="22"/>
          <w:szCs w:val="22"/>
        </w:rPr>
        <w:t>注：本表反映本年度国有资本经营预算财政拨款支出情况。</w:t>
      </w:r>
      <w:r>
        <w:rPr>
          <w:rFonts w:hint="eastAsia" w:ascii="仿宋" w:hAnsi="仿宋" w:eastAsia="仿宋" w:cs="仿宋"/>
          <w:b w:val="0"/>
          <w:bCs w:val="0"/>
          <w:sz w:val="22"/>
          <w:szCs w:val="22"/>
          <w:lang w:val="en-US" w:eastAsia="zh-CN"/>
        </w:rPr>
        <w:t/>
      </w:r>
      <w:r>
        <w:rPr>
          <w:rFonts w:hint="eastAsia" w:ascii="仿宋" w:hAnsi="仿宋" w:eastAsia="仿宋" w:cs="仿宋"/>
          <w:b w:val="0"/>
          <w:bCs w:val="0"/>
          <w:sz w:val="22"/>
          <w:szCs w:val="22"/>
          <w:lang w:val="en-US" w:eastAsia="zh-CN"/>
        </w:rPr>
        <w:t/>
      </w:r>
    </w:p>
    <w:p>
      <w:pPr>
        <w:numPr>
          <w:ilvl w:val="0"/>
          <w:numId w:val="0"/>
        </w:numPr>
        <w:bidi w:val="0"/>
        <w:ind w:left="440" w:leftChars="200" w:firstLine="0" w:firstLineChars="0"/>
        <w:jc w:val="both"/>
        <w:rPr>
          <w:rFonts w:hint="default" w:ascii="仿宋" w:hAnsi="仿宋" w:eastAsia="仿宋" w:cs="仿宋"/>
          <w:b w:val="0"/>
          <w:bCs w:val="0"/>
          <w:sz w:val="22"/>
          <w:szCs w:val="22"/>
          <w:lang w:val="en-US" w:eastAsia="zh-CN"/>
        </w:rPr>
      </w:pPr>
      <w:r>
        <w:rPr>
          <w:rFonts w:hint="eastAsia" w:ascii="仿宋" w:hAnsi="仿宋" w:eastAsia="仿宋" w:cs="仿宋"/>
          <w:b w:val="0"/>
          <w:bCs w:val="0"/>
          <w:sz w:val="22"/>
          <w:szCs w:val="22"/>
          <w:lang w:val="en-US" w:eastAsia="zh-CN"/>
        </w:rPr>
        <w:t/>
      </w:r>
      <w:r>
        <w:rPr>
          <w:rFonts w:ascii="仿宋" w:hAnsi="仿宋" w:cs="仿宋" w:eastAsia="仿宋"/>
          <w:sz w:val="22"/>
        </w:rPr>
        <w:t>本</w:t>
      </w:r>
      <w:r>
        <w:rPr>
          <w:rFonts w:ascii="仿宋" w:hAnsi="仿宋" w:cs="仿宋" w:eastAsia="仿宋"/>
          <w:sz w:val="22"/>
        </w:rPr>
        <w:t>单位</w:t>
      </w:r>
      <w:r>
        <w:rPr>
          <w:rFonts w:ascii="仿宋" w:hAnsi="仿宋" w:cs="仿宋" w:eastAsia="仿宋"/>
          <w:sz w:val="22"/>
        </w:rPr>
        <w:t>无</w:t>
      </w:r>
      <w:r>
        <w:rPr>
          <w:rFonts w:hint="eastAsia" w:ascii="仿宋" w:hAnsi="仿宋" w:eastAsia="仿宋" w:cs="仿宋"/>
          <w:b w:val="0"/>
          <w:bCs w:val="0"/>
          <w:sz w:val="22"/>
          <w:szCs w:val="22"/>
        </w:rPr>
        <w:t>国有资本经营预算支出</w:t>
      </w:r>
      <w:r>
        <w:rPr>
          <w:rFonts w:hint="eastAsia" w:ascii="仿宋" w:hAnsi="仿宋" w:eastAsia="仿宋" w:cs="仿宋"/>
          <w:b w:val="0"/>
          <w:bCs w:val="0"/>
          <w:sz w:val="22"/>
          <w:szCs w:val="22"/>
          <w:lang w:val="en-US" w:eastAsia="zh-CN"/>
        </w:rPr>
        <w:t>决算，故本表为空。</w:t>
      </w:r>
      <w:r>
        <w:rPr>
          <w:rFonts w:ascii="仿宋" w:hAnsi="仿宋" w:cs="仿宋" w:eastAsia="仿宋"/>
          <w:sz w:val="22"/>
        </w:rPr>
        <w:t/>
      </w:r>
    </w:p>
    <w:p>
      <w:pPr>
        <w:spacing w:before="25" w:after="0"/>
        <w:ind w:left="-220" w:leftChars="-100" w:firstLine="0" w:firstLineChars="0"/>
        <w:jc w:val="both"/>
        <w:rPr>
          <w:rFonts w:hint="default" w:ascii="仿宋" w:hAnsi="仿宋" w:eastAsia="仿宋" w:cs="仿宋"/>
          <w:b w:val="0"/>
          <w:bCs w:val="0"/>
          <w:sz w:val="22"/>
          <w:szCs w:val="22"/>
          <w:lang w:val="en-US" w:eastAsia="zh-CN"/>
        </w:rPr>
        <w:sectPr>
          <w:pgSz w:w="16838" w:h="11906" w:orient="landscape"/>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0466" w:type="dxa"/>
        <w:tblInd w:w="53" w:type="dxa"/>
        <w:tblLayout w:type="fixed"/>
        <w:tblCellMar>
          <w:top w:w="55" w:type="dxa"/>
          <w:left w:w="55" w:type="dxa"/>
          <w:bottom w:w="55" w:type="dxa"/>
          <w:right w:w="55" w:type="dxa"/>
        </w:tblCellMar>
      </w:tblPr>
      <w:tblGrid>
        <w:gridCol w:w="1642"/>
        <w:gridCol w:w="4990"/>
        <w:gridCol w:w="3834"/>
      </w:tblGrid>
      <w:tr>
        <w:tblPrEx>
          <w:tblCellMar>
            <w:top w:w="55" w:type="dxa"/>
            <w:left w:w="55" w:type="dxa"/>
            <w:bottom w:w="55" w:type="dxa"/>
            <w:right w:w="55" w:type="dxa"/>
          </w:tblCellMar>
        </w:tblPrEx>
        <w:trPr>
          <w:trHeight w:val="319" w:hRule="atLeast"/>
        </w:trPr>
        <w:tc>
          <w:tcPr>
            <w:tcW w:w="10466" w:type="dxa"/>
            <w:gridSpan w:val="3"/>
          </w:tcPr>
          <w:p>
            <w:pPr>
              <w:pStyle w:val="22"/>
              <w:widowControl w:val="0"/>
              <w:tabs>
                <w:tab w:val="left" w:pos="610"/>
              </w:tabs>
              <w:spacing w:before="28" w:after="0"/>
              <w:ind w:left="8" w:firstLine="0"/>
              <w:jc w:val="center"/>
              <w:rPr>
                <w:rFonts w:hint="eastAsia" w:ascii="仿宋" w:hAnsi="仿宋" w:eastAsia="仿宋" w:cs="仿宋"/>
                <w:b/>
                <w:bCs/>
                <w:sz w:val="44"/>
                <w:szCs w:val="44"/>
              </w:rPr>
            </w:pPr>
            <w:r>
              <w:rPr>
                <w:rFonts w:hint="eastAsia" w:ascii="宋体" w:hAnsi="宋体" w:eastAsia="宋体" w:cs="宋体"/>
                <w:b/>
                <w:bCs/>
                <w:color w:val="000000"/>
                <w:kern w:val="0"/>
                <w:sz w:val="36"/>
                <w:szCs w:val="36"/>
                <w:lang w:val="zh-CN" w:eastAsia="ar-SA" w:bidi="zh-CN"/>
              </w:rPr>
              <w:t>一般公共预算机关运行经费支出决算表</w:t>
            </w:r>
          </w:p>
        </w:tc>
      </w:tr>
      <w:tr>
        <w:tblPrEx>
          <w:tblCellMar>
            <w:top w:w="55" w:type="dxa"/>
            <w:left w:w="55" w:type="dxa"/>
            <w:bottom w:w="55" w:type="dxa"/>
            <w:right w:w="55" w:type="dxa"/>
          </w:tblCellMar>
        </w:tblPrEx>
        <w:trPr>
          <w:trHeight w:val="90" w:hRule="atLeast"/>
        </w:trPr>
        <w:tc>
          <w:tcPr>
            <w:tcW w:w="6632" w:type="dxa"/>
            <w:gridSpan w:val="2"/>
          </w:tcPr>
          <w:p>
            <w:pPr>
              <w:pStyle w:val="22"/>
              <w:widowControl w:val="0"/>
              <w:rPr>
                <w:rFonts w:hint="eastAsia" w:ascii="仿宋" w:hAnsi="仿宋" w:eastAsia="仿宋" w:cs="仿宋"/>
                <w:sz w:val="20"/>
              </w:rPr>
            </w:pPr>
          </w:p>
        </w:tc>
        <w:tc>
          <w:tcPr>
            <w:tcW w:w="3834" w:type="dxa"/>
            <w:vAlign w:val="center"/>
          </w:tcPr>
          <w:p>
            <w:pPr>
              <w:pStyle w:val="22"/>
              <w:widowControl w:val="0"/>
              <w:jc w:val="right"/>
              <w:rPr>
                <w:rFonts w:hint="eastAsia" w:ascii="仿宋" w:hAnsi="仿宋" w:eastAsia="仿宋" w:cs="仿宋"/>
              </w:rPr>
            </w:pPr>
            <w:r>
              <w:rPr>
                <w:rFonts w:hint="eastAsia" w:ascii="仿宋" w:hAnsi="仿宋" w:eastAsia="仿宋" w:cs="仿宋"/>
              </w:rPr>
              <w:t>公开1</w:t>
            </w:r>
            <w:r>
              <w:rPr>
                <w:rFonts w:hint="eastAsia" w:ascii="仿宋" w:hAnsi="仿宋" w:eastAsia="仿宋" w:cs="仿宋"/>
                <w:lang w:val="en-US" w:eastAsia="zh-CN"/>
              </w:rPr>
              <w:t>2</w:t>
            </w:r>
            <w:r>
              <w:rPr>
                <w:rFonts w:hint="eastAsia" w:ascii="仿宋" w:hAnsi="仿宋" w:eastAsia="仿宋" w:cs="仿宋"/>
              </w:rPr>
              <w:t>表</w:t>
            </w:r>
          </w:p>
        </w:tc>
      </w:tr>
      <w:tr>
        <w:tblPrEx>
          <w:tblCellMar>
            <w:top w:w="55" w:type="dxa"/>
            <w:left w:w="55" w:type="dxa"/>
            <w:bottom w:w="55" w:type="dxa"/>
            <w:right w:w="55" w:type="dxa"/>
          </w:tblCellMar>
        </w:tblPrEx>
        <w:trPr>
          <w:trHeight w:val="90" w:hRule="atLeast"/>
        </w:trPr>
        <w:tc>
          <w:tcPr>
            <w:tcW w:w="6632" w:type="dxa"/>
            <w:gridSpan w:val="2"/>
            <w:vAlign w:val="center"/>
          </w:tcPr>
          <w:p>
            <w:pPr>
              <w:pStyle w:val="22"/>
              <w:widowControl w:val="0"/>
              <w:jc w:val="left"/>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cs="仿宋" w:eastAsia="仿宋"/>
                <w:color w:val="000000"/>
                <w:sz w:val="22"/>
              </w:rPr>
              <w:t>名称：</w:t>
            </w:r>
            <w:r>
              <w:rPr>
                <w:rFonts w:hint="eastAsia" w:ascii="仿宋" w:hAnsi="仿宋" w:eastAsia="仿宋" w:cs="仿宋"/>
              </w:rPr>
              <w:t>江苏省伤残人康复中心</w:t>
            </w:r>
          </w:p>
        </w:tc>
        <w:tc>
          <w:tcPr>
            <w:tcW w:w="3834" w:type="dxa"/>
            <w:vAlign w:val="center"/>
          </w:tcPr>
          <w:p>
            <w:pPr>
              <w:pStyle w:val="22"/>
              <w:widowControl w:val="0"/>
              <w:jc w:val="right"/>
              <w:rPr>
                <w:rFonts w:hint="eastAsia" w:ascii="仿宋" w:hAnsi="仿宋" w:eastAsia="仿宋" w:cs="仿宋"/>
                <w:sz w:val="27"/>
              </w:rPr>
            </w:pPr>
            <w:r>
              <w:rPr>
                <w:rFonts w:hint="eastAsia" w:ascii="仿宋" w:hAnsi="仿宋" w:eastAsia="仿宋" w:cs="仿宋"/>
              </w:rPr>
              <w:t>金额单位：万元</w:t>
            </w:r>
          </w:p>
        </w:tc>
      </w:tr>
      <w:tr>
        <w:tblPrEx>
          <w:tblCellMar>
            <w:top w:w="55" w:type="dxa"/>
            <w:left w:w="55" w:type="dxa"/>
            <w:bottom w:w="55" w:type="dxa"/>
            <w:right w:w="55" w:type="dxa"/>
          </w:tblCellMar>
        </w:tblPrEx>
        <w:trPr>
          <w:trHeight w:val="319" w:hRule="atLeast"/>
        </w:trPr>
        <w:tc>
          <w:tcPr>
            <w:tcW w:w="6632" w:type="dxa"/>
            <w:gridSpan w:val="2"/>
            <w:tcBorders>
              <w:top w:val="single" w:color="000000" w:sz="4" w:space="0"/>
              <w:left w:val="single" w:color="000000" w:sz="4" w:space="0"/>
              <w:bottom w:val="single" w:color="000000" w:sz="4" w:space="0"/>
            </w:tcBorders>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项</w:t>
            </w:r>
            <w:r>
              <w:rPr>
                <w:rFonts w:hint="eastAsia" w:ascii="仿宋" w:hAnsi="仿宋" w:eastAsia="仿宋" w:cs="仿宋"/>
                <w:sz w:val="22"/>
                <w:szCs w:val="22"/>
              </w:rPr>
              <w:tab/>
            </w:r>
            <w:r>
              <w:rPr>
                <w:rFonts w:hint="eastAsia" w:ascii="仿宋" w:hAnsi="仿宋" w:eastAsia="仿宋" w:cs="仿宋"/>
                <w:sz w:val="22"/>
                <w:szCs w:val="22"/>
              </w:rPr>
              <w:t>目</w:t>
            </w:r>
          </w:p>
        </w:tc>
        <w:tc>
          <w:tcPr>
            <w:tcW w:w="3834" w:type="dxa"/>
            <w:vMerge w:val="restart"/>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机关运行经费支出决算</w:t>
            </w:r>
          </w:p>
        </w:tc>
      </w:tr>
      <w:tr>
        <w:tblPrEx>
          <w:tblCellMar>
            <w:top w:w="55" w:type="dxa"/>
            <w:left w:w="55" w:type="dxa"/>
            <w:bottom w:w="55" w:type="dxa"/>
            <w:right w:w="55" w:type="dxa"/>
          </w:tblCellMar>
        </w:tblPrEx>
        <w:trPr>
          <w:trHeight w:val="363" w:hRule="atLeast"/>
        </w:trPr>
        <w:tc>
          <w:tcPr>
            <w:tcW w:w="1642"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科目编码</w:t>
            </w:r>
          </w:p>
        </w:tc>
        <w:tc>
          <w:tcPr>
            <w:tcW w:w="4990"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科目名称</w:t>
            </w:r>
          </w:p>
        </w:tc>
        <w:tc>
          <w:tcPr>
            <w:tcW w:w="3834" w:type="dxa"/>
            <w:vMerge w:val="continue"/>
            <w:tcBorders>
              <w:left w:val="single" w:color="000000" w:sz="4" w:space="0"/>
              <w:bottom w:val="single" w:color="000000" w:sz="4" w:space="0"/>
              <w:right w:val="single" w:color="000000" w:sz="4" w:space="0"/>
            </w:tcBorders>
          </w:tcPr>
          <w:p>
            <w:pPr>
              <w:widowControl w:val="0"/>
              <w:jc w:val="left"/>
              <w:rPr>
                <w:rFonts w:hint="eastAsia" w:ascii="仿宋" w:hAnsi="仿宋" w:eastAsia="仿宋" w:cs="仿宋"/>
                <w:sz w:val="22"/>
                <w:szCs w:val="22"/>
              </w:rPr>
            </w:pPr>
          </w:p>
        </w:tc>
      </w:tr>
      <w:tr>
        <w:tblPrEx>
          <w:tblCellMar>
            <w:top w:w="55" w:type="dxa"/>
            <w:left w:w="55" w:type="dxa"/>
            <w:bottom w:w="55" w:type="dxa"/>
            <w:right w:w="55" w:type="dxa"/>
          </w:tblCellMar>
        </w:tblPrEx>
        <w:trPr>
          <w:trHeight w:val="229" w:hRule="atLeast"/>
        </w:trPr>
        <w:tc>
          <w:tcPr>
            <w:tcW w:w="6632"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
            </w:r>
            <w:r>
              <w:rPr>
                <w:rFonts w:hint="eastAsia" w:ascii="仿宋" w:hAnsi="仿宋" w:eastAsia="仿宋" w:cs="仿宋"/>
                <w:sz w:val="22"/>
                <w:szCs w:val="22"/>
              </w:rPr>
              <w:t>合计</w:t>
            </w:r>
          </w:p>
        </w:tc>
        <w:tc>
          <w:tcPr>
            <w:tcW w:w="3834"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b w:val="true"/>
              </w:rPr>
              <w:t>302</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b w:val="true"/>
              </w:rPr>
              <w:t>商品和服务支出</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30201</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办公费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30202</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印刷费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30203</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咨询费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30204</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手续费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30205</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水费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30206</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电费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30207</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邮电费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30208</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取暖费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30209</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物业管理费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30211</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差旅费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30212</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因公出国（境）费用</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30213</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维修（护）费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30214</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租赁费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30215</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会议费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30216</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培训费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30217</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公务接待费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30218</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专用材料费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30224</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被装购置费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30225</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专用燃料费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30226</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劳务费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30227</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委托业务费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30228</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工会经费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30229</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福利费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30231</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公务用车运行维护费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30239</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其他交通费用</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30240</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税金及附加费用</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30299</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其他商品和服务支出</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b w:val="true"/>
              </w:rPr>
              <w:t>307</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b w:val="true"/>
              </w:rPr>
              <w:t>债务利息及费用支出</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b w:val="true"/>
              </w:rPr>
              <w:t>310</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b w:val="true"/>
              </w:rPr>
              <w:t>资本性支出</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31001</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房屋建筑物购建</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31002</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办公设备购置</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31003</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专用设备购置</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31005</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基础设施建设</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31006</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大型修缮</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31007</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信息网络及软件购置更新</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31008</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物资储备</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31009</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土地补偿</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31010</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安置补助</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31011</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地上附着物和青苗补偿</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31012</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拆迁补偿</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31013</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公务用车购置</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31019</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其他交通工具购置</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31021</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文物和陈列品购置</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31022</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无形资产购置</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31099</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其他资本性支出</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b w:val="true"/>
              </w:rPr>
              <w:t>312</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b w:val="true"/>
              </w:rPr>
              <w:t>对企业补助</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
            </w: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b w:val="true"/>
              </w:rPr>
              <w:t>399</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b w:val="true"/>
              </w:rPr>
              <w:t>其他支出</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
            </w:r>
          </w:p>
        </w:tc>
      </w:tr>
    </w:tbl>
    <w:p>
      <w:pPr>
        <w:spacing w:before="25" w:after="0"/>
        <w:ind w:left="0" w:leftChars="0" w:right="-92" w:rightChars="-42" w:firstLine="0" w:firstLineChars="0"/>
        <w:jc w:val="both"/>
        <w:rPr>
          <w:rFonts w:hint="default" w:ascii="仿宋" w:hAnsi="仿宋" w:eastAsia="仿宋" w:cs="仿宋"/>
          <w:b w:val="0"/>
          <w:bCs w:val="0"/>
          <w:sz w:val="22"/>
          <w:szCs w:val="22"/>
          <w:lang w:val="en-US" w:eastAsia="zh-CN"/>
        </w:rPr>
      </w:pPr>
      <w:r>
        <w:rPr>
          <w:rFonts w:hint="eastAsia" w:ascii="仿宋" w:hAnsi="仿宋" w:eastAsia="仿宋" w:cs="仿宋"/>
          <w:b w:val="0"/>
          <w:bCs w:val="0"/>
          <w:sz w:val="22"/>
          <w:szCs w:val="22"/>
        </w:rPr>
        <w:t>注：“机关运行经费” 指行政单位（含参照公务员法管理的事业单位）使用一般公共预算安排的基本支出中的日常公用经费支出，包括办公及印刷费、邮电费、差旅费、会议费、福利费、日常维修费、专用材料及一般设备购置费、办公用房水电费、办公用房取暖费、办公用房物业管理费、公务用车运行维护费及其他费用。</w:t>
      </w:r>
      <w:r>
        <w:rPr>
          <w:rFonts w:hint="eastAsia" w:ascii="仿宋" w:hAnsi="仿宋" w:eastAsia="仿宋" w:cs="仿宋"/>
          <w:b w:val="0"/>
          <w:bCs w:val="0"/>
          <w:sz w:val="22"/>
          <w:szCs w:val="22"/>
          <w:lang w:val="en-US" w:eastAsia="zh-CN"/>
        </w:rPr>
        <w:t/>
      </w:r>
      <w:r>
        <w:rPr>
          <w:rFonts w:hint="eastAsia" w:ascii="仿宋" w:hAnsi="仿宋" w:eastAsia="仿宋" w:cs="仿宋"/>
          <w:b w:val="0"/>
          <w:bCs w:val="0"/>
          <w:sz w:val="22"/>
          <w:szCs w:val="22"/>
          <w:lang w:val="en-US" w:eastAsia="zh-CN"/>
        </w:rPr>
        <w:t/>
      </w:r>
    </w:p>
    <w:p>
      <w:pPr>
        <w:numPr>
          <w:ilvl w:val="0"/>
          <w:numId w:val="0"/>
        </w:numPr>
        <w:tabs>
          <w:tab w:val="left" w:pos="440"/>
        </w:tabs>
        <w:spacing w:before="25" w:after="0"/>
        <w:ind w:left="440" w:leftChars="200" w:firstLine="0" w:firstLineChars="0"/>
        <w:jc w:val="both"/>
        <w:rPr>
          <w:rFonts w:hint="eastAsia" w:ascii="仿宋" w:hAnsi="仿宋" w:eastAsia="仿宋" w:cs="仿宋"/>
          <w:b w:val="0"/>
          <w:bCs w:val="0"/>
          <w:sz w:val="22"/>
          <w:szCs w:val="22"/>
        </w:rPr>
      </w:pPr>
      <w:r>
        <w:rPr>
          <w:rFonts w:hint="eastAsia" w:ascii="仿宋" w:hAnsi="仿宋" w:eastAsia="仿宋" w:cs="仿宋"/>
          <w:b w:val="0"/>
          <w:bCs w:val="0"/>
          <w:sz w:val="22"/>
          <w:szCs w:val="22"/>
        </w:rPr>
        <w:t/>
      </w:r>
      <w:r>
        <w:rPr>
          <w:rFonts w:hint="eastAsia" w:ascii="仿宋" w:hAnsi="仿宋" w:eastAsia="仿宋" w:cs="仿宋"/>
          <w:b w:val="0"/>
          <w:bCs w:val="0"/>
          <w:sz w:val="22"/>
          <w:szCs w:val="22"/>
          <w:lang w:eastAsia="zh-CN"/>
        </w:rPr>
        <w:t>本</w:t>
      </w:r>
      <w:r>
        <w:rPr>
          <w:rFonts w:ascii="仿宋" w:hAnsi="仿宋" w:cs="仿宋" w:eastAsia="仿宋"/>
          <w:sz w:val="22"/>
        </w:rPr>
        <w:t>单位</w:t>
      </w:r>
      <w:r>
        <w:rPr>
          <w:rFonts w:hint="eastAsia" w:ascii="仿宋" w:hAnsi="仿宋" w:eastAsia="仿宋" w:cs="仿宋"/>
          <w:b w:val="0"/>
          <w:bCs w:val="0"/>
          <w:sz w:val="22"/>
          <w:szCs w:val="22"/>
        </w:rPr>
        <w:t>无一般公共预算机关运行经费支出决算，故本表为空。</w:t>
      </w:r>
      <w:r>
        <w:rPr>
          <w:rFonts w:ascii="仿宋" w:hAnsi="仿宋" w:cs="仿宋" w:eastAsia="仿宋"/>
          <w:sz w:val="22"/>
        </w:rPr>
        <w:t/>
      </w:r>
    </w:p>
    <w:p>
      <w:pPr>
        <w:numPr>
          <w:ilvl w:val="0"/>
          <w:numId w:val="0"/>
        </w:numPr>
        <w:tabs>
          <w:tab w:val="left" w:pos="440"/>
        </w:tabs>
        <w:spacing w:before="25" w:after="0"/>
        <w:ind w:left="440" w:leftChars="200" w:firstLine="0" w:firstLineChars="0"/>
        <w:jc w:val="both"/>
        <w:rPr>
          <w:rFonts w:hint="eastAsia" w:ascii="仿宋" w:hAnsi="仿宋" w:eastAsia="仿宋" w:cs="仿宋"/>
          <w:b w:val="0"/>
          <w:bCs w:val="0"/>
          <w:sz w:val="22"/>
          <w:szCs w:val="22"/>
          <w:lang w:val="en-US" w:eastAsia="zh-CN"/>
        </w:rPr>
        <w:sectPr>
          <w:footerReference r:id="rId18" w:type="default"/>
          <w:type w:val="continuous"/>
          <w:pgSz w:w="11906" w:h="16838"/>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0459" w:type="dxa"/>
        <w:tblInd w:w="45" w:type="dxa"/>
        <w:tblLayout w:type="fixed"/>
        <w:tblCellMar>
          <w:top w:w="55" w:type="dxa"/>
          <w:left w:w="55" w:type="dxa"/>
          <w:bottom w:w="55" w:type="dxa"/>
          <w:right w:w="55" w:type="dxa"/>
        </w:tblCellMar>
      </w:tblPr>
      <w:tblGrid>
        <w:gridCol w:w="4472"/>
        <w:gridCol w:w="722"/>
        <w:gridCol w:w="1992"/>
        <w:gridCol w:w="3273"/>
      </w:tblGrid>
      <w:tr>
        <w:tblPrEx>
          <w:tblCellMar>
            <w:top w:w="55" w:type="dxa"/>
            <w:left w:w="55" w:type="dxa"/>
            <w:bottom w:w="55" w:type="dxa"/>
            <w:right w:w="55" w:type="dxa"/>
          </w:tblCellMar>
        </w:tblPrEx>
        <w:trPr>
          <w:trHeight w:val="333" w:hRule="atLeast"/>
        </w:trPr>
        <w:tc>
          <w:tcPr>
            <w:tcW w:w="10459" w:type="dxa"/>
            <w:gridSpan w:val="4"/>
            <w:vAlign w:val="center"/>
          </w:tcPr>
          <w:p>
            <w:pPr>
              <w:pStyle w:val="22"/>
              <w:widowControl w:val="0"/>
              <w:bidi w:val="0"/>
              <w:jc w:val="center"/>
              <w:rPr>
                <w:rFonts w:hint="eastAsia" w:ascii="仿宋" w:hAnsi="仿宋" w:eastAsia="仿宋" w:cs="仿宋"/>
                <w:b/>
                <w:bCs/>
                <w:sz w:val="44"/>
                <w:szCs w:val="44"/>
              </w:rPr>
            </w:pPr>
            <w:r>
              <w:rPr>
                <w:rFonts w:hint="eastAsia" w:ascii="宋体" w:hAnsi="宋体" w:eastAsia="宋体" w:cs="宋体"/>
                <w:b/>
                <w:bCs/>
                <w:color w:val="000000"/>
                <w:kern w:val="0"/>
                <w:sz w:val="36"/>
                <w:szCs w:val="36"/>
                <w:lang w:val="zh-CN" w:eastAsia="ar-SA" w:bidi="zh-CN"/>
              </w:rPr>
              <w:t>政府采购支出决算表</w:t>
            </w:r>
          </w:p>
        </w:tc>
      </w:tr>
      <w:tr>
        <w:tblPrEx>
          <w:tblCellMar>
            <w:top w:w="55" w:type="dxa"/>
            <w:left w:w="55" w:type="dxa"/>
            <w:bottom w:w="55" w:type="dxa"/>
            <w:right w:w="55" w:type="dxa"/>
          </w:tblCellMar>
        </w:tblPrEx>
        <w:trPr>
          <w:trHeight w:val="333" w:hRule="atLeast"/>
        </w:trPr>
        <w:tc>
          <w:tcPr>
            <w:tcW w:w="4472" w:type="dxa"/>
          </w:tcPr>
          <w:p>
            <w:pPr>
              <w:pStyle w:val="22"/>
              <w:widowControl w:val="0"/>
              <w:bidi w:val="0"/>
              <w:rPr>
                <w:rFonts w:hint="eastAsia" w:ascii="仿宋" w:hAnsi="仿宋" w:eastAsia="仿宋" w:cs="仿宋"/>
              </w:rPr>
            </w:pPr>
          </w:p>
        </w:tc>
        <w:tc>
          <w:tcPr>
            <w:tcW w:w="722" w:type="dxa"/>
          </w:tcPr>
          <w:p>
            <w:pPr>
              <w:pStyle w:val="22"/>
              <w:widowControl w:val="0"/>
              <w:rPr>
                <w:rFonts w:hint="eastAsia" w:ascii="仿宋" w:hAnsi="仿宋" w:eastAsia="仿宋" w:cs="仿宋"/>
              </w:rPr>
            </w:pPr>
          </w:p>
        </w:tc>
        <w:tc>
          <w:tcPr>
            <w:tcW w:w="1992" w:type="dxa"/>
          </w:tcPr>
          <w:p>
            <w:pPr>
              <w:pStyle w:val="22"/>
              <w:widowControl w:val="0"/>
              <w:rPr>
                <w:rFonts w:hint="eastAsia" w:ascii="仿宋" w:hAnsi="仿宋" w:eastAsia="仿宋" w:cs="仿宋"/>
              </w:rPr>
            </w:pPr>
          </w:p>
        </w:tc>
        <w:tc>
          <w:tcPr>
            <w:tcW w:w="3273" w:type="dxa"/>
            <w:vAlign w:val="center"/>
          </w:tcPr>
          <w:p>
            <w:pPr>
              <w:pStyle w:val="22"/>
              <w:widowControl w:val="0"/>
              <w:jc w:val="right"/>
              <w:rPr>
                <w:rFonts w:hint="eastAsia" w:ascii="仿宋" w:hAnsi="仿宋" w:eastAsia="仿宋" w:cs="仿宋"/>
              </w:rPr>
            </w:pPr>
            <w:r>
              <w:rPr>
                <w:rFonts w:hint="eastAsia" w:ascii="仿宋" w:hAnsi="仿宋" w:eastAsia="仿宋" w:cs="仿宋"/>
              </w:rPr>
              <w:t>公开1</w:t>
            </w:r>
            <w:r>
              <w:rPr>
                <w:rFonts w:hint="eastAsia" w:ascii="仿宋" w:hAnsi="仿宋" w:eastAsia="仿宋" w:cs="仿宋"/>
                <w:lang w:val="en-US" w:eastAsia="zh-CN"/>
              </w:rPr>
              <w:t>3</w:t>
            </w:r>
            <w:r>
              <w:rPr>
                <w:rFonts w:hint="eastAsia" w:ascii="仿宋" w:hAnsi="仿宋" w:eastAsia="仿宋" w:cs="仿宋"/>
              </w:rPr>
              <w:t>表</w:t>
            </w:r>
          </w:p>
        </w:tc>
      </w:tr>
      <w:tr>
        <w:tblPrEx>
          <w:tblCellMar>
            <w:top w:w="55" w:type="dxa"/>
            <w:left w:w="55" w:type="dxa"/>
            <w:bottom w:w="55" w:type="dxa"/>
            <w:right w:w="55" w:type="dxa"/>
          </w:tblCellMar>
        </w:tblPrEx>
        <w:trPr>
          <w:trHeight w:val="90" w:hRule="atLeast"/>
        </w:trPr>
        <w:tc>
          <w:tcPr>
            <w:tcW w:w="7186" w:type="dxa"/>
            <w:gridSpan w:val="3"/>
          </w:tcPr>
          <w:p>
            <w:pPr>
              <w:pStyle w:val="22"/>
              <w:widowControl w:val="0"/>
              <w:bidi w:val="0"/>
              <w:rPr>
                <w:rFonts w:hint="eastAsia" w:ascii="仿宋" w:hAnsi="仿宋" w:eastAsia="仿宋" w:cs="仿宋"/>
              </w:rPr>
            </w:pPr>
            <w:r>
              <w:rPr>
                <w:rFonts w:hint="eastAsia" w:ascii="仿宋" w:hAnsi="仿宋" w:eastAsia="仿宋" w:cs="仿宋"/>
                <w:color w:val="000000"/>
                <w:sz w:val="22"/>
                <w:szCs w:val="22"/>
                <w:lang w:eastAsia="zh-CN"/>
              </w:rPr>
              <w:t>单位</w:t>
            </w:r>
            <w:r>
              <w:rPr>
                <w:rFonts w:ascii="仿宋" w:hAnsi="仿宋" w:cs="仿宋" w:eastAsia="仿宋"/>
                <w:color w:val="000000"/>
                <w:sz w:val="22"/>
              </w:rPr>
              <w:t>名称：</w:t>
            </w:r>
            <w:r>
              <w:rPr>
                <w:rFonts w:hint="eastAsia" w:ascii="仿宋" w:hAnsi="仿宋" w:eastAsia="仿宋" w:cs="仿宋"/>
              </w:rPr>
              <w:t>江苏省伤残人康复中心</w:t>
            </w:r>
          </w:p>
        </w:tc>
        <w:tc>
          <w:tcPr>
            <w:tcW w:w="3273" w:type="dxa"/>
            <w:vAlign w:val="center"/>
          </w:tcPr>
          <w:p>
            <w:pPr>
              <w:pStyle w:val="22"/>
              <w:widowControl w:val="0"/>
              <w:jc w:val="right"/>
              <w:rPr>
                <w:rFonts w:hint="eastAsia" w:ascii="仿宋" w:hAnsi="仿宋" w:eastAsia="仿宋" w:cs="仿宋"/>
              </w:rPr>
            </w:pPr>
            <w:r>
              <w:rPr>
                <w:rFonts w:hint="eastAsia" w:ascii="仿宋" w:hAnsi="仿宋" w:eastAsia="仿宋" w:cs="仿宋"/>
              </w:rPr>
              <w:t>单位：万元</w:t>
            </w:r>
          </w:p>
        </w:tc>
      </w:tr>
      <w:tr>
        <w:tblPrEx>
          <w:tblCellMar>
            <w:top w:w="55" w:type="dxa"/>
            <w:left w:w="55" w:type="dxa"/>
            <w:bottom w:w="55" w:type="dxa"/>
            <w:right w:w="55" w:type="dxa"/>
          </w:tblCellMar>
        </w:tblPrEx>
        <w:trPr>
          <w:trHeight w:val="244" w:hRule="atLeast"/>
        </w:trPr>
        <w:tc>
          <w:tcPr>
            <w:tcW w:w="4472" w:type="dxa"/>
            <w:tcBorders>
              <w:top w:val="single" w:color="000000" w:sz="4" w:space="0"/>
              <w:left w:val="single" w:color="000000" w:sz="4" w:space="0"/>
              <w:bottom w:val="single" w:color="000000" w:sz="4" w:space="0"/>
            </w:tcBorders>
            <w:vAlign w:val="center"/>
          </w:tcPr>
          <w:p>
            <w:pPr>
              <w:pStyle w:val="22"/>
              <w:widowControl w:val="0"/>
              <w:bidi w:val="0"/>
              <w:jc w:val="center"/>
              <w:rPr>
                <w:rFonts w:hint="eastAsia" w:ascii="仿宋" w:hAnsi="仿宋" w:eastAsia="仿宋" w:cs="仿宋"/>
                <w:lang w:val="en-US" w:eastAsia="zh-CN"/>
              </w:rPr>
            </w:pPr>
            <w:r>
              <w:rPr>
                <w:rFonts w:hint="eastAsia" w:ascii="仿宋" w:hAnsi="仿宋" w:eastAsia="仿宋" w:cs="仿宋"/>
                <w:lang w:val="en-US" w:eastAsia="zh-CN"/>
              </w:rPr>
              <w:t/>
            </w:r>
            <w:r>
              <w:rPr>
                <w:rFonts w:ascii="仿宋" w:hAnsi="仿宋" w:cs="仿宋" w:eastAsia="仿宋"/>
              </w:rPr>
              <w:t>项目</w:t>
            </w:r>
          </w:p>
        </w:tc>
        <w:tc>
          <w:tcPr>
            <w:tcW w:w="598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金</w:t>
            </w:r>
            <w:r>
              <w:rPr>
                <w:rFonts w:hint="eastAsia" w:ascii="仿宋" w:hAnsi="仿宋" w:eastAsia="仿宋" w:cs="仿宋"/>
              </w:rPr>
              <w:tab/>
            </w:r>
            <w:r>
              <w:rPr>
                <w:rFonts w:hint="eastAsia" w:ascii="仿宋" w:hAnsi="仿宋" w:eastAsia="仿宋" w:cs="仿宋"/>
              </w:rPr>
              <w:t>额</w:t>
            </w:r>
          </w:p>
        </w:tc>
      </w:tr>
      <w:tr>
        <w:tblPrEx>
          <w:tblCellMar>
            <w:top w:w="55" w:type="dxa"/>
            <w:left w:w="55" w:type="dxa"/>
            <w:bottom w:w="55" w:type="dxa"/>
            <w:right w:w="55" w:type="dxa"/>
          </w:tblCellMar>
        </w:tblPrEx>
        <w:trPr>
          <w:cantSplit/>
          <w:trHeight w:val="277" w:hRule="atLeast"/>
        </w:trPr>
        <w:tc>
          <w:tcPr>
            <w:tcW w:w="4472" w:type="dxa"/>
            <w:tcBorders>
              <w:left w:val="single" w:color="000000" w:sz="4" w:space="0"/>
              <w:bottom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一、政府采购支出合计</w:t>
            </w:r>
          </w:p>
        </w:tc>
        <w:tc>
          <w:tcPr>
            <w:tcW w:w="5987" w:type="dxa"/>
            <w:gridSpan w:val="3"/>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112.80</w:t>
            </w:r>
          </w:p>
        </w:tc>
      </w:tr>
      <w:tr>
        <w:tblPrEx>
          <w:tblCellMar>
            <w:top w:w="55" w:type="dxa"/>
            <w:left w:w="55" w:type="dxa"/>
            <w:bottom w:w="55" w:type="dxa"/>
            <w:right w:w="55" w:type="dxa"/>
          </w:tblCellMar>
        </w:tblPrEx>
        <w:trPr>
          <w:cantSplit/>
          <w:trHeight w:val="277" w:hRule="atLeast"/>
        </w:trPr>
        <w:tc>
          <w:tcPr>
            <w:tcW w:w="4472" w:type="dxa"/>
            <w:tcBorders>
              <w:left w:val="single" w:color="000000" w:sz="4" w:space="0"/>
              <w:bottom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（一）政府采购货物支出</w:t>
            </w:r>
          </w:p>
        </w:tc>
        <w:tc>
          <w:tcPr>
            <w:tcW w:w="5987" w:type="dxa"/>
            <w:gridSpan w:val="3"/>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112.80</w:t>
            </w:r>
          </w:p>
        </w:tc>
      </w:tr>
      <w:tr>
        <w:tblPrEx>
          <w:tblCellMar>
            <w:top w:w="55" w:type="dxa"/>
            <w:left w:w="55" w:type="dxa"/>
            <w:bottom w:w="55" w:type="dxa"/>
            <w:right w:w="55" w:type="dxa"/>
          </w:tblCellMar>
        </w:tblPrEx>
        <w:trPr>
          <w:cantSplit/>
          <w:trHeight w:val="277" w:hRule="atLeast"/>
        </w:trPr>
        <w:tc>
          <w:tcPr>
            <w:tcW w:w="4472" w:type="dxa"/>
            <w:tcBorders>
              <w:left w:val="single" w:color="000000" w:sz="4" w:space="0"/>
              <w:bottom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（二）政府采购工程支出</w:t>
            </w:r>
          </w:p>
        </w:tc>
        <w:tc>
          <w:tcPr>
            <w:tcW w:w="5987" w:type="dxa"/>
            <w:gridSpan w:val="3"/>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277" w:hRule="atLeast"/>
        </w:trPr>
        <w:tc>
          <w:tcPr>
            <w:tcW w:w="4472" w:type="dxa"/>
            <w:tcBorders>
              <w:left w:val="single" w:color="000000" w:sz="4" w:space="0"/>
              <w:bottom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（三）政府采购服务支出</w:t>
            </w:r>
          </w:p>
        </w:tc>
        <w:tc>
          <w:tcPr>
            <w:tcW w:w="5987" w:type="dxa"/>
            <w:gridSpan w:val="3"/>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277" w:hRule="atLeast"/>
        </w:trPr>
        <w:tc>
          <w:tcPr>
            <w:tcW w:w="4472" w:type="dxa"/>
            <w:tcBorders>
              <w:left w:val="single" w:color="000000" w:sz="4" w:space="0"/>
              <w:bottom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二、政府采购授予中小企业合同金额</w:t>
            </w:r>
          </w:p>
        </w:tc>
        <w:tc>
          <w:tcPr>
            <w:tcW w:w="5987" w:type="dxa"/>
            <w:gridSpan w:val="3"/>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112.80</w:t>
            </w:r>
          </w:p>
        </w:tc>
      </w:tr>
      <w:tr>
        <w:tblPrEx>
          <w:tblCellMar>
            <w:top w:w="55" w:type="dxa"/>
            <w:left w:w="55" w:type="dxa"/>
            <w:bottom w:w="55" w:type="dxa"/>
            <w:right w:w="55" w:type="dxa"/>
          </w:tblCellMar>
        </w:tblPrEx>
        <w:trPr>
          <w:cantSplit/>
          <w:trHeight w:val="277" w:hRule="atLeast"/>
        </w:trPr>
        <w:tc>
          <w:tcPr>
            <w:tcW w:w="4472" w:type="dxa"/>
            <w:tcBorders>
              <w:left w:val="single" w:color="000000" w:sz="4" w:space="0"/>
              <w:bottom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其中：授予小微企业合同金额</w:t>
            </w:r>
          </w:p>
        </w:tc>
        <w:tc>
          <w:tcPr>
            <w:tcW w:w="5987" w:type="dxa"/>
            <w:gridSpan w:val="3"/>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21.60</w:t>
            </w:r>
          </w:p>
        </w:tc>
      </w:tr>
    </w:tbl>
    <w:p>
      <w:pPr>
        <w:bidi w:val="0"/>
        <w:jc w:val="both"/>
        <w:rPr>
          <w:rFonts w:hint="default" w:ascii="仿宋" w:hAnsi="仿宋" w:eastAsia="仿宋" w:cs="仿宋"/>
          <w:b w:val="0"/>
          <w:bCs w:val="0"/>
          <w:sz w:val="22"/>
          <w:szCs w:val="22"/>
          <w:lang w:val="en-US" w:eastAsia="zh-CN"/>
        </w:rPr>
      </w:pPr>
      <w:r>
        <w:rPr>
          <w:rFonts w:hint="eastAsia" w:ascii="仿宋" w:hAnsi="仿宋" w:eastAsia="仿宋" w:cs="仿宋"/>
          <w:b w:val="0"/>
          <w:bCs w:val="0"/>
          <w:sz w:val="22"/>
          <w:szCs w:val="22"/>
        </w:rPr>
        <w:t>注：</w:t>
      </w:r>
      <w:r>
        <w:rPr>
          <w:rFonts w:hint="eastAsia" w:ascii="仿宋" w:hAnsi="仿宋" w:eastAsia="仿宋" w:cs="仿宋"/>
          <w:b w:val="0"/>
          <w:bCs w:val="0"/>
          <w:sz w:val="22"/>
          <w:szCs w:val="22"/>
          <w:lang w:val="en-US" w:eastAsia="zh-CN"/>
        </w:rPr>
        <w:t>政府采购支出信息为单位纳入部门预算范围的各项政府采购支出情况。</w:t>
      </w:r>
      <w:r>
        <w:rPr>
          <w:rFonts w:ascii="仿宋" w:hAnsi="仿宋" w:cs="仿宋" w:eastAsia="仿宋"/>
          <w:sz w:val="22"/>
        </w:rPr>
        <w:t/>
      </w:r>
      <w:r>
        <w:rPr>
          <w:rFonts w:hint="eastAsia" w:ascii="仿宋" w:hAnsi="仿宋" w:eastAsia="仿宋" w:cs="仿宋"/>
          <w:b w:val="0"/>
          <w:bCs w:val="0"/>
          <w:sz w:val="22"/>
          <w:szCs w:val="22"/>
          <w:lang w:val="en-US" w:eastAsia="zh-CN"/>
        </w:rPr>
        <w:t>本表金额单位转换时可能存在尾数误差</w:t>
      </w:r>
      <w:r>
        <w:rPr>
          <w:rFonts w:hint="eastAsia" w:ascii="仿宋" w:hAnsi="仿宋" w:eastAsia="仿宋" w:cs="仿宋"/>
          <w:b w:val="0"/>
          <w:bCs w:val="0"/>
          <w:sz w:val="22"/>
          <w:szCs w:val="22"/>
        </w:rPr>
        <w:t>。</w:t>
      </w:r>
      <w:r>
        <w:rPr>
          <w:rFonts w:hint="eastAsia" w:ascii="仿宋" w:hAnsi="仿宋" w:eastAsia="仿宋" w:cs="仿宋"/>
          <w:b w:val="0"/>
          <w:bCs w:val="0"/>
          <w:sz w:val="22"/>
          <w:szCs w:val="22"/>
          <w:lang w:val="en-US" w:eastAsia="zh-CN"/>
        </w:rPr>
        <w:t/>
      </w:r>
    </w:p>
    <w:p>
      <w:pPr>
        <w:numPr>
          <w:ilvl w:val="0"/>
          <w:numId w:val="0"/>
        </w:numPr>
        <w:bidi w:val="0"/>
        <w:ind w:left="440" w:leftChars="200" w:firstLine="0" w:firstLineChars="0"/>
        <w:jc w:val="both"/>
        <w:rPr>
          <w:rFonts w:hint="eastAsia" w:ascii="仿宋" w:hAnsi="仿宋" w:eastAsia="仿宋" w:cs="仿宋"/>
          <w:b w:val="0"/>
          <w:bCs w:val="0"/>
          <w:sz w:val="22"/>
          <w:szCs w:val="22"/>
        </w:rPr>
        <w:sectPr>
          <w:pgSz w:w="11906" w:h="16838"/>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p>
      <w:pPr>
        <w:pStyle w:val="5"/>
        <w:tabs>
          <w:tab w:val="left" w:pos="3077"/>
        </w:tabs>
        <w:spacing w:line="616" w:lineRule="exact"/>
        <w:jc w:val="center"/>
        <w:outlineLvl w:val="0"/>
        <w:rPr>
          <w:rFonts w:hint="eastAsia" w:ascii="宋体" w:hAnsi="宋体" w:eastAsia="宋体" w:cs="宋体"/>
          <w:b/>
          <w:bCs/>
          <w:color w:val="000000"/>
          <w:kern w:val="0"/>
          <w:sz w:val="36"/>
          <w:szCs w:val="36"/>
          <w:lang w:val="zh-CN" w:eastAsia="ar-SA" w:bidi="zh-CN"/>
        </w:rPr>
      </w:pPr>
      <w:r>
        <w:rPr>
          <w:rFonts w:hint="eastAsia" w:ascii="宋体" w:hAnsi="宋体" w:eastAsia="宋体" w:cs="宋体"/>
          <w:b/>
          <w:bCs/>
          <w:color w:val="000000"/>
          <w:kern w:val="0"/>
          <w:sz w:val="36"/>
          <w:szCs w:val="36"/>
          <w:lang w:val="zh-CN" w:eastAsia="ar-SA" w:bidi="zh-CN"/>
        </w:rPr>
        <w:t>第三部分</w:t>
      </w:r>
      <w:r>
        <w:rPr>
          <w:rFonts w:hint="eastAsia" w:ascii="宋体" w:hAnsi="宋体" w:eastAsia="宋体" w:cs="宋体"/>
          <w:b/>
          <w:bCs/>
          <w:color w:val="000000"/>
          <w:kern w:val="0"/>
          <w:sz w:val="36"/>
          <w:szCs w:val="36"/>
          <w:lang w:val="en-US" w:eastAsia="zh-CN" w:bidi="zh-CN"/>
        </w:rPr>
        <w:t xml:space="preserve"> </w:t>
      </w:r>
      <w:r>
        <w:rPr>
          <w:rFonts w:hint="eastAsia" w:ascii="宋体" w:hAnsi="宋体" w:eastAsia="宋体" w:cs="宋体"/>
          <w:b/>
          <w:bCs/>
          <w:color w:val="000000"/>
          <w:kern w:val="0"/>
          <w:sz w:val="36"/>
          <w:szCs w:val="36"/>
          <w:lang w:val="zh-CN" w:eastAsia="zh-CN" w:bidi="zh-CN"/>
        </w:rPr>
        <w:t>2021</w:t>
      </w:r>
      <w:r>
        <w:rPr>
          <w:rFonts w:hint="eastAsia" w:ascii="宋体" w:hAnsi="宋体" w:eastAsia="宋体" w:cs="宋体"/>
          <w:b/>
          <w:bCs/>
          <w:color w:val="000000"/>
          <w:kern w:val="0"/>
          <w:sz w:val="36"/>
          <w:szCs w:val="36"/>
          <w:lang w:val="zh-CN" w:eastAsia="ar-SA" w:bidi="zh-CN"/>
        </w:rPr>
        <w:t>年度</w:t>
      </w:r>
      <w:r>
        <w:rPr>
          <w:rFonts w:ascii="宋体" w:hAnsi="宋体" w:cs="宋体" w:eastAsia="宋体"/>
          <w:b w:val="true"/>
          <w:color w:val="000000"/>
          <w:sz w:val="36"/>
        </w:rPr>
        <w:t>单位</w:t>
      </w:r>
      <w:r>
        <w:rPr>
          <w:rFonts w:ascii="宋体" w:hAnsi="宋体" w:cs="宋体" w:eastAsia="宋体"/>
          <w:b w:val="true"/>
          <w:color w:val="000000"/>
          <w:sz w:val="36"/>
        </w:rPr>
        <w:t>决算情况说明</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1" w:after="0" w:line="360" w:lineRule="auto"/>
        <w:ind w:left="348" w:right="420" w:firstLine="640"/>
        <w:jc w:val="both"/>
        <w:textAlignment w:val="auto"/>
        <w:rPr>
          <w:rFonts w:hint="eastAsia" w:ascii="仿宋" w:hAnsi="仿宋" w:eastAsia="仿宋" w:cs="仿宋"/>
          <w:lang w:val="en-US" w:eastAsia="zh-CN"/>
        </w:rPr>
      </w:pP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b w:val="true"/>
        </w:rPr>
        <w:t>一、收入支出决算总体情况说明</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2021年度收入、支出决算总计3,697.38万元。与上年相比，收、支总计各减少1,443.35万元，减少28.08%。其中：</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b w:val="true"/>
        </w:rPr>
        <w:t>（一）收入决算总计3,697.38万元。包括：</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1.本年收入决算合计3,697.38万元。与上年相比，减少840.26万元，减少18.52%，变动原因：本年度一般公共预算资金比去年增加12.10万元；政府性基金预算财政拨款比去年减少882.10万元；经营收入比去年增加29.74万元。</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2.使用非财政拨款结余0万元。与上年决算数相同。</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3.年初结转和结余0万元。与上年相比，减少603.09万元，减少100%，变动原因：2020年度无结余结转项目，故年初结转和结余0万元。</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b w:val="true"/>
        </w:rPr>
        <w:t>（二）支出决算总计3,697.38万元。包括：</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1.本年支出决算合计3,565.98万元。与上年相比，减少1,570.25万元，减少30.57%，变动原因：本年度项目支出比去年减少1600万元，经营支出增加29.75万元。</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2.结余分配1.4万元。结余分配事项：主要是江苏省伤残人康复中心对非财政补助结余按规定计算缴纳的企业所得税、提取的职工福利基金和转入非财政拨款结余等。与上年相比，减少3.1万元，减少68.89%，变动原因：主要原因是本年度经营结余减少3.1万元。</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3.年末结转和结余130万元。结转和结余事项：本年度机构能力提升项目结余结转105万元，主动膝关节研发项目结余结转25万元。与上年相比，增加130万元（上年决算数为0万元，无法计算增减比率），变动原因：本年度新增项目结余结转130万元（其中：机构能力提升项目结余结转105万元，主动膝关节研发项目结余结转25万元）。</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b w:val="true"/>
        </w:rPr>
        <w:t>二、收入决算情况说明</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2021年度本年收入决算合计3,697.38万元，其中：财政拨款收入2,027.28万元，占54.83%；上级补助收入0万元，占0%；财政专户管理教育收费0万元，占0%；事业收入（不含专户管理教育收费）0万元，占0%；经营收入1,670.1万元，占45.17%；附属单位上缴收入0万元，占0%；其他收入0万元，占0%。</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3" w:leftChars="0" w:right="420" w:firstLine="3" w:firstLineChars="0"/>
        <w:jc w:val="center"/>
        <w:textAlignment w:val="auto"/>
        <w:rPr>
          <w:rFonts w:hint="eastAsia" w:ascii="仿宋" w:hAnsi="仿宋" w:eastAsia="仿宋" w:cs="仿宋"/>
          <w:lang w:val="en-US" w:eastAsia="zh-CN"/>
        </w:rPr>
      </w:pPr>
      <w:r>
        <w:rPr>
          <w:rFonts w:hint="eastAsia" w:ascii="仿宋" w:hAnsi="仿宋" w:eastAsia="仿宋" w:cs="仿宋"/>
          <w:lang w:val="en-US" w:eastAsia="zh-CN"/>
        </w:rPr>
        <w:t/>
        <w:drawing>
          <wp:inline distT="0" distR="0" distB="0" distL="0">
            <wp:extent cx="6134100" cy="3429000"/>
            <wp:docPr id="1" name="Drawing 1" descr="Generated"/>
            <a:graphic xmlns:a="http://schemas.openxmlformats.org/drawingml/2006/main">
              <a:graphicData uri="http://schemas.openxmlformats.org/drawingml/2006/picture">
                <pic:pic xmlns:pic="http://schemas.openxmlformats.org/drawingml/2006/picture">
                  <pic:nvPicPr>
                    <pic:cNvPr id="0" name="Picture 1" descr="Generated"/>
                    <pic:cNvPicPr>
                      <a:picLocks noChangeAspect="true"/>
                    </pic:cNvPicPr>
                  </pic:nvPicPr>
                  <pic:blipFill>
                    <a:blip r:embed="rId22"/>
                    <a:stretch>
                      <a:fillRect/>
                    </a:stretch>
                  </pic:blipFill>
                  <pic:spPr>
                    <a:xfrm>
                      <a:off x="0" y="0"/>
                      <a:ext cx="6134100" cy="3429000"/>
                    </a:xfrm>
                    <a:prstGeom prst="rect">
                      <a:avLst/>
                    </a:prstGeom>
                  </pic:spPr>
                </pic:pic>
              </a:graphicData>
            </a:graphic>
          </wp:inline>
        </w:drawing>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b w:val="true"/>
        </w:rPr>
        <w:t>三、支出决算情况说明</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2021年度本年支出决算合计3,565.98万元，其中：基本支出947.28万元，占26.56%；项目支出950万元，占26.64%；上缴上级支出0万元，占0%；经营支出1,668.7万元，占46.8%；对附属单位补助支出0万元，占0%。</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3" w:leftChars="0" w:right="420" w:firstLine="3" w:firstLineChars="0"/>
        <w:jc w:val="center"/>
        <w:textAlignment w:val="auto"/>
        <w:rPr>
          <w:rFonts w:hint="eastAsia" w:ascii="仿宋" w:hAnsi="仿宋" w:eastAsia="仿宋" w:cs="仿宋"/>
          <w:lang w:val="en-US" w:eastAsia="zh-CN"/>
        </w:rPr>
      </w:pPr>
      <w:r>
        <w:rPr>
          <w:rFonts w:hint="eastAsia" w:ascii="仿宋" w:hAnsi="仿宋" w:eastAsia="仿宋" w:cs="仿宋"/>
          <w:lang w:val="en-US" w:eastAsia="zh-CN"/>
        </w:rPr>
        <w:t/>
        <w:drawing>
          <wp:inline distT="0" distR="0" distB="0" distL="0">
            <wp:extent cx="6134100" cy="3429000"/>
            <wp:docPr id="2" name="Drawing 2" descr="Generated"/>
            <a:graphic xmlns:a="http://schemas.openxmlformats.org/drawingml/2006/main">
              <a:graphicData uri="http://schemas.openxmlformats.org/drawingml/2006/picture">
                <pic:pic xmlns:pic="http://schemas.openxmlformats.org/drawingml/2006/picture">
                  <pic:nvPicPr>
                    <pic:cNvPr id="0" name="Picture 2" descr="Generated"/>
                    <pic:cNvPicPr>
                      <a:picLocks noChangeAspect="true"/>
                    </pic:cNvPicPr>
                  </pic:nvPicPr>
                  <pic:blipFill>
                    <a:blip r:embed="rId23"/>
                    <a:stretch>
                      <a:fillRect/>
                    </a:stretch>
                  </pic:blipFill>
                  <pic:spPr>
                    <a:xfrm>
                      <a:off x="0" y="0"/>
                      <a:ext cx="6134100" cy="3429000"/>
                    </a:xfrm>
                    <a:prstGeom prst="rect">
                      <a:avLst/>
                    </a:prstGeom>
                  </pic:spPr>
                </pic:pic>
              </a:graphicData>
            </a:graphic>
          </wp:inline>
        </w:drawing>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b w:val="true"/>
        </w:rPr>
        <w:t>四、财政拨款收入支出决算总体情况说明</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2021年度财政拨款收入、支出决算总计2,027.28万元。与上年相比，收、支总计各减少1,470万元，减少42.03%，变动原因：本年度一般公共预算资金支出比去年增加12.10万元；政府性基金预算财政拨款支出比去年减少1482.10。</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b w:val="true"/>
        </w:rPr>
        <w:t>五、财政拨款支出决算情况说明</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财政拨款支出决算反映的是一般公共预算、政府性基金预算和国有资本经营预算财政拨款支出的总体情况，既包括使用本年从本级财政取得的财政拨款发生的支出，也包括使用上年度财政拨款结转资金发生的支出。</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2021年度财政拨款支出决算1,897.28万元，占本年支出合计的53.21%。与2021年度财政拨款支出年初预算1,872.28万元相比，完成年初预算的101.34%。其中：</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b w:val="true"/>
        </w:rPr>
        <w:t>（一）科学技术支出（类）</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科技重大项目（款）重点研发计划（项）。年初预算0万元，支出决算25万元，（年初预算数为0万元，无法计算完成比率）。决算数与年初预算数的差异原因：2021年10月新增主动膝关节研发项目50万元，本年度该项目支出25万元，年末结余结转25万元。</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b w:val="true"/>
        </w:rPr>
        <w:t>（二）社会保障和就业支出（类）</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1.行政事业单位养老支出（款）机关事业单位基本养老保险缴费支出（项）。年初预算51.58万元，支出决算51.58万元，完成年初预算的100%。决算数与年初预算数相同。</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2.行政事业单位养老支出（款）机关事业单位职业年金缴费支出（项）。年初预算25.79万元，支出决算25.79万元，完成年初预算的100%。决算数与年初预算数相同。</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3.抚恤（款）优抚事业单位支出（项）。年初预算1,429.93万元，支出决算1,429.93万元，完成年初预算的100%。决算数与年初预算数相同。</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b w:val="true"/>
        </w:rPr>
        <w:t>（三）住房保障支出（类）</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住房改革支出（款）提租补贴（项）。年初预算339.98万元，支出决算339.98万元，完成年初预算的100%。决算数与年初预算数相同。</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b w:val="true"/>
        </w:rPr>
        <w:t>（四）其他支出（类）</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彩票公益金安排的支出（款）用于社会福利的彩票公益金支出（项）。年初预算25万元，支出决算25万元，完成年初预算的100%。决算数与年初预算数相同。</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b w:val="true"/>
        </w:rPr>
        <w:t>六、财政拨款基本支出决算情况说明</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2021年度财政拨款基本支出决算947.28万元，其中：</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hint="eastAsia" w:ascii="楷体" w:hAnsi="楷体" w:eastAsia="楷体" w:cs="楷体"/>
          <w:b w:val="0"/>
          <w:bCs w:val="0"/>
          <w:lang w:val="en-US"/>
        </w:rPr>
        <w:t/>
      </w:r>
      <w:r>
        <w:rPr>
          <w:rFonts w:ascii="楷体" w:hAnsi="楷体" w:cs="楷体" w:eastAsia="楷体"/>
        </w:rPr>
        <w:t>（一）人员经费802.3万元。</w:t>
      </w:r>
      <w:r>
        <w:rPr>
          <w:rFonts w:ascii="楷体" w:hAnsi="楷体" w:cs="楷体" w:eastAsia="楷体"/>
        </w:rPr>
        <w:t/>
      </w:r>
      <w:r>
        <w:rPr>
          <w:rFonts w:hint="eastAsia" w:ascii="仿宋" w:hAnsi="仿宋" w:eastAsia="仿宋" w:cs="仿宋"/>
          <w:b w:val="0"/>
          <w:bCs w:val="0"/>
          <w:lang w:val="en-US"/>
        </w:rPr>
        <w:t/>
      </w:r>
      <w:r>
        <w:rPr>
          <w:rFonts w:ascii="仿宋" w:hAnsi="仿宋" w:cs="仿宋" w:eastAsia="仿宋"/>
        </w:rPr>
        <w:t/>
      </w:r>
      <w:r>
        <w:rPr>
          <w:rFonts w:hint="eastAsia" w:ascii="楷体" w:hAnsi="楷体" w:eastAsia="楷体" w:cs="楷体"/>
          <w:b w:val="0"/>
          <w:bCs w:val="0"/>
          <w:lang w:val="en-US"/>
        </w:rPr>
        <w:t/>
      </w:r>
      <w:r>
        <w:rPr>
          <w:rFonts w:ascii="楷体" w:hAnsi="楷体" w:cs="楷体" w:eastAsia="楷体"/>
        </w:rPr>
        <w:t/>
      </w:r>
      <w:r>
        <w:rPr>
          <w:rFonts w:hint="eastAsia" w:ascii="仿宋" w:hAnsi="仿宋" w:eastAsia="仿宋" w:cs="仿宋"/>
          <w:b w:val="0"/>
          <w:bCs w:val="0"/>
          <w:lang w:val="en-US"/>
        </w:rPr>
        <w:t/>
      </w:r>
      <w:r>
        <w:rPr>
          <w:rFonts w:ascii="仿宋" w:hAnsi="仿宋" w:cs="仿宋" w:eastAsia="仿宋"/>
        </w:rPr>
        <w:t>主要包括：基本工资、津贴补贴、绩效工资、机关事业单位基本养老保险缴费、职业年金缴费、职工基本医疗保险缴费、退休费、奖励金。</w:t>
      </w:r>
      <w:r>
        <w:rPr>
          <w:rFonts w:ascii="仿宋" w:hAnsi="仿宋" w:cs="仿宋" w:eastAsia="仿宋"/>
        </w:rPr>
        <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hint="eastAsia" w:ascii="楷体" w:hAnsi="楷体" w:eastAsia="楷体" w:cs="楷体"/>
          <w:b w:val="0"/>
          <w:bCs w:val="0"/>
          <w:lang w:val="en-US"/>
        </w:rPr>
        <w:t/>
      </w:r>
      <w:r>
        <w:rPr>
          <w:rFonts w:ascii="楷体" w:hAnsi="楷体" w:cs="楷体" w:eastAsia="楷体"/>
        </w:rPr>
        <w:t>（二）公用经费144.98万元。</w:t>
      </w:r>
      <w:r>
        <w:rPr>
          <w:rFonts w:ascii="楷体" w:hAnsi="楷体" w:cs="楷体" w:eastAsia="楷体"/>
        </w:rPr>
        <w:t/>
      </w:r>
      <w:r>
        <w:rPr>
          <w:rFonts w:hint="eastAsia" w:ascii="仿宋" w:hAnsi="仿宋" w:eastAsia="仿宋" w:cs="仿宋"/>
          <w:b w:val="0"/>
          <w:bCs w:val="0"/>
          <w:lang w:val="en-US"/>
        </w:rPr>
        <w:t/>
      </w:r>
      <w:r>
        <w:rPr>
          <w:rFonts w:ascii="仿宋" w:hAnsi="仿宋" w:cs="仿宋" w:eastAsia="仿宋"/>
        </w:rPr>
        <w:t/>
      </w:r>
      <w:r>
        <w:rPr>
          <w:rFonts w:hint="eastAsia" w:ascii="楷体" w:hAnsi="楷体" w:eastAsia="楷体" w:cs="楷体"/>
          <w:b w:val="0"/>
          <w:bCs w:val="0"/>
          <w:lang w:val="en-US"/>
        </w:rPr>
        <w:t/>
      </w:r>
      <w:r>
        <w:rPr>
          <w:rFonts w:ascii="楷体" w:hAnsi="楷体" w:cs="楷体" w:eastAsia="楷体"/>
        </w:rPr>
        <w:t/>
      </w:r>
      <w:r>
        <w:rPr>
          <w:rFonts w:hint="eastAsia" w:ascii="仿宋" w:hAnsi="仿宋" w:eastAsia="仿宋" w:cs="仿宋"/>
          <w:b w:val="0"/>
          <w:bCs w:val="0"/>
          <w:lang w:val="en-US"/>
        </w:rPr>
        <w:t/>
      </w:r>
      <w:r>
        <w:rPr>
          <w:rFonts w:ascii="仿宋" w:hAnsi="仿宋" w:cs="仿宋" w:eastAsia="仿宋"/>
        </w:rPr>
        <w:t>主要包括：办公费、水费、电费、邮电费、差旅费、其他商品和服务支出。</w:t>
      </w:r>
      <w:r>
        <w:rPr>
          <w:rFonts w:ascii="仿宋" w:hAnsi="仿宋" w:cs="仿宋" w:eastAsia="仿宋"/>
        </w:rPr>
        <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b w:val="true"/>
        </w:rPr>
        <w:t>七、一般公共预算支出决算情况说明</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2021年度一般公共预算财政拨款支出决算1,872.28万元。与上年相比，减少12.9万元，减少0.68%，变动原因：本年度社会保障和就业支出比去年减少88.37万元，科学技术支出比去年增加25万元，住房保障支出比去年增加50.47万元。</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b w:val="true"/>
        </w:rPr>
        <w:t>八、一般公共预算基本支出决算情况说明</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2021年度一般公共预算财政拨款基本支出决算947.28万元，其中：</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hint="eastAsia" w:ascii="楷体" w:hAnsi="楷体" w:eastAsia="楷体" w:cs="楷体"/>
          <w:b w:val="0"/>
          <w:bCs w:val="0"/>
          <w:lang w:val="en-US"/>
        </w:rPr>
        <w:t/>
      </w:r>
      <w:r>
        <w:rPr>
          <w:rFonts w:ascii="楷体" w:hAnsi="楷体" w:cs="楷体" w:eastAsia="楷体"/>
        </w:rPr>
        <w:t>（一）人员经费802.3万元。</w:t>
      </w:r>
      <w:r>
        <w:rPr>
          <w:rFonts w:ascii="楷体" w:hAnsi="楷体" w:cs="楷体" w:eastAsia="楷体"/>
        </w:rPr>
        <w:t/>
      </w:r>
      <w:r>
        <w:rPr>
          <w:rFonts w:hint="eastAsia" w:ascii="仿宋" w:hAnsi="仿宋" w:eastAsia="仿宋" w:cs="仿宋"/>
          <w:b w:val="0"/>
          <w:bCs w:val="0"/>
          <w:lang w:val="en-US"/>
        </w:rPr>
        <w:t/>
      </w:r>
      <w:r>
        <w:rPr>
          <w:rFonts w:ascii="仿宋" w:hAnsi="仿宋" w:cs="仿宋" w:eastAsia="仿宋"/>
        </w:rPr>
        <w:t/>
      </w:r>
      <w:r>
        <w:rPr>
          <w:rFonts w:hint="eastAsia" w:ascii="楷体" w:hAnsi="楷体" w:eastAsia="楷体" w:cs="楷体"/>
          <w:b w:val="0"/>
          <w:bCs w:val="0"/>
          <w:lang w:val="en-US"/>
        </w:rPr>
        <w:t/>
      </w:r>
      <w:r>
        <w:rPr>
          <w:rFonts w:ascii="楷体" w:hAnsi="楷体" w:cs="楷体" w:eastAsia="楷体"/>
        </w:rPr>
        <w:t/>
      </w:r>
      <w:r>
        <w:rPr>
          <w:rFonts w:hint="eastAsia" w:ascii="仿宋" w:hAnsi="仿宋" w:eastAsia="仿宋" w:cs="仿宋"/>
          <w:b w:val="0"/>
          <w:bCs w:val="0"/>
          <w:lang w:val="en-US"/>
        </w:rPr>
        <w:t/>
      </w:r>
      <w:r>
        <w:rPr>
          <w:rFonts w:ascii="仿宋" w:hAnsi="仿宋" w:cs="仿宋" w:eastAsia="仿宋"/>
        </w:rPr>
        <w:t>主要包括：基本工资、津贴补贴、绩效工资、机关事业单位基本养老保险缴费、职业年金缴费、职工基本医疗保险缴费、退休费、奖励金。</w:t>
      </w:r>
      <w:r>
        <w:rPr>
          <w:rFonts w:ascii="仿宋" w:hAnsi="仿宋" w:cs="仿宋" w:eastAsia="仿宋"/>
        </w:rPr>
        <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hint="eastAsia" w:ascii="楷体" w:hAnsi="楷体" w:eastAsia="楷体" w:cs="楷体"/>
          <w:b w:val="0"/>
          <w:bCs w:val="0"/>
          <w:lang w:val="en-US"/>
        </w:rPr>
        <w:t/>
      </w:r>
      <w:r>
        <w:rPr>
          <w:rFonts w:ascii="楷体" w:hAnsi="楷体" w:cs="楷体" w:eastAsia="楷体"/>
        </w:rPr>
        <w:t>（二）公用经费144.98万元。</w:t>
      </w:r>
      <w:r>
        <w:rPr>
          <w:rFonts w:ascii="楷体" w:hAnsi="楷体" w:cs="楷体" w:eastAsia="楷体"/>
        </w:rPr>
        <w:t/>
      </w:r>
      <w:r>
        <w:rPr>
          <w:rFonts w:hint="eastAsia" w:ascii="仿宋" w:hAnsi="仿宋" w:eastAsia="仿宋" w:cs="仿宋"/>
          <w:b w:val="0"/>
          <w:bCs w:val="0"/>
          <w:lang w:val="en-US"/>
        </w:rPr>
        <w:t/>
      </w:r>
      <w:r>
        <w:rPr>
          <w:rFonts w:ascii="仿宋" w:hAnsi="仿宋" w:cs="仿宋" w:eastAsia="仿宋"/>
        </w:rPr>
        <w:t/>
      </w:r>
      <w:r>
        <w:rPr>
          <w:rFonts w:hint="eastAsia" w:ascii="楷体" w:hAnsi="楷体" w:eastAsia="楷体" w:cs="楷体"/>
          <w:b w:val="0"/>
          <w:bCs w:val="0"/>
          <w:lang w:val="en-US"/>
        </w:rPr>
        <w:t/>
      </w:r>
      <w:r>
        <w:rPr>
          <w:rFonts w:ascii="楷体" w:hAnsi="楷体" w:cs="楷体" w:eastAsia="楷体"/>
        </w:rPr>
        <w:t/>
      </w:r>
      <w:r>
        <w:rPr>
          <w:rFonts w:hint="eastAsia" w:ascii="仿宋" w:hAnsi="仿宋" w:eastAsia="仿宋" w:cs="仿宋"/>
          <w:b w:val="0"/>
          <w:bCs w:val="0"/>
          <w:lang w:val="en-US"/>
        </w:rPr>
        <w:t/>
      </w:r>
      <w:r>
        <w:rPr>
          <w:rFonts w:ascii="仿宋" w:hAnsi="仿宋" w:cs="仿宋" w:eastAsia="仿宋"/>
        </w:rPr>
        <w:t>主要包括：办公费、水费、电费、邮电费、差旅费、其他商品和服务支出。</w:t>
      </w:r>
      <w:r>
        <w:rPr>
          <w:rFonts w:ascii="仿宋" w:hAnsi="仿宋" w:cs="仿宋" w:eastAsia="仿宋"/>
        </w:rPr>
        <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b w:val="true"/>
        </w:rPr>
        <w:t>九、一般公共预算“三公”经费、会议费、培训费支出情况说明</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b w:val="true"/>
        </w:rPr>
        <w:t>（一）一般公共预算“三公”经费支出总体情况说明。</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2021年度一般公共预算“三公”经费支出决算0万元。与上年决算数相同。</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b w:val="true"/>
        </w:rPr>
        <w:t>（二）一般公共预算“三公”经费支出具体情况说明。</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1．因公出国（境）费支出预算0万元，支出决算0万元，完成预算的100%，决算数与预算数相同。全年使用一般公共预算财政拨款涉及的出国（境）团组0个，累计0人次。</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2．公务用车购置及运行维护费支出预算0万元，支出决算0万元，完成预算的100%，决算数与预算数相同。其中：</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（1）公务用车购置支出决算0万元。本年度使用一般公共预算财政拨款购置公务用车0辆。</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2）公务用车运行维护费支出决算0万元。公务用车运行维护费主要用于按规定保留的公务用车的燃料费、维修费、过桥过路费、保险费、安全奖励费用等支出。截至2021年12月31日，使用一般公共预算财政拨款开支的公务用车保有量为0辆。</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3．公务接待费支出预算0万元，支出决算0万元，完成预算的100%，决算数与预算数相同。其中：国内公务接待支出0万元，接待0批次，0人次；国（境）外公务接待支出0万元，接待0批次0人次。</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b w:val="true"/>
        </w:rPr>
        <w:t>（三）一般公共预算会议费支出决算情况说明。</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2021年度一般公共预算财政拨款会议费支出预算0万元，支出决算0万元，完成预算的100%，决算数与预算数相同。2021年度全年召开会议0个，参加会议0人次。</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b w:val="true"/>
        </w:rPr>
        <w:t>（四）一般公共预算培训费支出决算情况说明。</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2021年度一般公共预算财政拨款培训费支出预算0万元，支出决算0万元，完成预算的100%，决算数与预算数相同。2021年度全年组织培训0个，组织培训0人次。</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b w:val="true"/>
        </w:rPr>
        <w:t>十、政府性基金预算财政拨款支出决算情况说明</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2021年度政府性基金预算财政拨款支出决算25万元。与上年相比，减少1,587.1万元，减少98.45%，变动原因：本年度政府性基金预算财政拨款项目支出比去年减少1587.10万元。</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b w:val="true"/>
        </w:rPr>
        <w:t>十一、国有资本经营预算财政拨款支出决算情况说明</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2021年度国有资本经营预算财政拨款支出决算0万元。与上年决算数相同。</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b w:val="true"/>
        </w:rPr>
        <w:t>十二、一般公共预算机关运行经费支出决算情况说明</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2021年度机关运行经费支出决算0万元。与上年决算数相同。</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b w:val="true"/>
        </w:rPr>
        <w:t>十三、政府采购支出决算情况说明</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2021年度政府采购支出总额112.8万元，其中：政府采购货物支出112.8万元、政府采购工程支出0万元、政府采购服务支出0万元。政府采购授予中小企业合同金额112.8万元，占政府采购支出总额的100%，其中：授予小微企业合同金额21.6万元，占政府采购支出总额的19.15%。</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b w:val="true"/>
        </w:rPr>
        <w:t>十四、国有资产占用情况说明</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截至2021年12月31日，本单位共有车辆8辆，其中：副部(省)级及以上领导用车0辆、主要领导干部用车0辆、机要通信用车0辆、应急保障用车0辆、执法执勤用车0辆、特种专业技术用车0辆、离退休干部用车0辆、其他用车8辆；单价50万元（含）以上的通用设备5台（套），单价100万元（含）以上的专用设备4台（套）。</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b w:val="true"/>
        </w:rPr>
        <w:t>十五、预算绩效评价工作开展情况</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2021年度，本单位共0个项目开展了财政重点绩效评价，涉及财政性资金合计0万元；本单位未开展单位整体支出财政重点绩效评价，涉及财政性资金0万元。</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本单位共对上年度已实施完成的4个项目开展了绩效自评价，涉及财政性资金合计925万元；本单位共开展1项单位整体支出绩效自评价，涉及财政性资金合计1,897.28万元。</w:t>
      </w:r>
      <w:r>
        <w:rPr>
          <w:rFonts w:ascii="仿宋" w:hAnsi="仿宋" w:cs="仿宋" w:eastAsia="仿宋"/>
        </w:rPr>
        <w:t/>
      </w:r>
    </w:p>
    <w:p>
      <w:pPr>
        <w:pStyle w:val="5"/>
        <w:tabs>
          <w:tab w:val="left" w:pos="3077"/>
        </w:tabs>
        <w:spacing w:line="616" w:lineRule="exact"/>
        <w:jc w:val="center"/>
        <w:outlineLvl w:val="0"/>
        <w:rPr>
          <w:rFonts w:hint="eastAsia" w:ascii="宋体" w:hAnsi="宋体" w:eastAsia="宋体" w:cs="宋体"/>
          <w:b/>
          <w:bCs/>
          <w:sz w:val="36"/>
          <w:szCs w:val="36"/>
        </w:rPr>
      </w:pPr>
      <w:r>
        <w:rPr>
          <w:rFonts w:hint="eastAsia" w:ascii="宋体" w:hAnsi="宋体" w:eastAsia="宋体" w:cs="宋体"/>
          <w:b/>
          <w:bCs/>
          <w:sz w:val="36"/>
          <w:szCs w:val="36"/>
        </w:rPr>
        <w:t>第四部分 名词</w:t>
      </w:r>
      <w:r>
        <w:rPr>
          <w:rFonts w:hint="eastAsia" w:ascii="宋体" w:hAnsi="宋体" w:eastAsia="宋体" w:cs="宋体"/>
          <w:b/>
          <w:bCs/>
          <w:color w:val="000000"/>
          <w:kern w:val="0"/>
          <w:sz w:val="36"/>
          <w:szCs w:val="36"/>
          <w:lang w:val="zh-CN" w:eastAsia="ar-SA" w:bidi="zh-CN"/>
        </w:rPr>
        <w:t>解释</w:t>
      </w:r>
    </w:p>
    <w:p>
      <w:pPr>
        <w:pStyle w:val="8"/>
        <w:tabs>
          <w:tab w:val="left" w:pos="3864"/>
          <w:tab w:val="left" w:pos="6248"/>
          <w:tab w:val="left" w:pos="7386"/>
        </w:tabs>
        <w:spacing w:before="0" w:after="0" w:line="240" w:lineRule="auto"/>
        <w:ind w:left="440" w:leftChars="200" w:right="0" w:firstLine="659" w:firstLineChars="206"/>
        <w:jc w:val="both"/>
        <w:rPr>
          <w:rFonts w:hint="eastAsia" w:ascii="仿宋" w:hAnsi="仿宋" w:eastAsia="仿宋" w:cs="仿宋"/>
        </w:rPr>
      </w:pP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一、财政拨款收入</w:t>
      </w:r>
      <w:r>
        <w:rPr>
          <w:rFonts w:ascii="仿宋" w:hAnsi="仿宋" w:cs="仿宋" w:eastAsia="仿宋"/>
          <w:b w:val="true"/>
        </w:rPr>
        <w:t>：</w:t>
      </w:r>
      <w:r>
        <w:rPr>
          <w:rFonts w:hint="eastAsia" w:ascii="仿宋" w:hAnsi="仿宋" w:eastAsia="仿宋" w:cs="仿宋"/>
        </w:rPr>
        <w:t>指单位从同级财政部门取得的各类财政拨款，包括一般公共预算财政拨款、政府性基金预算财政拨款、国有资本经营预算财政拨款。</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二、上级补助收入</w:t>
      </w:r>
      <w:r>
        <w:rPr>
          <w:rFonts w:ascii="仿宋" w:hAnsi="仿宋" w:cs="仿宋" w:eastAsia="仿宋"/>
          <w:b w:val="true"/>
        </w:rPr>
        <w:t>：</w:t>
      </w:r>
      <w:r>
        <w:rPr>
          <w:rFonts w:hint="eastAsia" w:ascii="仿宋" w:hAnsi="仿宋" w:eastAsia="仿宋" w:cs="仿宋"/>
        </w:rPr>
        <w:t>指事业单位从主管部门和上级单位取得的非财政补助收入。</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三、财政专户管理教育收费</w:t>
      </w:r>
      <w:r>
        <w:rPr>
          <w:rFonts w:ascii="仿宋" w:hAnsi="仿宋" w:cs="仿宋" w:eastAsia="仿宋"/>
          <w:b w:val="true"/>
        </w:rPr>
        <w:t>：</w:t>
      </w:r>
      <w:r>
        <w:rPr>
          <w:rFonts w:hint="eastAsia" w:ascii="仿宋" w:hAnsi="仿宋" w:eastAsia="仿宋" w:cs="仿宋"/>
        </w:rPr>
        <w:t>指缴入财政专户、实行专项管理的高中以上学费、住宿费、高校委托培养费、函大、电大、夜大及短训班培训费等教育收费。</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四、事业收入</w:t>
      </w:r>
      <w:r>
        <w:rPr>
          <w:rFonts w:ascii="仿宋" w:hAnsi="仿宋" w:cs="仿宋" w:eastAsia="仿宋"/>
          <w:b w:val="true"/>
        </w:rPr>
        <w:t>：</w:t>
      </w:r>
      <w:r>
        <w:rPr>
          <w:rFonts w:hint="eastAsia" w:ascii="仿宋" w:hAnsi="仿宋" w:eastAsia="仿宋" w:cs="仿宋"/>
        </w:rPr>
        <w:t>指事业单位开展专业业务活动及其辅助活动取得的收入。</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五、经营收入</w:t>
      </w:r>
      <w:r>
        <w:rPr>
          <w:rFonts w:ascii="仿宋" w:hAnsi="仿宋" w:cs="仿宋" w:eastAsia="仿宋"/>
          <w:b w:val="true"/>
        </w:rPr>
        <w:t>：</w:t>
      </w:r>
      <w:r>
        <w:rPr>
          <w:rFonts w:hint="eastAsia" w:ascii="仿宋" w:hAnsi="仿宋" w:eastAsia="仿宋" w:cs="仿宋"/>
        </w:rPr>
        <w:t>指事业单位在专业业务活动及其辅助活动之外开展非独立核算经营活动取得的收入。</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六、附属单位上缴收入</w:t>
      </w:r>
      <w:r>
        <w:rPr>
          <w:rFonts w:ascii="仿宋" w:hAnsi="仿宋" w:cs="仿宋" w:eastAsia="仿宋"/>
          <w:b w:val="true"/>
        </w:rPr>
        <w:t>：</w:t>
      </w:r>
      <w:r>
        <w:rPr>
          <w:rFonts w:hint="eastAsia" w:ascii="仿宋" w:hAnsi="仿宋" w:eastAsia="仿宋" w:cs="仿宋"/>
        </w:rPr>
        <w:t>指事业单位附属独立核算单位按照有关规定上缴的收入。</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七、其他收入</w:t>
      </w:r>
      <w:r>
        <w:rPr>
          <w:rFonts w:ascii="仿宋" w:hAnsi="仿宋" w:cs="仿宋" w:eastAsia="仿宋"/>
          <w:b w:val="true"/>
        </w:rPr>
        <w:t>：</w:t>
      </w:r>
      <w:r>
        <w:rPr>
          <w:rFonts w:hint="eastAsia" w:ascii="仿宋" w:hAnsi="仿宋" w:eastAsia="仿宋" w:cs="仿宋"/>
        </w:rPr>
        <w:t>指单位取得的除上述“财政拨款收入”、 “上级补助收入”、“事业收入”、“经营收入”、“附属单位上缴收入”等以外的各项收入。</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八、使用非财政拨款结余</w:t>
      </w:r>
      <w:r>
        <w:rPr>
          <w:rFonts w:ascii="仿宋" w:hAnsi="仿宋" w:cs="仿宋" w:eastAsia="仿宋"/>
          <w:b w:val="true"/>
        </w:rPr>
        <w:t>：</w:t>
      </w:r>
      <w:r>
        <w:rPr>
          <w:rFonts w:hint="eastAsia" w:ascii="仿宋" w:hAnsi="仿宋" w:eastAsia="仿宋" w:cs="仿宋"/>
        </w:rPr>
        <w:t>指事业单位按照预算管理要求使用非财政拨款结余（原事业基金）弥补当年收支差额的数额。</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九、年初结转和结余</w:t>
      </w:r>
      <w:r>
        <w:rPr>
          <w:rFonts w:ascii="仿宋" w:hAnsi="仿宋" w:cs="仿宋" w:eastAsia="仿宋"/>
          <w:b w:val="true"/>
        </w:rPr>
        <w:t>：</w:t>
      </w:r>
      <w:r>
        <w:rPr>
          <w:rFonts w:hint="eastAsia" w:ascii="仿宋" w:hAnsi="仿宋" w:eastAsia="仿宋" w:cs="仿宋"/>
        </w:rPr>
        <w:t>指单位上年结转本年使用的基本支出结转、项目支出结转和结余、经营结余。</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十、结余分配</w:t>
      </w:r>
      <w:r>
        <w:rPr>
          <w:rFonts w:ascii="仿宋" w:hAnsi="仿宋" w:cs="仿宋" w:eastAsia="仿宋"/>
          <w:b w:val="true"/>
        </w:rPr>
        <w:t>：</w:t>
      </w:r>
      <w:r>
        <w:rPr>
          <w:rFonts w:hint="eastAsia" w:ascii="仿宋" w:hAnsi="仿宋" w:eastAsia="仿宋" w:cs="仿宋"/>
        </w:rPr>
        <w:t>指事业单位按规定缴纳的所得税以及从非财政拨款结余中提取各类结余的情况。</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十一、年末结转和结余资金</w:t>
      </w:r>
      <w:r>
        <w:rPr>
          <w:rFonts w:ascii="仿宋" w:hAnsi="仿宋" w:cs="仿宋" w:eastAsia="仿宋"/>
          <w:b w:val="true"/>
        </w:rPr>
        <w:t>：</w:t>
      </w:r>
      <w:r>
        <w:rPr>
          <w:rFonts w:hint="eastAsia" w:ascii="仿宋" w:hAnsi="仿宋" w:eastAsia="仿宋" w:cs="仿宋"/>
        </w:rPr>
        <w:t>指单位结转下年的基本支出结转、项目支出结转和结余、经营结余。</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十二、基本支出</w:t>
      </w:r>
      <w:r>
        <w:rPr>
          <w:rFonts w:ascii="仿宋" w:hAnsi="仿宋" w:cs="仿宋" w:eastAsia="仿宋"/>
          <w:b w:val="true"/>
        </w:rPr>
        <w:t>：</w:t>
      </w:r>
      <w:r>
        <w:rPr>
          <w:rFonts w:hint="eastAsia" w:ascii="仿宋" w:hAnsi="仿宋" w:eastAsia="仿宋" w:cs="仿宋"/>
        </w:rPr>
        <w:t>指为保障机构正常运转、完成日常工作任务所发生的支出，包括人员经费和公用经费。</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十三、项目支出</w:t>
      </w:r>
      <w:r>
        <w:rPr>
          <w:rFonts w:ascii="仿宋" w:hAnsi="仿宋" w:cs="仿宋" w:eastAsia="仿宋"/>
          <w:b w:val="true"/>
        </w:rPr>
        <w:t>：</w:t>
      </w:r>
      <w:r>
        <w:rPr>
          <w:rFonts w:hint="eastAsia" w:ascii="仿宋" w:hAnsi="仿宋" w:eastAsia="仿宋" w:cs="仿宋"/>
        </w:rPr>
        <w:t>指在为完成特定的工作任务和事业发展目标所发生的支出。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十四、上缴上级支出</w:t>
      </w:r>
      <w:r>
        <w:rPr>
          <w:rFonts w:ascii="仿宋" w:hAnsi="仿宋" w:cs="仿宋" w:eastAsia="仿宋"/>
          <w:b w:val="true"/>
        </w:rPr>
        <w:t>：</w:t>
      </w:r>
      <w:r>
        <w:rPr>
          <w:rFonts w:hint="eastAsia" w:ascii="仿宋" w:hAnsi="仿宋" w:eastAsia="仿宋" w:cs="仿宋"/>
        </w:rPr>
        <w:t>指事业单位按照财政部门和主管部门的规定上缴上级单位的支出。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十五、经营支出</w:t>
      </w:r>
      <w:r>
        <w:rPr>
          <w:rFonts w:ascii="仿宋" w:hAnsi="仿宋" w:cs="仿宋" w:eastAsia="仿宋"/>
          <w:b w:val="true"/>
        </w:rPr>
        <w:t>：</w:t>
      </w:r>
      <w:r>
        <w:rPr>
          <w:rFonts w:hint="eastAsia" w:ascii="仿宋" w:hAnsi="仿宋" w:eastAsia="仿宋" w:cs="仿宋"/>
        </w:rPr>
        <w:t>指事业单位在专业业务活动及其辅助活动之外开展非独立核算经营活动发生的支出。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十六、对附属单位补助支出</w:t>
      </w:r>
      <w:r>
        <w:rPr>
          <w:rFonts w:ascii="仿宋" w:hAnsi="仿宋" w:cs="仿宋" w:eastAsia="仿宋"/>
          <w:b w:val="true"/>
        </w:rPr>
        <w:t>：</w:t>
      </w:r>
      <w:r>
        <w:rPr>
          <w:rFonts w:hint="eastAsia" w:ascii="仿宋" w:hAnsi="仿宋" w:eastAsia="仿宋" w:cs="仿宋"/>
        </w:rPr>
        <w:t>指事业单位用财政拨款收入之外的收入对附属单位补助发生的支出。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十七、“三公”经费</w:t>
      </w:r>
      <w:r>
        <w:rPr>
          <w:rFonts w:ascii="仿宋" w:hAnsi="仿宋" w:cs="仿宋" w:eastAsia="仿宋"/>
          <w:b w:val="true"/>
        </w:rPr>
        <w:t>：</w:t>
      </w:r>
      <w:r>
        <w:rPr>
          <w:rFonts w:hint="eastAsia" w:ascii="仿宋" w:hAnsi="仿宋" w:eastAsia="仿宋" w:cs="仿宋"/>
        </w:rPr>
        <w:t>指部门用一般公共预算财政拨款安排的因公出国（境）费、公务用车购置及运行维护费和公务接待费。其中，因公出国（境）费反映单位公务出国（境）的国际旅费、国外城市间交通费、住宿费、伙食费、培训费、公杂费等支出；公务用车购置及运行维护费反映单位公务用车购置支出（含车辆购置税、牌照费）以及按规定保留的公务用车燃料费、维修费、过路过桥费、保险费、安全奖励费用等支出；公务接待费反映单位按规定开支的各类公务接待（含外宾接待）费用。</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十八、机关运行经费</w:t>
      </w:r>
      <w:r>
        <w:rPr>
          <w:rFonts w:ascii="仿宋" w:hAnsi="仿宋" w:cs="仿宋" w:eastAsia="仿宋"/>
          <w:b w:val="true"/>
        </w:rPr>
        <w:t>：</w:t>
      </w:r>
      <w:r>
        <w:rPr>
          <w:rFonts w:hint="eastAsia" w:ascii="仿宋" w:hAnsi="仿宋" w:eastAsia="仿宋" w:cs="仿宋"/>
        </w:rPr>
        <w:t>指行政单位（含参照公务员法管理的事业单位）使用一般公共预算安排的基本支出中的公用经费支出，包括办公及印刷费、邮电费、差旅费、会议费、福利费、日常维修费、专用材料及一般设备购置费、办公用房水电费、办公用房取暖费、办公用房物业管理费、公务用车运行维护费及其他费用。</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十九、科学技术支出(类)科技重大项目(款)重点研发计划(项)</w:t>
      </w:r>
      <w:r>
        <w:rPr>
          <w:rFonts w:ascii="仿宋" w:hAnsi="仿宋" w:cs="仿宋" w:eastAsia="仿宋"/>
          <w:b w:val="true"/>
        </w:rPr>
        <w:t>：</w:t>
      </w:r>
      <w:r>
        <w:rPr>
          <w:rFonts w:hint="eastAsia" w:ascii="仿宋" w:hAnsi="仿宋" w:eastAsia="仿宋" w:cs="仿宋"/>
        </w:rPr>
        <w:t>反映用于重点研发计划的有关经费支出。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二十、社会保障和就业支出(类)行政事业单位养老支出(款)机关事业单位基本养老保险缴费支出(项)</w:t>
      </w:r>
      <w:r>
        <w:rPr>
          <w:rFonts w:ascii="仿宋" w:hAnsi="仿宋" w:cs="仿宋" w:eastAsia="仿宋"/>
          <w:b w:val="true"/>
        </w:rPr>
        <w:t>：</w:t>
      </w:r>
      <w:r>
        <w:rPr>
          <w:rFonts w:hint="eastAsia" w:ascii="仿宋" w:hAnsi="仿宋" w:eastAsia="仿宋" w:cs="仿宋"/>
        </w:rPr>
        <w:t>反映机关事业单位实施养老保险制度由单位缴纳的基本养老保险费支出。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二十一、社会保障和就业支出(类)行政事业单位养老支出(款)机关事业单位职业年金缴费支出(项)</w:t>
      </w:r>
      <w:r>
        <w:rPr>
          <w:rFonts w:ascii="仿宋" w:hAnsi="仿宋" w:cs="仿宋" w:eastAsia="仿宋"/>
          <w:b w:val="true"/>
        </w:rPr>
        <w:t>：</w:t>
      </w:r>
      <w:r>
        <w:rPr>
          <w:rFonts w:hint="eastAsia" w:ascii="仿宋" w:hAnsi="仿宋" w:eastAsia="仿宋" w:cs="仿宋"/>
        </w:rPr>
        <w:t>反映机关事业单位实施养老保险制度由单位实际缴纳的职业年金支出。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二十二、社会保障和就业支出(类)抚恤(款)优抚事业单位支出(项)</w:t>
      </w:r>
      <w:r>
        <w:rPr>
          <w:rFonts w:ascii="仿宋" w:hAnsi="仿宋" w:cs="仿宋" w:eastAsia="仿宋"/>
          <w:b w:val="true"/>
        </w:rPr>
        <w:t>：</w:t>
      </w:r>
      <w:r>
        <w:rPr>
          <w:rFonts w:hint="eastAsia" w:ascii="仿宋" w:hAnsi="仿宋" w:eastAsia="仿宋" w:cs="仿宋"/>
        </w:rPr>
        <w:t>反映民政部门管理的优抚事业单位支出，对集体优抚事业单位的补助，对烈士纪念设施的维修改造和管理保护支出，以及全国重点军供站设施维修改造和设备更新支出。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二十三、住房保障支出(类)住房改革支出(款)住房公积金(项)</w:t>
      </w:r>
      <w:r>
        <w:rPr>
          <w:rFonts w:ascii="仿宋" w:hAnsi="仿宋" w:cs="仿宋" w:eastAsia="仿宋"/>
          <w:b w:val="true"/>
        </w:rPr>
        <w:t>：</w:t>
      </w:r>
      <w:r>
        <w:rPr>
          <w:rFonts w:hint="eastAsia" w:ascii="仿宋" w:hAnsi="仿宋" w:eastAsia="仿宋" w:cs="仿宋"/>
        </w:rPr>
        <w:t>反映行政事业单位按人力资源和社会保障部、财政部规定的基本工资和津贴补贴以及规定比例为职工缴纳的住房公积金。</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二十四、住房保障支出(类)住房改革支出(款)提租补贴(项)</w:t>
      </w:r>
      <w:r>
        <w:rPr>
          <w:rFonts w:ascii="仿宋" w:hAnsi="仿宋" w:cs="仿宋" w:eastAsia="仿宋"/>
          <w:b w:val="true"/>
        </w:rPr>
        <w:t>：</w:t>
      </w:r>
      <w:r>
        <w:rPr>
          <w:rFonts w:hint="eastAsia" w:ascii="仿宋" w:hAnsi="仿宋" w:eastAsia="仿宋" w:cs="仿宋"/>
        </w:rPr>
        <w:t>反映按房改政策规定的标准，行政事业单位向职工（含离退休人员）发放的租金补贴。</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二十五、其他支出(类)彩票公益金安排的支出(款)用于社会福利的彩票公益金支出(项)</w:t>
      </w:r>
      <w:r>
        <w:rPr>
          <w:rFonts w:ascii="仿宋" w:hAnsi="仿宋" w:cs="仿宋" w:eastAsia="仿宋"/>
          <w:b w:val="true"/>
        </w:rPr>
        <w:t>：</w:t>
      </w:r>
      <w:r>
        <w:rPr>
          <w:rFonts w:hint="eastAsia" w:ascii="仿宋" w:hAnsi="仿宋" w:eastAsia="仿宋" w:cs="仿宋"/>
        </w:rPr>
        <w:t>反映用于社会福利和社会救助的彩票公益金支出。</w:t>
      </w:r>
    </w:p>
    <w:sectPr>
      <w:pgSz w:w="11906" w:h="16838"/>
      <w:pgMar w:top="1440" w:right="1080" w:bottom="1440" w:left="1080" w:header="170" w:footer="280" w:gutter="0"/>
      <w:pgBorders>
        <w:top w:val="none" w:sz="0" w:space="0"/>
        <w:left w:val="none" w:sz="0" w:space="0"/>
        <w:bottom w:val="none" w:sz="0" w:space="0"/>
        <w:right w:val="none" w:sz="0" w:space="0"/>
      </w:pgBorders>
      <w:pgNumType w:fmt="numberInDash"/>
      <w:cols w:space="720" w:num="1"/>
      <w:formProt w:val="0"/>
      <w:docGrid w:linePitch="10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Unicode MS">
    <w:altName w:val="宋体"/>
    <w:panose1 w:val="020B0604020202020204"/>
    <w:charset w:val="86"/>
    <w:family w:val="roman"/>
    <w:pitch w:val="default"/>
    <w:sig w:usb0="00000000" w:usb1="00000000" w:usb2="0000003F" w:usb3="00000000" w:csb0="603F01FF" w:csb1="FFFF0000"/>
  </w:font>
  <w:font w:name="Liberation Sans">
    <w:panose1 w:val="020B0604020202020204"/>
    <w:charset w:val="86"/>
    <w:family w:val="roman"/>
    <w:pitch w:val="default"/>
    <w:sig w:usb0="E0000AFF" w:usb1="500078FF" w:usb2="00000021" w:usb3="00000000" w:csb0="600001BF" w:csb1="DFF70000"/>
  </w:font>
  <w:font w:name="Liberation Mono">
    <w:panose1 w:val="02070409020205020404"/>
    <w:charset w:val="86"/>
    <w:family w:val="roman"/>
    <w:pitch w:val="default"/>
    <w:sig w:usb0="E0000AFF" w:usb1="400078FF" w:usb2="00000001" w:usb3="00000000" w:csb0="600001BF" w:csb1="DFF70000"/>
  </w:font>
  <w:font w:name="新宋体">
    <w:panose1 w:val="02010609030101010101"/>
    <w:charset w:val="86"/>
    <w:family w:val="auto"/>
    <w:pitch w:val="default"/>
    <w:sig w:usb0="00000283" w:usb1="288F0000" w:usb2="00000006" w:usb3="00000000" w:csb0="00040001" w:csb1="00000000"/>
  </w:font>
  <w:font w:name="仿宋">
    <w:panose1 w:val="02010609060101010101"/>
    <w:charset w:val="86"/>
    <w:family w:val="auto"/>
    <w:pitch w:val="default"/>
    <w:sig w:usb0="800002BF" w:usb1="38CF7CFA" w:usb2="00000016" w:usb3="00000000" w:csb0="00040001" w:csb1="00000000"/>
  </w:font>
  <w:font w:name="华文仿宋">
    <w:panose1 w:val="02010600040101010101"/>
    <w:charset w:val="86"/>
    <w:family w:val="roman"/>
    <w:pitch w:val="default"/>
    <w:sig w:usb0="00000287" w:usb1="080F0000" w:usb2="00000000" w:usb3="00000000" w:csb0="0004009F" w:csb1="DFD7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rPr>
        <w:rFonts w:hint="eastAsia" w:ascii="黑体" w:hAnsi="黑体" w:eastAsia="黑体" w:cs="黑体"/>
      </w:rPr>
    </w:pPr>
    <w:r>
      <w:rPr>
        <w:rFonts w:hint="eastAsia" w:ascii="黑体" w:hAnsi="黑体" w:eastAsia="黑体" w:cs="黑体"/>
        <w:sz w:val="18"/>
      </w:rPr>
      <w:pict>
        <v:shape id="_x0000_s4097" o:spid="_x0000_s4097"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v:textbox>
        </v:shape>
      </w:pic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w:pict>
        <v:shape id="_x0000_s4104" o:spid="_x0000_s4104" o:spt="202" type="#_x0000_t202" style="position:absolute;left:0pt;margin-top:0pt;height:144pt;width:144pt;mso-position-horizontal:center;mso-position-horizontal-relative:margin;mso-wrap-style:none;z-index:251666432;mso-width-relative:page;mso-height-relative:page;" filled="f" stroked="f" coordsize="21600,21600">
          <v:path/>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11</w:t>
                </w:r>
                <w:r>
                  <w:rPr>
                    <w:rFonts w:hint="eastAsia"/>
                    <w:lang w:eastAsia="zh-CN"/>
                  </w:rPr>
                  <w:fldChar w:fldCharType="end"/>
                </w:r>
              </w:p>
            </w:txbxContent>
          </v:textbox>
        </v:shape>
      </w:pic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w:pict>
        <v:shape id="_x0000_s4105" o:spid="_x0000_s4105" o:spt="202" type="#_x0000_t202" style="position:absolute;left:0pt;margin-top:0pt;height:144pt;width:144pt;mso-position-horizontal:center;mso-position-horizontal-relative:margin;mso-wrap-style:none;z-index:251667456;mso-width-relative:page;mso-height-relative:page;" filled="f" stroked="f" coordsize="21600,21600">
          <v:path/>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12</w:t>
                </w:r>
                <w:r>
                  <w:rPr>
                    <w:rFonts w:hint="eastAsia"/>
                    <w:lang w:eastAsia="zh-CN"/>
                  </w:rPr>
                  <w:fldChar w:fldCharType="end"/>
                </w:r>
              </w:p>
            </w:txbxContent>
          </v:textbox>
        </v:shape>
      </w:pic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w:pict>
        <v:shape id="_x0000_s4106" o:spid="_x0000_s4106" o:spt="202" type="#_x0000_t202" style="position:absolute;left:0pt;margin-top:0pt;height:144pt;width:144pt;mso-position-horizontal:center;mso-position-horizontal-relative:margin;mso-wrap-style:none;z-index:251668480;mso-width-relative:page;mso-height-relative:page;" filled="f" stroked="f" coordsize="21600,21600">
          <v:path/>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13</w:t>
                </w:r>
                <w:r>
                  <w:rPr>
                    <w:rFonts w:hint="eastAsia"/>
                    <w:lang w:eastAsia="zh-CN"/>
                  </w:rPr>
                  <w:fldChar w:fldCharType="end"/>
                </w:r>
              </w:p>
            </w:txbxContent>
          </v:textbox>
        </v:shape>
      </w:pic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w:pict>
        <v:shape id="_x0000_s4110" o:spid="_x0000_s4110" o:spt="202" type="#_x0000_t202" style="position:absolute;left:0pt;margin-top:0pt;height:144pt;width:144pt;mso-position-horizontal:center;mso-position-horizontal-relative:margin;mso-wrap-style:none;z-index:251669504;mso-width-relative:page;mso-height-relative:page;" filled="f" stroked="f" coordsize="21600,21600">
          <v:path/>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16</w:t>
                </w:r>
                <w:r>
                  <w:rPr>
                    <w:rFonts w:hint="eastAsia"/>
                    <w:lang w:eastAsia="zh-CN"/>
                  </w:rP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rPr>
        <w:rFonts w:hint="eastAsia" w:ascii="黑体" w:hAnsi="黑体" w:eastAsia="黑体" w:cs="黑体"/>
      </w:rPr>
    </w:pPr>
    <w:r>
      <w:rPr>
        <w:rFonts w:hint="eastAsia" w:ascii="黑体" w:hAnsi="黑体" w:eastAsia="黑体" w:cs="黑体"/>
        <w:sz w:val="18"/>
      </w:rPr>
      <w:pict>
        <v:shape id="_x0000_s4113" o:spid="_x0000_s4113"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v:textbox>
        </v:shape>
      </w:pic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w:pict>
        <v:shape id="_x0000_s4111" o:spid="_x0000_s4111" o:spt="202" type="#_x0000_t202" style="position:absolute;left:0pt;margin-top:0pt;height:144pt;width:144pt;mso-position-horizontal:center;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2</w:t>
                </w:r>
                <w:r>
                  <w:rPr>
                    <w:rFonts w:hint="eastAsia"/>
                    <w:lang w:eastAsia="zh-CN"/>
                  </w:rPr>
                  <w:fldChar w:fldCharType="end"/>
                </w:r>
              </w:p>
            </w:txbxContent>
          </v:textbox>
        </v:shape>
      </w:pic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w:pict>
        <v:shape id="_x0000_s4112" o:spid="_x0000_s4112" o:spt="202" type="#_x0000_t202" style="position:absolute;left:0pt;margin-top:0pt;height:144pt;width:144pt;mso-position-horizontal:center;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5</w:t>
                </w:r>
                <w:r>
                  <w:rPr>
                    <w:rFonts w:hint="eastAsia"/>
                    <w:lang w:eastAsia="zh-CN"/>
                  </w:rPr>
                  <w:fldChar w:fldCharType="end"/>
                </w:r>
              </w:p>
            </w:txbxContent>
          </v:textbox>
        </v:shape>
      </w:pic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w:pict>
        <v:shape id="_x0000_s4099" o:spid="_x0000_s4099" o:spt="202" type="#_x0000_t202" style="position:absolute;left:0pt;margin-top:0pt;height:144pt;width:144pt;mso-position-horizontal:center;mso-position-horizontal-relative:margin;mso-wrap-style:none;z-index:251661312;mso-width-relative:page;mso-height-relative:page;" filled="f" stroked="f" coordsize="21600,21600">
          <v:path/>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6</w:t>
                </w:r>
                <w:r>
                  <w:rPr>
                    <w:rFonts w:hint="eastAsia"/>
                    <w:lang w:eastAsia="zh-CN"/>
                  </w:rPr>
                  <w:fldChar w:fldCharType="end"/>
                </w:r>
              </w:p>
            </w:txbxContent>
          </v:textbox>
        </v:shape>
      </w:pic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w:pict>
        <v:shape id="_x0000_s4100" o:spid="_x0000_s4100" o:spt="202" type="#_x0000_t202" style="position:absolute;left:0pt;margin-top:0pt;height:144pt;width:144pt;mso-position-horizontal:center;mso-position-horizontal-relative:margin;mso-wrap-style:none;z-index:251662336;mso-width-relative:page;mso-height-relative:page;" filled="f" stroked="f" coordsize="21600,21600">
          <v:path/>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7</w:t>
                </w:r>
                <w:r>
                  <w:rPr>
                    <w:rFonts w:hint="eastAsia"/>
                    <w:lang w:eastAsia="zh-CN"/>
                  </w:rPr>
                  <w:fldChar w:fldCharType="end"/>
                </w:r>
              </w:p>
            </w:txbxContent>
          </v:textbox>
        </v:shape>
      </w:pic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w:pict>
        <v:shape id="_x0000_s4101" o:spid="_x0000_s4101" o:spt="202" type="#_x0000_t202" style="position:absolute;left:0pt;margin-top:0pt;height:144pt;width:144pt;mso-position-horizontal:center;mso-position-horizontal-relative:margin;mso-wrap-style:none;z-index:251663360;mso-width-relative:page;mso-height-relative:page;" filled="f" stroked="f" coordsize="21600,21600">
          <v:path/>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8</w:t>
                </w:r>
                <w:r>
                  <w:rPr>
                    <w:rFonts w:hint="eastAsia"/>
                    <w:lang w:eastAsia="zh-CN"/>
                  </w:rPr>
                  <w:fldChar w:fldCharType="end"/>
                </w:r>
              </w:p>
            </w:txbxContent>
          </v:textbox>
        </v:shape>
      </w:pic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w:pict>
        <v:shape id="_x0000_s4102" o:spid="_x0000_s4102" o:spt="202" type="#_x0000_t202" style="position:absolute;left:0pt;margin-top:0pt;height:144pt;width:144pt;mso-position-horizontal:center;mso-position-horizontal-relative:margin;mso-wrap-style:none;z-index:251664384;mso-width-relative:page;mso-height-relative:page;" filled="f" stroked="f" coordsize="21600,21600">
          <v:path/>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9</w:t>
                </w:r>
                <w:r>
                  <w:rPr>
                    <w:rFonts w:hint="eastAsia"/>
                    <w:lang w:eastAsia="zh-CN"/>
                  </w:rPr>
                  <w:fldChar w:fldCharType="end"/>
                </w:r>
              </w:p>
            </w:txbxContent>
          </v:textbox>
        </v:shape>
      </w:pic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w:pict>
        <v:shape id="_x0000_s4103" o:spid="_x0000_s4103" o:spt="202" type="#_x0000_t202" style="position:absolute;left:0pt;margin-top:0pt;height:144pt;width:144pt;mso-position-horizontal:center;mso-position-horizontal-relative:margin;mso-wrap-style:none;z-index:251665408;mso-width-relative:page;mso-height-relative:page;" filled="f" stroked="f" coordsize="21600,21600">
          <v:path/>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10</w:t>
                </w:r>
                <w:r>
                  <w:rPr>
                    <w:rFonts w:hint="eastAsia"/>
                    <w:lang w:eastAsia="zh-CN"/>
                  </w:rPr>
                  <w:fldChar w:fldCharType="end"/>
                </w:r>
              </w:p>
            </w:txbxContent>
          </v:textbox>
        </v:shape>
      </w:pic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pPr>
      <w:r>
        <w:separator/>
      </w:r>
    </w:p>
  </w:footnote>
  <w:footnote w:type="continuationSeparator" w:id="1">
    <w:p>
      <w:pPr>
        <w:spacing w:before="0"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bottom w:val="single" w:color="000000" w:sz="4" w:space="1"/>
      </w:pBdr>
      <w:jc w:val="both"/>
      <w:rPr>
        <w:rFonts w:hint="default" w:eastAsia="Arial Unicode MS"/>
        <w:lang w:val="en-US" w:eastAsia="zh-CN"/>
      </w:rPr>
    </w:pPr>
    <w:r>
      <w:rPr>
        <w:rFonts w:hint="eastAsia"/>
        <w:lang w:val="en-US" w:eastAsia="zh-CN"/>
      </w:rPr>
      <w:t>江苏省伤残人康复中心</w:t>
    </w:r>
    <w:r>
      <w:t>2021年度</w:t>
    </w:r>
    <w:r>
      <w:t>单位</w:t>
    </w:r>
    <w:r>
      <w:t>决算公开</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bottom w:val="none" w:color="auto" w:sz="0" w:space="1"/>
      </w:pBdr>
      <w:jc w:val="both"/>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5"/>
  <w:bordersDoNotSurroundHeader w:val="0"/>
  <w:bordersDoNotSurroundFooter w:val="0"/>
  <w:documentProtection w:enforcement="0"/>
  <w:defaultTabStop w:val="0"/>
  <w:autoHyphenation/>
  <w:displayHorizontalDrawingGridEvery w:val="1"/>
  <w:displayVerticalDrawingGridEvery w:val="1"/>
  <w:noPunctuationKerning w:val="1"/>
  <w:characterSpacingControl w:val="doNotCompress"/>
  <w:hdrShapeDefaults>
    <o:shapelayout v:ext="edit">
      <o:idmap v:ext="edit" data="3,4"/>
    </o:shapelayout>
  </w:hdrShapeDefaults>
  <w:footnotePr>
    <w:footnote w:id="0"/>
    <w:footnote w:id="1"/>
  </w:footnotePr>
  <w:compat>
    <w:doNotExpandShiftReturn/>
    <w:doNotWrapTextWithPunct/>
    <w:doNotUseEastAsianBreakRules/>
    <w:useFELayout/>
    <w:doNotUseIndentAsNumberingTabStop/>
    <w:useAltKinsokuLineBreakRules/>
    <w:compatSetting w:name="compatibilityMode" w:uri="http://schemas.microsoft.com/office/word" w:val="12"/>
  </w:compat>
  <w:docVars>
    <w:docVar w:name="commondata" w:val="eyJoZGlkIjoiMGUwNWYwNGFmYzNiMTMwMzI4MzFhMzI2ZWRjOTFjMmMifQ=="/>
  </w:docVars>
  <w:rsids>
    <w:rsidRoot w:val="00000000"/>
    <w:rsid w:val="00064984"/>
    <w:rsid w:val="00071789"/>
    <w:rsid w:val="000F12AB"/>
    <w:rsid w:val="001C31F9"/>
    <w:rsid w:val="002E63B1"/>
    <w:rsid w:val="00407CA7"/>
    <w:rsid w:val="00413AD8"/>
    <w:rsid w:val="004C0647"/>
    <w:rsid w:val="00671ED7"/>
    <w:rsid w:val="00672164"/>
    <w:rsid w:val="006732F1"/>
    <w:rsid w:val="008322BB"/>
    <w:rsid w:val="00867423"/>
    <w:rsid w:val="008B5B05"/>
    <w:rsid w:val="009965EA"/>
    <w:rsid w:val="00A6752E"/>
    <w:rsid w:val="00B92181"/>
    <w:rsid w:val="00BD7F33"/>
    <w:rsid w:val="00C15920"/>
    <w:rsid w:val="00C82582"/>
    <w:rsid w:val="00FA3233"/>
    <w:rsid w:val="010F1E77"/>
    <w:rsid w:val="01536131"/>
    <w:rsid w:val="01657C13"/>
    <w:rsid w:val="017240DE"/>
    <w:rsid w:val="01875334"/>
    <w:rsid w:val="018E7014"/>
    <w:rsid w:val="019803DB"/>
    <w:rsid w:val="01C22655"/>
    <w:rsid w:val="01C61170"/>
    <w:rsid w:val="01D4677F"/>
    <w:rsid w:val="01F17DF5"/>
    <w:rsid w:val="01FA65AD"/>
    <w:rsid w:val="01FF1E15"/>
    <w:rsid w:val="02005B8D"/>
    <w:rsid w:val="021F4E94"/>
    <w:rsid w:val="023277C7"/>
    <w:rsid w:val="02377801"/>
    <w:rsid w:val="02420B21"/>
    <w:rsid w:val="02443CCC"/>
    <w:rsid w:val="0247556A"/>
    <w:rsid w:val="02624152"/>
    <w:rsid w:val="026604FF"/>
    <w:rsid w:val="027F398B"/>
    <w:rsid w:val="0284231A"/>
    <w:rsid w:val="02987B74"/>
    <w:rsid w:val="02A822D0"/>
    <w:rsid w:val="02AF69EA"/>
    <w:rsid w:val="02B14230"/>
    <w:rsid w:val="02C378BB"/>
    <w:rsid w:val="02D43672"/>
    <w:rsid w:val="02DD471D"/>
    <w:rsid w:val="02E5431C"/>
    <w:rsid w:val="02E8449D"/>
    <w:rsid w:val="02F0175E"/>
    <w:rsid w:val="02F513AC"/>
    <w:rsid w:val="02FE6DAE"/>
    <w:rsid w:val="03005360"/>
    <w:rsid w:val="03060F81"/>
    <w:rsid w:val="03121471"/>
    <w:rsid w:val="033F3F8A"/>
    <w:rsid w:val="034C108A"/>
    <w:rsid w:val="03673847"/>
    <w:rsid w:val="03690F36"/>
    <w:rsid w:val="03793778"/>
    <w:rsid w:val="037E4FBC"/>
    <w:rsid w:val="03802AE2"/>
    <w:rsid w:val="039F7320"/>
    <w:rsid w:val="03F86EFB"/>
    <w:rsid w:val="04137DFA"/>
    <w:rsid w:val="04156348"/>
    <w:rsid w:val="04461F7D"/>
    <w:rsid w:val="044E689B"/>
    <w:rsid w:val="0458580D"/>
    <w:rsid w:val="045E5FB7"/>
    <w:rsid w:val="049256F0"/>
    <w:rsid w:val="0495610D"/>
    <w:rsid w:val="04C730A4"/>
    <w:rsid w:val="04DA4474"/>
    <w:rsid w:val="04DF580C"/>
    <w:rsid w:val="04E946A2"/>
    <w:rsid w:val="04EA46EB"/>
    <w:rsid w:val="05185546"/>
    <w:rsid w:val="052126A9"/>
    <w:rsid w:val="05247FC3"/>
    <w:rsid w:val="05346113"/>
    <w:rsid w:val="05423E9C"/>
    <w:rsid w:val="05600A24"/>
    <w:rsid w:val="056A1C9B"/>
    <w:rsid w:val="057525F6"/>
    <w:rsid w:val="05843580"/>
    <w:rsid w:val="05856AD5"/>
    <w:rsid w:val="058C526F"/>
    <w:rsid w:val="05AB4AE4"/>
    <w:rsid w:val="05AB7BBE"/>
    <w:rsid w:val="05BD2716"/>
    <w:rsid w:val="05BE6B06"/>
    <w:rsid w:val="05C432C0"/>
    <w:rsid w:val="05C73A91"/>
    <w:rsid w:val="05DB04A3"/>
    <w:rsid w:val="05DB339C"/>
    <w:rsid w:val="05E80F9E"/>
    <w:rsid w:val="05F04613"/>
    <w:rsid w:val="05FE3016"/>
    <w:rsid w:val="06006806"/>
    <w:rsid w:val="060D1C4C"/>
    <w:rsid w:val="061C50DF"/>
    <w:rsid w:val="062B491C"/>
    <w:rsid w:val="06417385"/>
    <w:rsid w:val="064A6451"/>
    <w:rsid w:val="064C13A1"/>
    <w:rsid w:val="06542957"/>
    <w:rsid w:val="0681129C"/>
    <w:rsid w:val="06824DC3"/>
    <w:rsid w:val="0695552F"/>
    <w:rsid w:val="069B5E85"/>
    <w:rsid w:val="06C87B62"/>
    <w:rsid w:val="06EB2968"/>
    <w:rsid w:val="06F23CF7"/>
    <w:rsid w:val="07293490"/>
    <w:rsid w:val="072A453E"/>
    <w:rsid w:val="073A470E"/>
    <w:rsid w:val="07520D7A"/>
    <w:rsid w:val="075575FE"/>
    <w:rsid w:val="07580A5A"/>
    <w:rsid w:val="07656047"/>
    <w:rsid w:val="077C711D"/>
    <w:rsid w:val="078F7797"/>
    <w:rsid w:val="079361A1"/>
    <w:rsid w:val="07AE39F0"/>
    <w:rsid w:val="07BE007D"/>
    <w:rsid w:val="07C509DD"/>
    <w:rsid w:val="080041F1"/>
    <w:rsid w:val="08031AA7"/>
    <w:rsid w:val="0806186F"/>
    <w:rsid w:val="080C528C"/>
    <w:rsid w:val="080F6B2A"/>
    <w:rsid w:val="08214CF0"/>
    <w:rsid w:val="083B723A"/>
    <w:rsid w:val="084A5DB4"/>
    <w:rsid w:val="08582C83"/>
    <w:rsid w:val="085D1644"/>
    <w:rsid w:val="0860441B"/>
    <w:rsid w:val="08694955"/>
    <w:rsid w:val="08913758"/>
    <w:rsid w:val="08A333FC"/>
    <w:rsid w:val="08D342E7"/>
    <w:rsid w:val="08E003AE"/>
    <w:rsid w:val="08E93645"/>
    <w:rsid w:val="08FC0605"/>
    <w:rsid w:val="09165D85"/>
    <w:rsid w:val="091D32CD"/>
    <w:rsid w:val="0947142F"/>
    <w:rsid w:val="095F763D"/>
    <w:rsid w:val="096204B4"/>
    <w:rsid w:val="096B0C35"/>
    <w:rsid w:val="09891979"/>
    <w:rsid w:val="098926B4"/>
    <w:rsid w:val="09896468"/>
    <w:rsid w:val="09931095"/>
    <w:rsid w:val="09984875"/>
    <w:rsid w:val="09B3067A"/>
    <w:rsid w:val="09E82283"/>
    <w:rsid w:val="09EB3C7D"/>
    <w:rsid w:val="09F00295"/>
    <w:rsid w:val="09F032D5"/>
    <w:rsid w:val="09F45579"/>
    <w:rsid w:val="09F6640F"/>
    <w:rsid w:val="09FE0C6E"/>
    <w:rsid w:val="0A112BB9"/>
    <w:rsid w:val="0A1D215F"/>
    <w:rsid w:val="0A2639C8"/>
    <w:rsid w:val="0A2D2344"/>
    <w:rsid w:val="0A3F45FE"/>
    <w:rsid w:val="0A434869"/>
    <w:rsid w:val="0A516F86"/>
    <w:rsid w:val="0A6273E5"/>
    <w:rsid w:val="0A636CB9"/>
    <w:rsid w:val="0A7F08D2"/>
    <w:rsid w:val="0A964BFD"/>
    <w:rsid w:val="0A9D666F"/>
    <w:rsid w:val="0ADA70C2"/>
    <w:rsid w:val="0AFD463B"/>
    <w:rsid w:val="0B05614C"/>
    <w:rsid w:val="0B134992"/>
    <w:rsid w:val="0B160131"/>
    <w:rsid w:val="0B2B4189"/>
    <w:rsid w:val="0B392278"/>
    <w:rsid w:val="0B675A67"/>
    <w:rsid w:val="0B752A0F"/>
    <w:rsid w:val="0B813D25"/>
    <w:rsid w:val="0B89728A"/>
    <w:rsid w:val="0B9E71AD"/>
    <w:rsid w:val="0BAC43D1"/>
    <w:rsid w:val="0BB91287"/>
    <w:rsid w:val="0BBA4FFF"/>
    <w:rsid w:val="0BCD6A8D"/>
    <w:rsid w:val="0BCF6DAD"/>
    <w:rsid w:val="0BD87EAC"/>
    <w:rsid w:val="0BE46B89"/>
    <w:rsid w:val="0BF41C52"/>
    <w:rsid w:val="0C047996"/>
    <w:rsid w:val="0C0E112C"/>
    <w:rsid w:val="0C1337D7"/>
    <w:rsid w:val="0C2215AA"/>
    <w:rsid w:val="0C64719F"/>
    <w:rsid w:val="0C6536DB"/>
    <w:rsid w:val="0C797590"/>
    <w:rsid w:val="0C9B273A"/>
    <w:rsid w:val="0CA00951"/>
    <w:rsid w:val="0CBD0903"/>
    <w:rsid w:val="0CC51EAD"/>
    <w:rsid w:val="0CD230A9"/>
    <w:rsid w:val="0CD65166"/>
    <w:rsid w:val="0CDB2BBC"/>
    <w:rsid w:val="0CE84C0B"/>
    <w:rsid w:val="0CEF2113"/>
    <w:rsid w:val="0CEF2581"/>
    <w:rsid w:val="0D05225F"/>
    <w:rsid w:val="0D1424ED"/>
    <w:rsid w:val="0D261419"/>
    <w:rsid w:val="0D42705A"/>
    <w:rsid w:val="0D545049"/>
    <w:rsid w:val="0D617032"/>
    <w:rsid w:val="0D673696"/>
    <w:rsid w:val="0D6C5D61"/>
    <w:rsid w:val="0D760FDB"/>
    <w:rsid w:val="0D7F345D"/>
    <w:rsid w:val="0D991370"/>
    <w:rsid w:val="0DAC0D2B"/>
    <w:rsid w:val="0DAD6BC9"/>
    <w:rsid w:val="0DBA3094"/>
    <w:rsid w:val="0DD06A00"/>
    <w:rsid w:val="0DDF0D4D"/>
    <w:rsid w:val="0DFC3CDF"/>
    <w:rsid w:val="0DFD772C"/>
    <w:rsid w:val="0DFF5826"/>
    <w:rsid w:val="0E0A51F9"/>
    <w:rsid w:val="0E1F1C4F"/>
    <w:rsid w:val="0E27451D"/>
    <w:rsid w:val="0E4806AD"/>
    <w:rsid w:val="0E5E7568"/>
    <w:rsid w:val="0E662847"/>
    <w:rsid w:val="0E854C8B"/>
    <w:rsid w:val="0E94230E"/>
    <w:rsid w:val="0E946F22"/>
    <w:rsid w:val="0EA37FCC"/>
    <w:rsid w:val="0EE7610B"/>
    <w:rsid w:val="0EF65551"/>
    <w:rsid w:val="0EFE25F0"/>
    <w:rsid w:val="0F135152"/>
    <w:rsid w:val="0F711E78"/>
    <w:rsid w:val="0F807B33"/>
    <w:rsid w:val="0F8C6CB2"/>
    <w:rsid w:val="0F8F17E6"/>
    <w:rsid w:val="0FB029A1"/>
    <w:rsid w:val="0FB02B15"/>
    <w:rsid w:val="0FB21F29"/>
    <w:rsid w:val="0FB47D1E"/>
    <w:rsid w:val="0FCE598D"/>
    <w:rsid w:val="0FD77F2D"/>
    <w:rsid w:val="0FD849C7"/>
    <w:rsid w:val="0FE03B0E"/>
    <w:rsid w:val="0FE663C2"/>
    <w:rsid w:val="0FEF37CA"/>
    <w:rsid w:val="100928FC"/>
    <w:rsid w:val="10093E5F"/>
    <w:rsid w:val="101A62D4"/>
    <w:rsid w:val="10260EB5"/>
    <w:rsid w:val="1027035F"/>
    <w:rsid w:val="102A2753"/>
    <w:rsid w:val="102A69EF"/>
    <w:rsid w:val="102C3484"/>
    <w:rsid w:val="103D6600"/>
    <w:rsid w:val="10463305"/>
    <w:rsid w:val="106204CB"/>
    <w:rsid w:val="1068327B"/>
    <w:rsid w:val="1069097D"/>
    <w:rsid w:val="10703EDE"/>
    <w:rsid w:val="108C6F6A"/>
    <w:rsid w:val="10A90FB7"/>
    <w:rsid w:val="10B95885"/>
    <w:rsid w:val="10F845FF"/>
    <w:rsid w:val="11092167"/>
    <w:rsid w:val="110C3973"/>
    <w:rsid w:val="110D47B0"/>
    <w:rsid w:val="11110225"/>
    <w:rsid w:val="111930E1"/>
    <w:rsid w:val="111E1B8C"/>
    <w:rsid w:val="11252430"/>
    <w:rsid w:val="112E0021"/>
    <w:rsid w:val="1143676B"/>
    <w:rsid w:val="11471791"/>
    <w:rsid w:val="117C1012"/>
    <w:rsid w:val="11872569"/>
    <w:rsid w:val="11AB09B5"/>
    <w:rsid w:val="11B7025F"/>
    <w:rsid w:val="11C36B1F"/>
    <w:rsid w:val="11C52DC5"/>
    <w:rsid w:val="11E46932"/>
    <w:rsid w:val="11F221C7"/>
    <w:rsid w:val="11F2605E"/>
    <w:rsid w:val="11F724E3"/>
    <w:rsid w:val="122227BF"/>
    <w:rsid w:val="12313173"/>
    <w:rsid w:val="12313682"/>
    <w:rsid w:val="12437AFC"/>
    <w:rsid w:val="127A1044"/>
    <w:rsid w:val="128157F4"/>
    <w:rsid w:val="12AA36D7"/>
    <w:rsid w:val="12B566A2"/>
    <w:rsid w:val="12C448B1"/>
    <w:rsid w:val="12D32267"/>
    <w:rsid w:val="12E60488"/>
    <w:rsid w:val="12F05187"/>
    <w:rsid w:val="13142710"/>
    <w:rsid w:val="1335650B"/>
    <w:rsid w:val="133E1FA2"/>
    <w:rsid w:val="13871C6A"/>
    <w:rsid w:val="139377AA"/>
    <w:rsid w:val="13A44407"/>
    <w:rsid w:val="13A46379"/>
    <w:rsid w:val="13BD743A"/>
    <w:rsid w:val="13E2730D"/>
    <w:rsid w:val="13F85ED3"/>
    <w:rsid w:val="140626B0"/>
    <w:rsid w:val="140C350F"/>
    <w:rsid w:val="14207DA2"/>
    <w:rsid w:val="142101C9"/>
    <w:rsid w:val="143164E8"/>
    <w:rsid w:val="14341A45"/>
    <w:rsid w:val="146856DB"/>
    <w:rsid w:val="146B3433"/>
    <w:rsid w:val="14795A57"/>
    <w:rsid w:val="14933F94"/>
    <w:rsid w:val="14A34882"/>
    <w:rsid w:val="14A95C11"/>
    <w:rsid w:val="14AA0D30"/>
    <w:rsid w:val="14BA3B44"/>
    <w:rsid w:val="14CD6BF6"/>
    <w:rsid w:val="14EE3158"/>
    <w:rsid w:val="1504334D"/>
    <w:rsid w:val="15085477"/>
    <w:rsid w:val="152578C2"/>
    <w:rsid w:val="154755A3"/>
    <w:rsid w:val="15664CCA"/>
    <w:rsid w:val="156C1118"/>
    <w:rsid w:val="159E0364"/>
    <w:rsid w:val="15A959CF"/>
    <w:rsid w:val="15B93CF7"/>
    <w:rsid w:val="15D36B14"/>
    <w:rsid w:val="16053674"/>
    <w:rsid w:val="16146EAD"/>
    <w:rsid w:val="161A451C"/>
    <w:rsid w:val="161E395E"/>
    <w:rsid w:val="1621543B"/>
    <w:rsid w:val="163E1726"/>
    <w:rsid w:val="16565924"/>
    <w:rsid w:val="167F1A6B"/>
    <w:rsid w:val="16971C37"/>
    <w:rsid w:val="16A448E1"/>
    <w:rsid w:val="16BE14E7"/>
    <w:rsid w:val="16BE34FA"/>
    <w:rsid w:val="16DA6212"/>
    <w:rsid w:val="16ED632E"/>
    <w:rsid w:val="1705386D"/>
    <w:rsid w:val="170A0BE8"/>
    <w:rsid w:val="170D692B"/>
    <w:rsid w:val="1717031D"/>
    <w:rsid w:val="17451C21"/>
    <w:rsid w:val="175D47C3"/>
    <w:rsid w:val="176B2704"/>
    <w:rsid w:val="178C5AA1"/>
    <w:rsid w:val="178D35C8"/>
    <w:rsid w:val="17BC2D29"/>
    <w:rsid w:val="17EC4792"/>
    <w:rsid w:val="18025D64"/>
    <w:rsid w:val="1808589E"/>
    <w:rsid w:val="181B6E25"/>
    <w:rsid w:val="18272F04"/>
    <w:rsid w:val="183F0D66"/>
    <w:rsid w:val="1847137D"/>
    <w:rsid w:val="18473583"/>
    <w:rsid w:val="18585984"/>
    <w:rsid w:val="188B47DF"/>
    <w:rsid w:val="18916DBC"/>
    <w:rsid w:val="18AA3C15"/>
    <w:rsid w:val="18BA5D81"/>
    <w:rsid w:val="18C07826"/>
    <w:rsid w:val="18C77023"/>
    <w:rsid w:val="18E45469"/>
    <w:rsid w:val="18EE62E8"/>
    <w:rsid w:val="18FD3C01"/>
    <w:rsid w:val="190E24E6"/>
    <w:rsid w:val="19195D82"/>
    <w:rsid w:val="193033EC"/>
    <w:rsid w:val="19322678"/>
    <w:rsid w:val="194A216C"/>
    <w:rsid w:val="19517451"/>
    <w:rsid w:val="19562DE7"/>
    <w:rsid w:val="19603977"/>
    <w:rsid w:val="196D1879"/>
    <w:rsid w:val="19810F0A"/>
    <w:rsid w:val="199D3E22"/>
    <w:rsid w:val="19A676CD"/>
    <w:rsid w:val="19B34CEE"/>
    <w:rsid w:val="19C57B31"/>
    <w:rsid w:val="19CE54E8"/>
    <w:rsid w:val="19DA0E66"/>
    <w:rsid w:val="1A0868DE"/>
    <w:rsid w:val="1A386BB6"/>
    <w:rsid w:val="1A3E0B9C"/>
    <w:rsid w:val="1A5A0D30"/>
    <w:rsid w:val="1A641248"/>
    <w:rsid w:val="1A6B178B"/>
    <w:rsid w:val="1A6E7911"/>
    <w:rsid w:val="1AA11864"/>
    <w:rsid w:val="1ABF618E"/>
    <w:rsid w:val="1AD90120"/>
    <w:rsid w:val="1AEB035A"/>
    <w:rsid w:val="1AF0114F"/>
    <w:rsid w:val="1AF61156"/>
    <w:rsid w:val="1B114FF8"/>
    <w:rsid w:val="1B136BC2"/>
    <w:rsid w:val="1B1C5890"/>
    <w:rsid w:val="1B2C6156"/>
    <w:rsid w:val="1B363B76"/>
    <w:rsid w:val="1B394ECA"/>
    <w:rsid w:val="1B4D379A"/>
    <w:rsid w:val="1B612DA1"/>
    <w:rsid w:val="1B6F2A95"/>
    <w:rsid w:val="1B7011A6"/>
    <w:rsid w:val="1B894395"/>
    <w:rsid w:val="1BC84BF9"/>
    <w:rsid w:val="1BDD4B1E"/>
    <w:rsid w:val="1BE008E5"/>
    <w:rsid w:val="1BE426E0"/>
    <w:rsid w:val="1BEF5EDC"/>
    <w:rsid w:val="1BF3045F"/>
    <w:rsid w:val="1C171374"/>
    <w:rsid w:val="1C324768"/>
    <w:rsid w:val="1C383244"/>
    <w:rsid w:val="1C4928ED"/>
    <w:rsid w:val="1C706707"/>
    <w:rsid w:val="1C881C55"/>
    <w:rsid w:val="1C8C6E3B"/>
    <w:rsid w:val="1C8F4549"/>
    <w:rsid w:val="1C9B1094"/>
    <w:rsid w:val="1C9D7829"/>
    <w:rsid w:val="1CA25487"/>
    <w:rsid w:val="1CC01D49"/>
    <w:rsid w:val="1CCB706C"/>
    <w:rsid w:val="1CD36541"/>
    <w:rsid w:val="1CD53375"/>
    <w:rsid w:val="1CD770E1"/>
    <w:rsid w:val="1CDF3C35"/>
    <w:rsid w:val="1CDF48C5"/>
    <w:rsid w:val="1CED64E7"/>
    <w:rsid w:val="1CF10155"/>
    <w:rsid w:val="1CF655C7"/>
    <w:rsid w:val="1CF70CE3"/>
    <w:rsid w:val="1D083787"/>
    <w:rsid w:val="1D0E4D1B"/>
    <w:rsid w:val="1D1B1576"/>
    <w:rsid w:val="1D201166"/>
    <w:rsid w:val="1D235D75"/>
    <w:rsid w:val="1D5A4782"/>
    <w:rsid w:val="1D623037"/>
    <w:rsid w:val="1D660B43"/>
    <w:rsid w:val="1D672CB3"/>
    <w:rsid w:val="1D7C0925"/>
    <w:rsid w:val="1D817975"/>
    <w:rsid w:val="1D951979"/>
    <w:rsid w:val="1DAF110E"/>
    <w:rsid w:val="1DB61054"/>
    <w:rsid w:val="1DC835AB"/>
    <w:rsid w:val="1DC94431"/>
    <w:rsid w:val="1DD41F50"/>
    <w:rsid w:val="1DF7725D"/>
    <w:rsid w:val="1DFC3255"/>
    <w:rsid w:val="1DFD14A7"/>
    <w:rsid w:val="1E107489"/>
    <w:rsid w:val="1E120047"/>
    <w:rsid w:val="1E2456FC"/>
    <w:rsid w:val="1E387717"/>
    <w:rsid w:val="1E426EBA"/>
    <w:rsid w:val="1E5227F5"/>
    <w:rsid w:val="1E5B1486"/>
    <w:rsid w:val="1E6037E4"/>
    <w:rsid w:val="1E6C2CB1"/>
    <w:rsid w:val="1E86604F"/>
    <w:rsid w:val="1E8B2478"/>
    <w:rsid w:val="1EA55F87"/>
    <w:rsid w:val="1EB06519"/>
    <w:rsid w:val="1EBB4C20"/>
    <w:rsid w:val="1EC57AB3"/>
    <w:rsid w:val="1ECE40F1"/>
    <w:rsid w:val="1EEE7042"/>
    <w:rsid w:val="1EEF2C2E"/>
    <w:rsid w:val="1EF87EC0"/>
    <w:rsid w:val="1EF93282"/>
    <w:rsid w:val="1EFC05DA"/>
    <w:rsid w:val="1F242409"/>
    <w:rsid w:val="1F260691"/>
    <w:rsid w:val="1F274302"/>
    <w:rsid w:val="1F2F1476"/>
    <w:rsid w:val="1F342CDC"/>
    <w:rsid w:val="1F364345"/>
    <w:rsid w:val="1F3C055E"/>
    <w:rsid w:val="1F3F5AEF"/>
    <w:rsid w:val="1F5350F7"/>
    <w:rsid w:val="1F5838AB"/>
    <w:rsid w:val="1F65551D"/>
    <w:rsid w:val="1F721347"/>
    <w:rsid w:val="1F724421"/>
    <w:rsid w:val="1F8B39C7"/>
    <w:rsid w:val="1F925C1F"/>
    <w:rsid w:val="1FA17CC2"/>
    <w:rsid w:val="1FAE057F"/>
    <w:rsid w:val="1FB77434"/>
    <w:rsid w:val="1FCB1131"/>
    <w:rsid w:val="1FD866E0"/>
    <w:rsid w:val="1FEA282E"/>
    <w:rsid w:val="1FF73CD4"/>
    <w:rsid w:val="1FF92872"/>
    <w:rsid w:val="1FFE4976"/>
    <w:rsid w:val="20054643"/>
    <w:rsid w:val="200945DD"/>
    <w:rsid w:val="200B03E4"/>
    <w:rsid w:val="200E293D"/>
    <w:rsid w:val="201802D4"/>
    <w:rsid w:val="20362A4E"/>
    <w:rsid w:val="2043516B"/>
    <w:rsid w:val="204A1446"/>
    <w:rsid w:val="20571955"/>
    <w:rsid w:val="20594713"/>
    <w:rsid w:val="20632091"/>
    <w:rsid w:val="20834EBA"/>
    <w:rsid w:val="20900DEF"/>
    <w:rsid w:val="209B6228"/>
    <w:rsid w:val="20B61DE1"/>
    <w:rsid w:val="20CA13E8"/>
    <w:rsid w:val="20CA3D8E"/>
    <w:rsid w:val="20D245C5"/>
    <w:rsid w:val="20E47858"/>
    <w:rsid w:val="20EE2134"/>
    <w:rsid w:val="20F375E8"/>
    <w:rsid w:val="20F544F1"/>
    <w:rsid w:val="211508B6"/>
    <w:rsid w:val="21182154"/>
    <w:rsid w:val="21206CAA"/>
    <w:rsid w:val="213F3B84"/>
    <w:rsid w:val="2148186B"/>
    <w:rsid w:val="21776D10"/>
    <w:rsid w:val="218F0CEB"/>
    <w:rsid w:val="21A47E8B"/>
    <w:rsid w:val="21B52099"/>
    <w:rsid w:val="21EA64FE"/>
    <w:rsid w:val="223236E9"/>
    <w:rsid w:val="223F0861"/>
    <w:rsid w:val="224A27E1"/>
    <w:rsid w:val="224D407F"/>
    <w:rsid w:val="22543660"/>
    <w:rsid w:val="225F78FB"/>
    <w:rsid w:val="227347E3"/>
    <w:rsid w:val="227D4749"/>
    <w:rsid w:val="22B66C67"/>
    <w:rsid w:val="22B96619"/>
    <w:rsid w:val="22C34214"/>
    <w:rsid w:val="22C9349D"/>
    <w:rsid w:val="22CF4CB9"/>
    <w:rsid w:val="22E5714F"/>
    <w:rsid w:val="23073234"/>
    <w:rsid w:val="23153D35"/>
    <w:rsid w:val="231859C4"/>
    <w:rsid w:val="233651B2"/>
    <w:rsid w:val="233C5C01"/>
    <w:rsid w:val="23655593"/>
    <w:rsid w:val="23873CA0"/>
    <w:rsid w:val="23A668C2"/>
    <w:rsid w:val="23B5012E"/>
    <w:rsid w:val="23C6058D"/>
    <w:rsid w:val="23CC2CE3"/>
    <w:rsid w:val="23E97DD8"/>
    <w:rsid w:val="23F81D1C"/>
    <w:rsid w:val="24004EF0"/>
    <w:rsid w:val="242552B4"/>
    <w:rsid w:val="242D23BA"/>
    <w:rsid w:val="24361C71"/>
    <w:rsid w:val="245222E6"/>
    <w:rsid w:val="2455798C"/>
    <w:rsid w:val="246851A0"/>
    <w:rsid w:val="246E4FE1"/>
    <w:rsid w:val="247771B1"/>
    <w:rsid w:val="24797436"/>
    <w:rsid w:val="24893698"/>
    <w:rsid w:val="248A0DA1"/>
    <w:rsid w:val="248B0DC9"/>
    <w:rsid w:val="24AC7248"/>
    <w:rsid w:val="24B228BF"/>
    <w:rsid w:val="24DE364C"/>
    <w:rsid w:val="24EF440E"/>
    <w:rsid w:val="25007ACF"/>
    <w:rsid w:val="25076767"/>
    <w:rsid w:val="25191A92"/>
    <w:rsid w:val="25290357"/>
    <w:rsid w:val="253C3B25"/>
    <w:rsid w:val="25513E86"/>
    <w:rsid w:val="255F5B0A"/>
    <w:rsid w:val="25664EB1"/>
    <w:rsid w:val="257302A1"/>
    <w:rsid w:val="2573629D"/>
    <w:rsid w:val="257B7E43"/>
    <w:rsid w:val="25A7022D"/>
    <w:rsid w:val="25C32FD6"/>
    <w:rsid w:val="25C603D0"/>
    <w:rsid w:val="25E1520A"/>
    <w:rsid w:val="25E2513A"/>
    <w:rsid w:val="25F45922"/>
    <w:rsid w:val="25FD2F48"/>
    <w:rsid w:val="261E645E"/>
    <w:rsid w:val="262E21CA"/>
    <w:rsid w:val="26713F63"/>
    <w:rsid w:val="26753166"/>
    <w:rsid w:val="267B561B"/>
    <w:rsid w:val="267C5A99"/>
    <w:rsid w:val="2682148D"/>
    <w:rsid w:val="268D22B5"/>
    <w:rsid w:val="269240CC"/>
    <w:rsid w:val="269A47B4"/>
    <w:rsid w:val="269E759F"/>
    <w:rsid w:val="26A526DC"/>
    <w:rsid w:val="26A5448A"/>
    <w:rsid w:val="26BF5BA2"/>
    <w:rsid w:val="26CB1A16"/>
    <w:rsid w:val="26EC7F5B"/>
    <w:rsid w:val="27016CF5"/>
    <w:rsid w:val="27175BDC"/>
    <w:rsid w:val="271B299E"/>
    <w:rsid w:val="271E071C"/>
    <w:rsid w:val="272B00CD"/>
    <w:rsid w:val="27381EB7"/>
    <w:rsid w:val="275E5E47"/>
    <w:rsid w:val="276C4FA7"/>
    <w:rsid w:val="27924AA1"/>
    <w:rsid w:val="27942BC4"/>
    <w:rsid w:val="27962E21"/>
    <w:rsid w:val="279768B3"/>
    <w:rsid w:val="279A19EA"/>
    <w:rsid w:val="27B169B4"/>
    <w:rsid w:val="27B21745"/>
    <w:rsid w:val="27B32BD6"/>
    <w:rsid w:val="27B911ED"/>
    <w:rsid w:val="27D27F60"/>
    <w:rsid w:val="27E744FA"/>
    <w:rsid w:val="27F83B89"/>
    <w:rsid w:val="27FE146D"/>
    <w:rsid w:val="28037CCB"/>
    <w:rsid w:val="28321D4D"/>
    <w:rsid w:val="283E36E3"/>
    <w:rsid w:val="283F446A"/>
    <w:rsid w:val="284675E2"/>
    <w:rsid w:val="284E0B22"/>
    <w:rsid w:val="28543497"/>
    <w:rsid w:val="28630B61"/>
    <w:rsid w:val="286C012F"/>
    <w:rsid w:val="286E4D4F"/>
    <w:rsid w:val="289B5942"/>
    <w:rsid w:val="28B77612"/>
    <w:rsid w:val="28BB465F"/>
    <w:rsid w:val="28D728F5"/>
    <w:rsid w:val="28E55011"/>
    <w:rsid w:val="28F25980"/>
    <w:rsid w:val="29012269"/>
    <w:rsid w:val="291451AB"/>
    <w:rsid w:val="29157417"/>
    <w:rsid w:val="29285E0F"/>
    <w:rsid w:val="294477FD"/>
    <w:rsid w:val="2947617E"/>
    <w:rsid w:val="29505C1F"/>
    <w:rsid w:val="296323DA"/>
    <w:rsid w:val="297158AB"/>
    <w:rsid w:val="29807966"/>
    <w:rsid w:val="299D065B"/>
    <w:rsid w:val="29B50FF4"/>
    <w:rsid w:val="29C02FCD"/>
    <w:rsid w:val="29C63807"/>
    <w:rsid w:val="29EB45D3"/>
    <w:rsid w:val="2A0312F6"/>
    <w:rsid w:val="2A07685B"/>
    <w:rsid w:val="2A0A72B2"/>
    <w:rsid w:val="2A102562"/>
    <w:rsid w:val="2A125E2D"/>
    <w:rsid w:val="2A2569D8"/>
    <w:rsid w:val="2A2F7528"/>
    <w:rsid w:val="2A3E46F3"/>
    <w:rsid w:val="2A5F36CE"/>
    <w:rsid w:val="2A613F70"/>
    <w:rsid w:val="2A7975D0"/>
    <w:rsid w:val="2A7B46D0"/>
    <w:rsid w:val="2A7E694A"/>
    <w:rsid w:val="2A88405F"/>
    <w:rsid w:val="2AB54EB7"/>
    <w:rsid w:val="2AC03F74"/>
    <w:rsid w:val="2AC86999"/>
    <w:rsid w:val="2ACD4D90"/>
    <w:rsid w:val="2ADC43C4"/>
    <w:rsid w:val="2AE07B98"/>
    <w:rsid w:val="2AE337D3"/>
    <w:rsid w:val="2B1B36C2"/>
    <w:rsid w:val="2B3C1AAA"/>
    <w:rsid w:val="2B77216D"/>
    <w:rsid w:val="2B7A42C1"/>
    <w:rsid w:val="2B82668D"/>
    <w:rsid w:val="2B8C19B3"/>
    <w:rsid w:val="2B9A7EB4"/>
    <w:rsid w:val="2BB8407D"/>
    <w:rsid w:val="2BBE24DE"/>
    <w:rsid w:val="2BBF0C02"/>
    <w:rsid w:val="2BDD28EB"/>
    <w:rsid w:val="2BE5357A"/>
    <w:rsid w:val="2BEC66B7"/>
    <w:rsid w:val="2BF43094"/>
    <w:rsid w:val="2BF909AA"/>
    <w:rsid w:val="2BFC0D12"/>
    <w:rsid w:val="2C016606"/>
    <w:rsid w:val="2C0757B7"/>
    <w:rsid w:val="2C153E60"/>
    <w:rsid w:val="2C1E422F"/>
    <w:rsid w:val="2C3818FC"/>
    <w:rsid w:val="2C5950A4"/>
    <w:rsid w:val="2C660130"/>
    <w:rsid w:val="2C73502A"/>
    <w:rsid w:val="2CB9711D"/>
    <w:rsid w:val="2CEA52EC"/>
    <w:rsid w:val="2CF3363A"/>
    <w:rsid w:val="2D000C25"/>
    <w:rsid w:val="2D0F4DB4"/>
    <w:rsid w:val="2D2D36A5"/>
    <w:rsid w:val="2D365B16"/>
    <w:rsid w:val="2D4B38B1"/>
    <w:rsid w:val="2D5646DC"/>
    <w:rsid w:val="2D584691"/>
    <w:rsid w:val="2D6D2070"/>
    <w:rsid w:val="2D9D0838"/>
    <w:rsid w:val="2D9E1C33"/>
    <w:rsid w:val="2DB652A4"/>
    <w:rsid w:val="2DB943B8"/>
    <w:rsid w:val="2DBB2419"/>
    <w:rsid w:val="2DBF7001"/>
    <w:rsid w:val="2DC26166"/>
    <w:rsid w:val="2DD13DB6"/>
    <w:rsid w:val="2DD903A8"/>
    <w:rsid w:val="2DEA2F76"/>
    <w:rsid w:val="2DF041FF"/>
    <w:rsid w:val="2DF76E1B"/>
    <w:rsid w:val="2DFD2DFD"/>
    <w:rsid w:val="2E10357E"/>
    <w:rsid w:val="2E177A17"/>
    <w:rsid w:val="2E1B30B3"/>
    <w:rsid w:val="2E310CF9"/>
    <w:rsid w:val="2E3E487D"/>
    <w:rsid w:val="2E41360C"/>
    <w:rsid w:val="2E450300"/>
    <w:rsid w:val="2E607FBE"/>
    <w:rsid w:val="2E615CAF"/>
    <w:rsid w:val="2E64456A"/>
    <w:rsid w:val="2E7264C5"/>
    <w:rsid w:val="2E7653DE"/>
    <w:rsid w:val="2E842882"/>
    <w:rsid w:val="2E8C6A3D"/>
    <w:rsid w:val="2EB508B8"/>
    <w:rsid w:val="2ED71BB4"/>
    <w:rsid w:val="2EF47A31"/>
    <w:rsid w:val="2F04472C"/>
    <w:rsid w:val="2F066396"/>
    <w:rsid w:val="2F2220C8"/>
    <w:rsid w:val="2F2655A5"/>
    <w:rsid w:val="2F30138F"/>
    <w:rsid w:val="2F5628C1"/>
    <w:rsid w:val="2F666780"/>
    <w:rsid w:val="2F6C2646"/>
    <w:rsid w:val="2F715851"/>
    <w:rsid w:val="2F81781A"/>
    <w:rsid w:val="2F8310E0"/>
    <w:rsid w:val="2FBA6AB0"/>
    <w:rsid w:val="2FDA5233"/>
    <w:rsid w:val="30186987"/>
    <w:rsid w:val="30383160"/>
    <w:rsid w:val="30396B3B"/>
    <w:rsid w:val="303D3D8D"/>
    <w:rsid w:val="30410449"/>
    <w:rsid w:val="304B34C7"/>
    <w:rsid w:val="304C3BC8"/>
    <w:rsid w:val="306F3884"/>
    <w:rsid w:val="30817D16"/>
    <w:rsid w:val="308C6F5A"/>
    <w:rsid w:val="3095731D"/>
    <w:rsid w:val="30977539"/>
    <w:rsid w:val="30AE1C64"/>
    <w:rsid w:val="30B73737"/>
    <w:rsid w:val="30C65728"/>
    <w:rsid w:val="30D06AF0"/>
    <w:rsid w:val="30DC1248"/>
    <w:rsid w:val="30E16401"/>
    <w:rsid w:val="30F229C1"/>
    <w:rsid w:val="30F93D50"/>
    <w:rsid w:val="310149B3"/>
    <w:rsid w:val="31175F84"/>
    <w:rsid w:val="313C3C3D"/>
    <w:rsid w:val="31405015"/>
    <w:rsid w:val="31537EEC"/>
    <w:rsid w:val="31591892"/>
    <w:rsid w:val="316F0F32"/>
    <w:rsid w:val="31736100"/>
    <w:rsid w:val="31750446"/>
    <w:rsid w:val="31773981"/>
    <w:rsid w:val="318F234F"/>
    <w:rsid w:val="319C6FC9"/>
    <w:rsid w:val="3205097C"/>
    <w:rsid w:val="3219245E"/>
    <w:rsid w:val="323677EC"/>
    <w:rsid w:val="323827BE"/>
    <w:rsid w:val="32495754"/>
    <w:rsid w:val="32541D1E"/>
    <w:rsid w:val="32601BAD"/>
    <w:rsid w:val="32605AA8"/>
    <w:rsid w:val="32615E04"/>
    <w:rsid w:val="326849A2"/>
    <w:rsid w:val="326B0F6E"/>
    <w:rsid w:val="327B69E7"/>
    <w:rsid w:val="328126D8"/>
    <w:rsid w:val="3284589B"/>
    <w:rsid w:val="32847649"/>
    <w:rsid w:val="32A04DB4"/>
    <w:rsid w:val="32BB4137"/>
    <w:rsid w:val="32C57C62"/>
    <w:rsid w:val="32D07FAA"/>
    <w:rsid w:val="32DE0BF1"/>
    <w:rsid w:val="32E158F1"/>
    <w:rsid w:val="33031007"/>
    <w:rsid w:val="330A1B9B"/>
    <w:rsid w:val="331C3D26"/>
    <w:rsid w:val="33341058"/>
    <w:rsid w:val="333472C1"/>
    <w:rsid w:val="33501C21"/>
    <w:rsid w:val="3361588C"/>
    <w:rsid w:val="33797999"/>
    <w:rsid w:val="338032CF"/>
    <w:rsid w:val="339F17B8"/>
    <w:rsid w:val="339F3BDD"/>
    <w:rsid w:val="33A9773C"/>
    <w:rsid w:val="33BE302F"/>
    <w:rsid w:val="33CE4708"/>
    <w:rsid w:val="33D00CCC"/>
    <w:rsid w:val="33E93AE7"/>
    <w:rsid w:val="33FB47B2"/>
    <w:rsid w:val="33FE062C"/>
    <w:rsid w:val="34000F51"/>
    <w:rsid w:val="34056B2D"/>
    <w:rsid w:val="340D123D"/>
    <w:rsid w:val="340D402A"/>
    <w:rsid w:val="34117F4A"/>
    <w:rsid w:val="34157A69"/>
    <w:rsid w:val="342F04EE"/>
    <w:rsid w:val="343278F3"/>
    <w:rsid w:val="343773FE"/>
    <w:rsid w:val="344352BB"/>
    <w:rsid w:val="34565015"/>
    <w:rsid w:val="345F13D2"/>
    <w:rsid w:val="346614E2"/>
    <w:rsid w:val="346F44E7"/>
    <w:rsid w:val="3477121B"/>
    <w:rsid w:val="34833930"/>
    <w:rsid w:val="348576A9"/>
    <w:rsid w:val="34880F47"/>
    <w:rsid w:val="34C33940"/>
    <w:rsid w:val="34CE5612"/>
    <w:rsid w:val="34CF786E"/>
    <w:rsid w:val="34D67F04"/>
    <w:rsid w:val="34DA288E"/>
    <w:rsid w:val="34E07C21"/>
    <w:rsid w:val="34E11C57"/>
    <w:rsid w:val="34E43EEA"/>
    <w:rsid w:val="34F47C15"/>
    <w:rsid w:val="34F540BD"/>
    <w:rsid w:val="34FF3C2C"/>
    <w:rsid w:val="35063B46"/>
    <w:rsid w:val="35095EB0"/>
    <w:rsid w:val="351C3CD0"/>
    <w:rsid w:val="352F1E92"/>
    <w:rsid w:val="353763F9"/>
    <w:rsid w:val="353C79F3"/>
    <w:rsid w:val="353F5F9A"/>
    <w:rsid w:val="35600779"/>
    <w:rsid w:val="35657FED"/>
    <w:rsid w:val="35976ED7"/>
    <w:rsid w:val="35977693"/>
    <w:rsid w:val="35980087"/>
    <w:rsid w:val="35B84DAB"/>
    <w:rsid w:val="35C52894"/>
    <w:rsid w:val="35D07049"/>
    <w:rsid w:val="35F036ED"/>
    <w:rsid w:val="35FB5BA7"/>
    <w:rsid w:val="36021E5F"/>
    <w:rsid w:val="36327AC4"/>
    <w:rsid w:val="3634601F"/>
    <w:rsid w:val="36496AF6"/>
    <w:rsid w:val="36547421"/>
    <w:rsid w:val="365E6403"/>
    <w:rsid w:val="367251E5"/>
    <w:rsid w:val="36826596"/>
    <w:rsid w:val="36903B9D"/>
    <w:rsid w:val="369736C3"/>
    <w:rsid w:val="36C301B0"/>
    <w:rsid w:val="36C40C39"/>
    <w:rsid w:val="36C95739"/>
    <w:rsid w:val="36D6243D"/>
    <w:rsid w:val="36DE6128"/>
    <w:rsid w:val="36DE6652"/>
    <w:rsid w:val="36F01751"/>
    <w:rsid w:val="36FD0B04"/>
    <w:rsid w:val="370275A1"/>
    <w:rsid w:val="3709636F"/>
    <w:rsid w:val="370C2D55"/>
    <w:rsid w:val="370E7E29"/>
    <w:rsid w:val="37215DAE"/>
    <w:rsid w:val="372633C5"/>
    <w:rsid w:val="372F7F54"/>
    <w:rsid w:val="37425D25"/>
    <w:rsid w:val="374754B1"/>
    <w:rsid w:val="374E45F3"/>
    <w:rsid w:val="37624933"/>
    <w:rsid w:val="37710FF7"/>
    <w:rsid w:val="377870D5"/>
    <w:rsid w:val="378C7B63"/>
    <w:rsid w:val="37C01AB5"/>
    <w:rsid w:val="37C357B7"/>
    <w:rsid w:val="37C8480D"/>
    <w:rsid w:val="38107733"/>
    <w:rsid w:val="38156F95"/>
    <w:rsid w:val="38246750"/>
    <w:rsid w:val="382A0C93"/>
    <w:rsid w:val="382E7411"/>
    <w:rsid w:val="38552071"/>
    <w:rsid w:val="385F25BB"/>
    <w:rsid w:val="386609E8"/>
    <w:rsid w:val="387B2A25"/>
    <w:rsid w:val="38A0575D"/>
    <w:rsid w:val="38A14437"/>
    <w:rsid w:val="38AC16A8"/>
    <w:rsid w:val="38B577A9"/>
    <w:rsid w:val="38B74C05"/>
    <w:rsid w:val="38CC421D"/>
    <w:rsid w:val="38D16635"/>
    <w:rsid w:val="38D373E7"/>
    <w:rsid w:val="38FA57F0"/>
    <w:rsid w:val="3936186D"/>
    <w:rsid w:val="395104A1"/>
    <w:rsid w:val="39514E0B"/>
    <w:rsid w:val="39566F53"/>
    <w:rsid w:val="395941C6"/>
    <w:rsid w:val="39693A3D"/>
    <w:rsid w:val="397905D6"/>
    <w:rsid w:val="39864DE3"/>
    <w:rsid w:val="39976270"/>
    <w:rsid w:val="399C32F4"/>
    <w:rsid w:val="399D5638"/>
    <w:rsid w:val="39B41C18"/>
    <w:rsid w:val="39B653E7"/>
    <w:rsid w:val="39C538F9"/>
    <w:rsid w:val="39CF5727"/>
    <w:rsid w:val="39D210D0"/>
    <w:rsid w:val="39D31839"/>
    <w:rsid w:val="39D7425E"/>
    <w:rsid w:val="39F2758E"/>
    <w:rsid w:val="39F82FB1"/>
    <w:rsid w:val="3A086DB2"/>
    <w:rsid w:val="3A1C273B"/>
    <w:rsid w:val="3A255D6F"/>
    <w:rsid w:val="3A291776"/>
    <w:rsid w:val="3A2B2AA0"/>
    <w:rsid w:val="3A30455A"/>
    <w:rsid w:val="3A43382A"/>
    <w:rsid w:val="3A51108A"/>
    <w:rsid w:val="3A5C534F"/>
    <w:rsid w:val="3A604CCB"/>
    <w:rsid w:val="3A667F7C"/>
    <w:rsid w:val="3A6711EA"/>
    <w:rsid w:val="3A6B021B"/>
    <w:rsid w:val="3A6C27C7"/>
    <w:rsid w:val="3A7D77A0"/>
    <w:rsid w:val="3A7E7CFE"/>
    <w:rsid w:val="3A95616C"/>
    <w:rsid w:val="3AB03D58"/>
    <w:rsid w:val="3AC0143A"/>
    <w:rsid w:val="3AE72E6B"/>
    <w:rsid w:val="3AF31112"/>
    <w:rsid w:val="3AF71C4F"/>
    <w:rsid w:val="3B0C28E2"/>
    <w:rsid w:val="3B325752"/>
    <w:rsid w:val="3B4113F9"/>
    <w:rsid w:val="3B4503AF"/>
    <w:rsid w:val="3B4B164C"/>
    <w:rsid w:val="3B4C0F20"/>
    <w:rsid w:val="3B4F0A10"/>
    <w:rsid w:val="3B5E513D"/>
    <w:rsid w:val="3B6E2308"/>
    <w:rsid w:val="3B700B9E"/>
    <w:rsid w:val="3B7A70C3"/>
    <w:rsid w:val="3B8C568A"/>
    <w:rsid w:val="3B8C6B52"/>
    <w:rsid w:val="3B9265F7"/>
    <w:rsid w:val="3BB36501"/>
    <w:rsid w:val="3BC10F8A"/>
    <w:rsid w:val="3BCA0430"/>
    <w:rsid w:val="3BD66A3C"/>
    <w:rsid w:val="3BDC3F68"/>
    <w:rsid w:val="3BDD601C"/>
    <w:rsid w:val="3BE21884"/>
    <w:rsid w:val="3C0D7BA2"/>
    <w:rsid w:val="3C1464E6"/>
    <w:rsid w:val="3C1F3B0A"/>
    <w:rsid w:val="3C2F5079"/>
    <w:rsid w:val="3C3814A4"/>
    <w:rsid w:val="3C3D7460"/>
    <w:rsid w:val="3C616C4D"/>
    <w:rsid w:val="3C6248AD"/>
    <w:rsid w:val="3C820BF8"/>
    <w:rsid w:val="3C9A772E"/>
    <w:rsid w:val="3CB974FB"/>
    <w:rsid w:val="3CD16A6C"/>
    <w:rsid w:val="3CFF2A56"/>
    <w:rsid w:val="3D083C3D"/>
    <w:rsid w:val="3D0F0BF5"/>
    <w:rsid w:val="3D254DA7"/>
    <w:rsid w:val="3D31435C"/>
    <w:rsid w:val="3D367754"/>
    <w:rsid w:val="3D4D01FD"/>
    <w:rsid w:val="3D8116F1"/>
    <w:rsid w:val="3D842DB5"/>
    <w:rsid w:val="3D927E3F"/>
    <w:rsid w:val="3DB41B96"/>
    <w:rsid w:val="3DD76D85"/>
    <w:rsid w:val="3DD83ABF"/>
    <w:rsid w:val="3DD86A9B"/>
    <w:rsid w:val="3DDA437C"/>
    <w:rsid w:val="3DEE4511"/>
    <w:rsid w:val="3DF461A3"/>
    <w:rsid w:val="3E03072B"/>
    <w:rsid w:val="3E0B6234"/>
    <w:rsid w:val="3E0C4997"/>
    <w:rsid w:val="3E1516BF"/>
    <w:rsid w:val="3E201151"/>
    <w:rsid w:val="3E54572C"/>
    <w:rsid w:val="3E600BB4"/>
    <w:rsid w:val="3E704F26"/>
    <w:rsid w:val="3E726EF0"/>
    <w:rsid w:val="3E8A2129"/>
    <w:rsid w:val="3E8C3990"/>
    <w:rsid w:val="3EA90437"/>
    <w:rsid w:val="3EC534C3"/>
    <w:rsid w:val="3EDA4D3F"/>
    <w:rsid w:val="3F0B745A"/>
    <w:rsid w:val="3F1708AB"/>
    <w:rsid w:val="3F8A0269"/>
    <w:rsid w:val="3F8A3D39"/>
    <w:rsid w:val="3F8D0174"/>
    <w:rsid w:val="3F95226A"/>
    <w:rsid w:val="3F987717"/>
    <w:rsid w:val="3FD23300"/>
    <w:rsid w:val="3FF47042"/>
    <w:rsid w:val="3FF54785"/>
    <w:rsid w:val="3FFC0AB7"/>
    <w:rsid w:val="3FFF0B26"/>
    <w:rsid w:val="4001677D"/>
    <w:rsid w:val="400445D6"/>
    <w:rsid w:val="4015659C"/>
    <w:rsid w:val="401D268F"/>
    <w:rsid w:val="40271F5C"/>
    <w:rsid w:val="403D5DB4"/>
    <w:rsid w:val="40444047"/>
    <w:rsid w:val="40452250"/>
    <w:rsid w:val="40501155"/>
    <w:rsid w:val="405229A9"/>
    <w:rsid w:val="40534AFF"/>
    <w:rsid w:val="406D3E12"/>
    <w:rsid w:val="408175F7"/>
    <w:rsid w:val="40955117"/>
    <w:rsid w:val="409E45E2"/>
    <w:rsid w:val="40A52125"/>
    <w:rsid w:val="40AE436A"/>
    <w:rsid w:val="40B61FF8"/>
    <w:rsid w:val="40C7171A"/>
    <w:rsid w:val="40D724A1"/>
    <w:rsid w:val="40E72D37"/>
    <w:rsid w:val="40E8793D"/>
    <w:rsid w:val="40EF4827"/>
    <w:rsid w:val="4114603C"/>
    <w:rsid w:val="413E57AF"/>
    <w:rsid w:val="415A1391"/>
    <w:rsid w:val="415E5B0A"/>
    <w:rsid w:val="41801923"/>
    <w:rsid w:val="41965A41"/>
    <w:rsid w:val="41970D49"/>
    <w:rsid w:val="41A25D3E"/>
    <w:rsid w:val="41B92A4F"/>
    <w:rsid w:val="41C964B4"/>
    <w:rsid w:val="41D13F2D"/>
    <w:rsid w:val="41D517BE"/>
    <w:rsid w:val="41D5429B"/>
    <w:rsid w:val="41F92ABD"/>
    <w:rsid w:val="41FC1B6A"/>
    <w:rsid w:val="42332E3A"/>
    <w:rsid w:val="423C4D26"/>
    <w:rsid w:val="42416CF7"/>
    <w:rsid w:val="424D1C7F"/>
    <w:rsid w:val="425846A6"/>
    <w:rsid w:val="426137A1"/>
    <w:rsid w:val="42624E34"/>
    <w:rsid w:val="427F218F"/>
    <w:rsid w:val="42840AD6"/>
    <w:rsid w:val="42870A90"/>
    <w:rsid w:val="428B63CF"/>
    <w:rsid w:val="42AF67D0"/>
    <w:rsid w:val="42BC0E70"/>
    <w:rsid w:val="42C245CE"/>
    <w:rsid w:val="42C35F6C"/>
    <w:rsid w:val="42CE53D3"/>
    <w:rsid w:val="42CF6F4F"/>
    <w:rsid w:val="42DD0E52"/>
    <w:rsid w:val="42F25C9A"/>
    <w:rsid w:val="43055AE1"/>
    <w:rsid w:val="430976F7"/>
    <w:rsid w:val="431A0C24"/>
    <w:rsid w:val="43284021"/>
    <w:rsid w:val="432D1637"/>
    <w:rsid w:val="434E1C20"/>
    <w:rsid w:val="43620283"/>
    <w:rsid w:val="4363286E"/>
    <w:rsid w:val="437101AA"/>
    <w:rsid w:val="43741014"/>
    <w:rsid w:val="43A73BE3"/>
    <w:rsid w:val="43AE7A7E"/>
    <w:rsid w:val="43B01826"/>
    <w:rsid w:val="43C7383A"/>
    <w:rsid w:val="43CA157C"/>
    <w:rsid w:val="43CF502D"/>
    <w:rsid w:val="43E8521C"/>
    <w:rsid w:val="43FD36FF"/>
    <w:rsid w:val="440B02B4"/>
    <w:rsid w:val="441C5080"/>
    <w:rsid w:val="44233849"/>
    <w:rsid w:val="44496945"/>
    <w:rsid w:val="446B500C"/>
    <w:rsid w:val="448508DF"/>
    <w:rsid w:val="44BF18A2"/>
    <w:rsid w:val="44CF71AB"/>
    <w:rsid w:val="44E23735"/>
    <w:rsid w:val="44E67CEF"/>
    <w:rsid w:val="44EA77F7"/>
    <w:rsid w:val="4517434D"/>
    <w:rsid w:val="45357785"/>
    <w:rsid w:val="45387766"/>
    <w:rsid w:val="453A760F"/>
    <w:rsid w:val="45491A3E"/>
    <w:rsid w:val="45503B28"/>
    <w:rsid w:val="45853082"/>
    <w:rsid w:val="45857508"/>
    <w:rsid w:val="45891F3C"/>
    <w:rsid w:val="4590274A"/>
    <w:rsid w:val="45905EAD"/>
    <w:rsid w:val="45A32084"/>
    <w:rsid w:val="45A8769B"/>
    <w:rsid w:val="45C344D5"/>
    <w:rsid w:val="45C864B7"/>
    <w:rsid w:val="45ED50AE"/>
    <w:rsid w:val="45FD0891"/>
    <w:rsid w:val="46185D52"/>
    <w:rsid w:val="46192347"/>
    <w:rsid w:val="46252A99"/>
    <w:rsid w:val="462C285E"/>
    <w:rsid w:val="4639249F"/>
    <w:rsid w:val="463A0304"/>
    <w:rsid w:val="464A4975"/>
    <w:rsid w:val="465670F7"/>
    <w:rsid w:val="4665558C"/>
    <w:rsid w:val="467C2D95"/>
    <w:rsid w:val="468477C0"/>
    <w:rsid w:val="4689127A"/>
    <w:rsid w:val="4695468D"/>
    <w:rsid w:val="469A6A31"/>
    <w:rsid w:val="46C73B51"/>
    <w:rsid w:val="46CA3A9F"/>
    <w:rsid w:val="46D83FB0"/>
    <w:rsid w:val="46F25071"/>
    <w:rsid w:val="471553B4"/>
    <w:rsid w:val="471E6457"/>
    <w:rsid w:val="471F398D"/>
    <w:rsid w:val="47232D85"/>
    <w:rsid w:val="475F6267"/>
    <w:rsid w:val="4760207C"/>
    <w:rsid w:val="4766336A"/>
    <w:rsid w:val="47743C9D"/>
    <w:rsid w:val="478657BA"/>
    <w:rsid w:val="478B55A3"/>
    <w:rsid w:val="47906F17"/>
    <w:rsid w:val="479A7A31"/>
    <w:rsid w:val="479B1699"/>
    <w:rsid w:val="47A10846"/>
    <w:rsid w:val="47AF51BF"/>
    <w:rsid w:val="47B81E12"/>
    <w:rsid w:val="47C12FC5"/>
    <w:rsid w:val="47D03B18"/>
    <w:rsid w:val="47DB1D58"/>
    <w:rsid w:val="47ED29D3"/>
    <w:rsid w:val="47EF74A3"/>
    <w:rsid w:val="47F50C9B"/>
    <w:rsid w:val="480C5CBF"/>
    <w:rsid w:val="480F1D14"/>
    <w:rsid w:val="4834394A"/>
    <w:rsid w:val="48390A7E"/>
    <w:rsid w:val="48515DC8"/>
    <w:rsid w:val="48531B40"/>
    <w:rsid w:val="485A65F3"/>
    <w:rsid w:val="48987720"/>
    <w:rsid w:val="489B34E7"/>
    <w:rsid w:val="489D4A92"/>
    <w:rsid w:val="48AA0D47"/>
    <w:rsid w:val="48AB437A"/>
    <w:rsid w:val="48B63E7D"/>
    <w:rsid w:val="48BB5E99"/>
    <w:rsid w:val="48C7608A"/>
    <w:rsid w:val="48E704DA"/>
    <w:rsid w:val="48E709AB"/>
    <w:rsid w:val="48FD1AAC"/>
    <w:rsid w:val="49074129"/>
    <w:rsid w:val="491C4628"/>
    <w:rsid w:val="491E413A"/>
    <w:rsid w:val="492B5D1A"/>
    <w:rsid w:val="49356195"/>
    <w:rsid w:val="493E72F4"/>
    <w:rsid w:val="49477CA3"/>
    <w:rsid w:val="495105E0"/>
    <w:rsid w:val="495530D2"/>
    <w:rsid w:val="495D4FB7"/>
    <w:rsid w:val="495F0F47"/>
    <w:rsid w:val="497F0713"/>
    <w:rsid w:val="49850611"/>
    <w:rsid w:val="49902920"/>
    <w:rsid w:val="499C3073"/>
    <w:rsid w:val="49B4660E"/>
    <w:rsid w:val="49E47F0A"/>
    <w:rsid w:val="4A221E06"/>
    <w:rsid w:val="4A2C05A1"/>
    <w:rsid w:val="4A487A49"/>
    <w:rsid w:val="4A563B69"/>
    <w:rsid w:val="4A661827"/>
    <w:rsid w:val="4A77137D"/>
    <w:rsid w:val="4A995804"/>
    <w:rsid w:val="4A9D3546"/>
    <w:rsid w:val="4AAA5C63"/>
    <w:rsid w:val="4AAC19DB"/>
    <w:rsid w:val="4ABE4002"/>
    <w:rsid w:val="4AD3789D"/>
    <w:rsid w:val="4AE61558"/>
    <w:rsid w:val="4AE629A4"/>
    <w:rsid w:val="4AF93679"/>
    <w:rsid w:val="4B1E0386"/>
    <w:rsid w:val="4B2B6DA4"/>
    <w:rsid w:val="4B327DA5"/>
    <w:rsid w:val="4B483ECE"/>
    <w:rsid w:val="4B4D5DE5"/>
    <w:rsid w:val="4B53713F"/>
    <w:rsid w:val="4B5918B4"/>
    <w:rsid w:val="4B5E178B"/>
    <w:rsid w:val="4B7A3887"/>
    <w:rsid w:val="4B7D53C9"/>
    <w:rsid w:val="4B85293F"/>
    <w:rsid w:val="4B902502"/>
    <w:rsid w:val="4B9B344B"/>
    <w:rsid w:val="4BA44460"/>
    <w:rsid w:val="4BDB55FA"/>
    <w:rsid w:val="4BF70A34"/>
    <w:rsid w:val="4C017B05"/>
    <w:rsid w:val="4C0849EF"/>
    <w:rsid w:val="4C125927"/>
    <w:rsid w:val="4C3A3FC8"/>
    <w:rsid w:val="4C3D55C6"/>
    <w:rsid w:val="4C520360"/>
    <w:rsid w:val="4C583BC9"/>
    <w:rsid w:val="4C667A5B"/>
    <w:rsid w:val="4C823BCA"/>
    <w:rsid w:val="4C8C73CE"/>
    <w:rsid w:val="4C9F1330"/>
    <w:rsid w:val="4CA23096"/>
    <w:rsid w:val="4CAB3457"/>
    <w:rsid w:val="4CAF57B3"/>
    <w:rsid w:val="4CD82614"/>
    <w:rsid w:val="4CEA67EB"/>
    <w:rsid w:val="4CF124C7"/>
    <w:rsid w:val="4CF70170"/>
    <w:rsid w:val="4CF907DC"/>
    <w:rsid w:val="4CFA619E"/>
    <w:rsid w:val="4CFD777A"/>
    <w:rsid w:val="4D043409"/>
    <w:rsid w:val="4D201110"/>
    <w:rsid w:val="4D3431C7"/>
    <w:rsid w:val="4D526F59"/>
    <w:rsid w:val="4D650150"/>
    <w:rsid w:val="4D7F0CE1"/>
    <w:rsid w:val="4D981DA3"/>
    <w:rsid w:val="4D9A5B1B"/>
    <w:rsid w:val="4D9C7AE5"/>
    <w:rsid w:val="4DA229B3"/>
    <w:rsid w:val="4DB35F12"/>
    <w:rsid w:val="4DE03AC2"/>
    <w:rsid w:val="4DEF02BD"/>
    <w:rsid w:val="4DFB0EC4"/>
    <w:rsid w:val="4E0336C0"/>
    <w:rsid w:val="4E0D72D8"/>
    <w:rsid w:val="4E125FF9"/>
    <w:rsid w:val="4E214868"/>
    <w:rsid w:val="4E274307"/>
    <w:rsid w:val="4E383ED6"/>
    <w:rsid w:val="4E3B5C73"/>
    <w:rsid w:val="4E560D60"/>
    <w:rsid w:val="4E564593"/>
    <w:rsid w:val="4E703F51"/>
    <w:rsid w:val="4E802F63"/>
    <w:rsid w:val="4E8A5B90"/>
    <w:rsid w:val="4E942C0A"/>
    <w:rsid w:val="4E98220D"/>
    <w:rsid w:val="4EB7399D"/>
    <w:rsid w:val="4EB96475"/>
    <w:rsid w:val="4EC372F3"/>
    <w:rsid w:val="4ECD2716"/>
    <w:rsid w:val="4ED35788"/>
    <w:rsid w:val="4EE73AF5"/>
    <w:rsid w:val="4EE84EA5"/>
    <w:rsid w:val="4EEE4AF5"/>
    <w:rsid w:val="4F0B544D"/>
    <w:rsid w:val="4F0C0C9A"/>
    <w:rsid w:val="4F165675"/>
    <w:rsid w:val="4F301FB1"/>
    <w:rsid w:val="4F473A81"/>
    <w:rsid w:val="4F4F7329"/>
    <w:rsid w:val="4F5260B5"/>
    <w:rsid w:val="4F5543EF"/>
    <w:rsid w:val="4F56624C"/>
    <w:rsid w:val="4F58224C"/>
    <w:rsid w:val="4F5A7FFE"/>
    <w:rsid w:val="4F5B752C"/>
    <w:rsid w:val="4F5F701C"/>
    <w:rsid w:val="4F8B2726"/>
    <w:rsid w:val="4F8B4457"/>
    <w:rsid w:val="4FA41146"/>
    <w:rsid w:val="4FA90297"/>
    <w:rsid w:val="4FD80B7D"/>
    <w:rsid w:val="4FDA01F8"/>
    <w:rsid w:val="4FE561E5"/>
    <w:rsid w:val="4FF221C3"/>
    <w:rsid w:val="4FF5172F"/>
    <w:rsid w:val="4FFA0634"/>
    <w:rsid w:val="500032A2"/>
    <w:rsid w:val="504E08AD"/>
    <w:rsid w:val="50575F45"/>
    <w:rsid w:val="505C4D01"/>
    <w:rsid w:val="506F4A92"/>
    <w:rsid w:val="507419FE"/>
    <w:rsid w:val="507C1E50"/>
    <w:rsid w:val="508B1CA1"/>
    <w:rsid w:val="50901457"/>
    <w:rsid w:val="509E5922"/>
    <w:rsid w:val="50A54F03"/>
    <w:rsid w:val="50AA168D"/>
    <w:rsid w:val="50AF4B30"/>
    <w:rsid w:val="50BC5CDC"/>
    <w:rsid w:val="50CA2BBB"/>
    <w:rsid w:val="50E74C38"/>
    <w:rsid w:val="50FC089B"/>
    <w:rsid w:val="50FD0D89"/>
    <w:rsid w:val="51024103"/>
    <w:rsid w:val="51025571"/>
    <w:rsid w:val="51071719"/>
    <w:rsid w:val="510819A0"/>
    <w:rsid w:val="51200E5F"/>
    <w:rsid w:val="5123009E"/>
    <w:rsid w:val="512C2CA7"/>
    <w:rsid w:val="512D289E"/>
    <w:rsid w:val="514152FB"/>
    <w:rsid w:val="51434ED1"/>
    <w:rsid w:val="514D0397"/>
    <w:rsid w:val="51595CED"/>
    <w:rsid w:val="516445A0"/>
    <w:rsid w:val="518956A9"/>
    <w:rsid w:val="521D4F6D"/>
    <w:rsid w:val="523A416D"/>
    <w:rsid w:val="52490C2A"/>
    <w:rsid w:val="5253273C"/>
    <w:rsid w:val="525505B5"/>
    <w:rsid w:val="5261544F"/>
    <w:rsid w:val="529414C0"/>
    <w:rsid w:val="52A01E26"/>
    <w:rsid w:val="52A52223"/>
    <w:rsid w:val="52B97CAE"/>
    <w:rsid w:val="52C504FB"/>
    <w:rsid w:val="52DC6BD6"/>
    <w:rsid w:val="52E13756"/>
    <w:rsid w:val="52E65840"/>
    <w:rsid w:val="52EF5C2D"/>
    <w:rsid w:val="52EF6909"/>
    <w:rsid w:val="52F47582"/>
    <w:rsid w:val="5311687F"/>
    <w:rsid w:val="531E71EE"/>
    <w:rsid w:val="5322283B"/>
    <w:rsid w:val="53230361"/>
    <w:rsid w:val="536270DB"/>
    <w:rsid w:val="5371534A"/>
    <w:rsid w:val="53720C63"/>
    <w:rsid w:val="53764934"/>
    <w:rsid w:val="537700D3"/>
    <w:rsid w:val="537A4622"/>
    <w:rsid w:val="53811681"/>
    <w:rsid w:val="538A520F"/>
    <w:rsid w:val="53933E3F"/>
    <w:rsid w:val="53AC4A7F"/>
    <w:rsid w:val="53B418CC"/>
    <w:rsid w:val="53F32910"/>
    <w:rsid w:val="53F4098D"/>
    <w:rsid w:val="53FC3AD9"/>
    <w:rsid w:val="53FE04C8"/>
    <w:rsid w:val="54206BE2"/>
    <w:rsid w:val="54297BB6"/>
    <w:rsid w:val="542B571F"/>
    <w:rsid w:val="54336DD4"/>
    <w:rsid w:val="543660C2"/>
    <w:rsid w:val="54375971"/>
    <w:rsid w:val="54453F00"/>
    <w:rsid w:val="544D196D"/>
    <w:rsid w:val="54723C7D"/>
    <w:rsid w:val="5478326E"/>
    <w:rsid w:val="547F6951"/>
    <w:rsid w:val="54854CE2"/>
    <w:rsid w:val="548965FC"/>
    <w:rsid w:val="548E5CAE"/>
    <w:rsid w:val="54905064"/>
    <w:rsid w:val="54931516"/>
    <w:rsid w:val="549F015A"/>
    <w:rsid w:val="54AF503F"/>
    <w:rsid w:val="54B25E40"/>
    <w:rsid w:val="54D730B0"/>
    <w:rsid w:val="54E812EA"/>
    <w:rsid w:val="54F76B5C"/>
    <w:rsid w:val="55020A87"/>
    <w:rsid w:val="550341FE"/>
    <w:rsid w:val="55042014"/>
    <w:rsid w:val="55210479"/>
    <w:rsid w:val="552A209A"/>
    <w:rsid w:val="55393BB8"/>
    <w:rsid w:val="55517407"/>
    <w:rsid w:val="55614C5E"/>
    <w:rsid w:val="556C5FEF"/>
    <w:rsid w:val="5572737D"/>
    <w:rsid w:val="55823A64"/>
    <w:rsid w:val="558C2621"/>
    <w:rsid w:val="55AD3652"/>
    <w:rsid w:val="55B9606B"/>
    <w:rsid w:val="55DE0E54"/>
    <w:rsid w:val="55EE4C56"/>
    <w:rsid w:val="55FF52A6"/>
    <w:rsid w:val="5633198E"/>
    <w:rsid w:val="563E5469"/>
    <w:rsid w:val="565A053D"/>
    <w:rsid w:val="566919C6"/>
    <w:rsid w:val="566C5546"/>
    <w:rsid w:val="56745BC9"/>
    <w:rsid w:val="568832FC"/>
    <w:rsid w:val="56907775"/>
    <w:rsid w:val="56C1236A"/>
    <w:rsid w:val="56CD56FA"/>
    <w:rsid w:val="56CF2CF8"/>
    <w:rsid w:val="56E34EAC"/>
    <w:rsid w:val="57016C0B"/>
    <w:rsid w:val="570203D1"/>
    <w:rsid w:val="571159E3"/>
    <w:rsid w:val="571D3ABE"/>
    <w:rsid w:val="571F6B78"/>
    <w:rsid w:val="57340D8E"/>
    <w:rsid w:val="57452F9B"/>
    <w:rsid w:val="57645BA3"/>
    <w:rsid w:val="576A1B6C"/>
    <w:rsid w:val="57805D82"/>
    <w:rsid w:val="579001D7"/>
    <w:rsid w:val="57936854"/>
    <w:rsid w:val="579848F6"/>
    <w:rsid w:val="57A22474"/>
    <w:rsid w:val="57AF0A2B"/>
    <w:rsid w:val="57C43A36"/>
    <w:rsid w:val="57F62116"/>
    <w:rsid w:val="580746F5"/>
    <w:rsid w:val="58101705"/>
    <w:rsid w:val="58335AD6"/>
    <w:rsid w:val="58346B6C"/>
    <w:rsid w:val="584265A5"/>
    <w:rsid w:val="58564D34"/>
    <w:rsid w:val="58707FAE"/>
    <w:rsid w:val="58733B38"/>
    <w:rsid w:val="58801DB1"/>
    <w:rsid w:val="58895B35"/>
    <w:rsid w:val="58906498"/>
    <w:rsid w:val="58C83D7C"/>
    <w:rsid w:val="58E7744A"/>
    <w:rsid w:val="59012EF2"/>
    <w:rsid w:val="5909370D"/>
    <w:rsid w:val="590D48EB"/>
    <w:rsid w:val="59495353"/>
    <w:rsid w:val="594B0611"/>
    <w:rsid w:val="594D4389"/>
    <w:rsid w:val="595D2922"/>
    <w:rsid w:val="59634E7E"/>
    <w:rsid w:val="597265E6"/>
    <w:rsid w:val="59943D66"/>
    <w:rsid w:val="5996188C"/>
    <w:rsid w:val="59A85569"/>
    <w:rsid w:val="59A90DF6"/>
    <w:rsid w:val="59B8686F"/>
    <w:rsid w:val="59B86AAB"/>
    <w:rsid w:val="59BF5B8E"/>
    <w:rsid w:val="59D027D3"/>
    <w:rsid w:val="59DE0C7A"/>
    <w:rsid w:val="59F04D56"/>
    <w:rsid w:val="59FD5DAF"/>
    <w:rsid w:val="5A125C89"/>
    <w:rsid w:val="5A417D7A"/>
    <w:rsid w:val="5A4C2893"/>
    <w:rsid w:val="5A4F7A61"/>
    <w:rsid w:val="5A6279C1"/>
    <w:rsid w:val="5A690D4F"/>
    <w:rsid w:val="5A852ECF"/>
    <w:rsid w:val="5A9C1659"/>
    <w:rsid w:val="5AA026B8"/>
    <w:rsid w:val="5AA116D7"/>
    <w:rsid w:val="5AAC7C87"/>
    <w:rsid w:val="5ADA1FF9"/>
    <w:rsid w:val="5AE821DA"/>
    <w:rsid w:val="5AED557F"/>
    <w:rsid w:val="5AF20641"/>
    <w:rsid w:val="5AFD1904"/>
    <w:rsid w:val="5B1552F3"/>
    <w:rsid w:val="5B2B4256"/>
    <w:rsid w:val="5B2C0607"/>
    <w:rsid w:val="5B3034F1"/>
    <w:rsid w:val="5B424CC5"/>
    <w:rsid w:val="5B4672E2"/>
    <w:rsid w:val="5B57504B"/>
    <w:rsid w:val="5B63362E"/>
    <w:rsid w:val="5B755268"/>
    <w:rsid w:val="5B7B51DE"/>
    <w:rsid w:val="5B88241C"/>
    <w:rsid w:val="5B90055D"/>
    <w:rsid w:val="5B9C2FC5"/>
    <w:rsid w:val="5BA54987"/>
    <w:rsid w:val="5BA65FD3"/>
    <w:rsid w:val="5BC86521"/>
    <w:rsid w:val="5BDC51D2"/>
    <w:rsid w:val="5BDE39BF"/>
    <w:rsid w:val="5C082709"/>
    <w:rsid w:val="5C11169E"/>
    <w:rsid w:val="5C14060C"/>
    <w:rsid w:val="5C180F45"/>
    <w:rsid w:val="5C182A2D"/>
    <w:rsid w:val="5C2E582C"/>
    <w:rsid w:val="5C4C1E77"/>
    <w:rsid w:val="5C7639BC"/>
    <w:rsid w:val="5C981DBF"/>
    <w:rsid w:val="5CA13925"/>
    <w:rsid w:val="5CBC5AAE"/>
    <w:rsid w:val="5CD12F06"/>
    <w:rsid w:val="5CD85C43"/>
    <w:rsid w:val="5CF7084F"/>
    <w:rsid w:val="5D02548B"/>
    <w:rsid w:val="5D0273FA"/>
    <w:rsid w:val="5D147937"/>
    <w:rsid w:val="5D1634FA"/>
    <w:rsid w:val="5D2733FE"/>
    <w:rsid w:val="5D2A0341"/>
    <w:rsid w:val="5D521F6E"/>
    <w:rsid w:val="5D614E5A"/>
    <w:rsid w:val="5D7A4EBD"/>
    <w:rsid w:val="5D7B2AFB"/>
    <w:rsid w:val="5D9D4948"/>
    <w:rsid w:val="5DA07441"/>
    <w:rsid w:val="5DAB5B22"/>
    <w:rsid w:val="5DC34C1A"/>
    <w:rsid w:val="5DC664B8"/>
    <w:rsid w:val="5DCD5EDE"/>
    <w:rsid w:val="5DDB01B6"/>
    <w:rsid w:val="5DDD01B0"/>
    <w:rsid w:val="5DE227D8"/>
    <w:rsid w:val="5DEE4FE1"/>
    <w:rsid w:val="5E040F9B"/>
    <w:rsid w:val="5E163DAD"/>
    <w:rsid w:val="5E18199F"/>
    <w:rsid w:val="5E276BBA"/>
    <w:rsid w:val="5E4A34BA"/>
    <w:rsid w:val="5E5166CA"/>
    <w:rsid w:val="5E572B7B"/>
    <w:rsid w:val="5E622685"/>
    <w:rsid w:val="5E6230CD"/>
    <w:rsid w:val="5E837070"/>
    <w:rsid w:val="5E916EEA"/>
    <w:rsid w:val="5EB629D1"/>
    <w:rsid w:val="5ED929BD"/>
    <w:rsid w:val="5EE004CC"/>
    <w:rsid w:val="5EEF44C3"/>
    <w:rsid w:val="5EF64B87"/>
    <w:rsid w:val="5EFE24CD"/>
    <w:rsid w:val="5F1E02ED"/>
    <w:rsid w:val="5F5335CE"/>
    <w:rsid w:val="5F5F0972"/>
    <w:rsid w:val="5F6123D2"/>
    <w:rsid w:val="5F6E604F"/>
    <w:rsid w:val="5F781A34"/>
    <w:rsid w:val="5F7C6175"/>
    <w:rsid w:val="5F8C113D"/>
    <w:rsid w:val="5F9E149B"/>
    <w:rsid w:val="5F9E76ED"/>
    <w:rsid w:val="5FA55B60"/>
    <w:rsid w:val="5FB55859"/>
    <w:rsid w:val="5FEE6A48"/>
    <w:rsid w:val="6028198E"/>
    <w:rsid w:val="602C2F4B"/>
    <w:rsid w:val="60457B68"/>
    <w:rsid w:val="605C4EB2"/>
    <w:rsid w:val="6060214E"/>
    <w:rsid w:val="6071387E"/>
    <w:rsid w:val="608C5797"/>
    <w:rsid w:val="60932B78"/>
    <w:rsid w:val="60B1182C"/>
    <w:rsid w:val="60B54E5F"/>
    <w:rsid w:val="60B60A66"/>
    <w:rsid w:val="60D67EB5"/>
    <w:rsid w:val="60E72435"/>
    <w:rsid w:val="60F12408"/>
    <w:rsid w:val="60F915AE"/>
    <w:rsid w:val="61085853"/>
    <w:rsid w:val="611834CF"/>
    <w:rsid w:val="61186844"/>
    <w:rsid w:val="61196AEE"/>
    <w:rsid w:val="611D2893"/>
    <w:rsid w:val="612015DC"/>
    <w:rsid w:val="6138147B"/>
    <w:rsid w:val="613D3456"/>
    <w:rsid w:val="61482832"/>
    <w:rsid w:val="615C785F"/>
    <w:rsid w:val="6161246C"/>
    <w:rsid w:val="617901B4"/>
    <w:rsid w:val="617A09D3"/>
    <w:rsid w:val="617A6407"/>
    <w:rsid w:val="617E2BD9"/>
    <w:rsid w:val="619C7C5C"/>
    <w:rsid w:val="61A66D2D"/>
    <w:rsid w:val="61A92379"/>
    <w:rsid w:val="61AB7F4F"/>
    <w:rsid w:val="61BA27D8"/>
    <w:rsid w:val="61BC7327"/>
    <w:rsid w:val="61D513C0"/>
    <w:rsid w:val="61F12BA4"/>
    <w:rsid w:val="61FC795F"/>
    <w:rsid w:val="62035F2D"/>
    <w:rsid w:val="62265778"/>
    <w:rsid w:val="622A0453"/>
    <w:rsid w:val="62347E94"/>
    <w:rsid w:val="62554D7B"/>
    <w:rsid w:val="62782477"/>
    <w:rsid w:val="62870321"/>
    <w:rsid w:val="6287090C"/>
    <w:rsid w:val="62892F39"/>
    <w:rsid w:val="62A52639"/>
    <w:rsid w:val="62C313EC"/>
    <w:rsid w:val="62C751AC"/>
    <w:rsid w:val="62D2532D"/>
    <w:rsid w:val="62D32926"/>
    <w:rsid w:val="62E775FD"/>
    <w:rsid w:val="62EB1C80"/>
    <w:rsid w:val="62F11E84"/>
    <w:rsid w:val="6306529F"/>
    <w:rsid w:val="631D7704"/>
    <w:rsid w:val="63224191"/>
    <w:rsid w:val="632B7CB6"/>
    <w:rsid w:val="632C5010"/>
    <w:rsid w:val="632D6A8C"/>
    <w:rsid w:val="63326075"/>
    <w:rsid w:val="63577595"/>
    <w:rsid w:val="636D1281"/>
    <w:rsid w:val="63921C8F"/>
    <w:rsid w:val="63974B7F"/>
    <w:rsid w:val="639F7B81"/>
    <w:rsid w:val="63A252D2"/>
    <w:rsid w:val="63BE7F46"/>
    <w:rsid w:val="63C546CA"/>
    <w:rsid w:val="63D43500"/>
    <w:rsid w:val="63E36016"/>
    <w:rsid w:val="64177A6E"/>
    <w:rsid w:val="64191A38"/>
    <w:rsid w:val="64463885"/>
    <w:rsid w:val="6468651B"/>
    <w:rsid w:val="646C6942"/>
    <w:rsid w:val="64754C21"/>
    <w:rsid w:val="648101EB"/>
    <w:rsid w:val="648F5856"/>
    <w:rsid w:val="64966BE4"/>
    <w:rsid w:val="64C649E5"/>
    <w:rsid w:val="64C971FC"/>
    <w:rsid w:val="64D17A33"/>
    <w:rsid w:val="64E536C8"/>
    <w:rsid w:val="6507446B"/>
    <w:rsid w:val="651F176C"/>
    <w:rsid w:val="651F307E"/>
    <w:rsid w:val="65243799"/>
    <w:rsid w:val="653730AD"/>
    <w:rsid w:val="65473BE4"/>
    <w:rsid w:val="654823B1"/>
    <w:rsid w:val="65670581"/>
    <w:rsid w:val="656E5DB3"/>
    <w:rsid w:val="658B7760"/>
    <w:rsid w:val="659514FA"/>
    <w:rsid w:val="65A71B0C"/>
    <w:rsid w:val="65AC2438"/>
    <w:rsid w:val="65B4203E"/>
    <w:rsid w:val="65BE6761"/>
    <w:rsid w:val="65C562C1"/>
    <w:rsid w:val="65DA30E2"/>
    <w:rsid w:val="65DC0944"/>
    <w:rsid w:val="65EB1B83"/>
    <w:rsid w:val="65EE7177"/>
    <w:rsid w:val="65FC3D56"/>
    <w:rsid w:val="660A61FF"/>
    <w:rsid w:val="6635457B"/>
    <w:rsid w:val="663B78CC"/>
    <w:rsid w:val="665E1984"/>
    <w:rsid w:val="66645598"/>
    <w:rsid w:val="66713242"/>
    <w:rsid w:val="66A57E71"/>
    <w:rsid w:val="66B75538"/>
    <w:rsid w:val="66BD4460"/>
    <w:rsid w:val="66C7577B"/>
    <w:rsid w:val="66D47A94"/>
    <w:rsid w:val="66E4759D"/>
    <w:rsid w:val="674B4F4A"/>
    <w:rsid w:val="674E19F8"/>
    <w:rsid w:val="67656D42"/>
    <w:rsid w:val="676A3DA6"/>
    <w:rsid w:val="676C1E7F"/>
    <w:rsid w:val="67773A51"/>
    <w:rsid w:val="679805D8"/>
    <w:rsid w:val="67BC3FEE"/>
    <w:rsid w:val="67CA7544"/>
    <w:rsid w:val="67D35A63"/>
    <w:rsid w:val="67D477F8"/>
    <w:rsid w:val="67F24A7A"/>
    <w:rsid w:val="67F325A0"/>
    <w:rsid w:val="67FF7C3A"/>
    <w:rsid w:val="68016A6B"/>
    <w:rsid w:val="6829477F"/>
    <w:rsid w:val="682F4FA9"/>
    <w:rsid w:val="68310698"/>
    <w:rsid w:val="68323C50"/>
    <w:rsid w:val="685A617B"/>
    <w:rsid w:val="686332F5"/>
    <w:rsid w:val="68646588"/>
    <w:rsid w:val="686E1C26"/>
    <w:rsid w:val="688232C2"/>
    <w:rsid w:val="68843A78"/>
    <w:rsid w:val="68996CA3"/>
    <w:rsid w:val="689F0599"/>
    <w:rsid w:val="68B43376"/>
    <w:rsid w:val="68B7537B"/>
    <w:rsid w:val="68DC3034"/>
    <w:rsid w:val="68DC4DE2"/>
    <w:rsid w:val="68F053F6"/>
    <w:rsid w:val="68F14D31"/>
    <w:rsid w:val="68F43A1E"/>
    <w:rsid w:val="69085BD7"/>
    <w:rsid w:val="69145603"/>
    <w:rsid w:val="69423186"/>
    <w:rsid w:val="69432BE1"/>
    <w:rsid w:val="694D728A"/>
    <w:rsid w:val="69594684"/>
    <w:rsid w:val="6988057F"/>
    <w:rsid w:val="699906A2"/>
    <w:rsid w:val="69A973BA"/>
    <w:rsid w:val="69AC12C2"/>
    <w:rsid w:val="69C411D0"/>
    <w:rsid w:val="69C62FFA"/>
    <w:rsid w:val="69D16911"/>
    <w:rsid w:val="69D501AF"/>
    <w:rsid w:val="69D86C6D"/>
    <w:rsid w:val="69E4001D"/>
    <w:rsid w:val="69FA48D7"/>
    <w:rsid w:val="69FF347E"/>
    <w:rsid w:val="6A0D6DC9"/>
    <w:rsid w:val="6A2B6021"/>
    <w:rsid w:val="6A4A19BA"/>
    <w:rsid w:val="6A564EBF"/>
    <w:rsid w:val="6A645FFB"/>
    <w:rsid w:val="6A6A2D90"/>
    <w:rsid w:val="6A701056"/>
    <w:rsid w:val="6A7A24EF"/>
    <w:rsid w:val="6A7E361E"/>
    <w:rsid w:val="6A9A2282"/>
    <w:rsid w:val="6ABB292C"/>
    <w:rsid w:val="6AC46CE5"/>
    <w:rsid w:val="6ACD0D45"/>
    <w:rsid w:val="6ACF10A2"/>
    <w:rsid w:val="6AE82164"/>
    <w:rsid w:val="6AEA4CF9"/>
    <w:rsid w:val="6AEA7C8A"/>
    <w:rsid w:val="6AF1726A"/>
    <w:rsid w:val="6AFE0C80"/>
    <w:rsid w:val="6B144D07"/>
    <w:rsid w:val="6B2A0779"/>
    <w:rsid w:val="6B2B1D80"/>
    <w:rsid w:val="6B3D3548"/>
    <w:rsid w:val="6B664EB6"/>
    <w:rsid w:val="6B841E8D"/>
    <w:rsid w:val="6BA87D31"/>
    <w:rsid w:val="6BB72998"/>
    <w:rsid w:val="6BBC73BD"/>
    <w:rsid w:val="6BC066B1"/>
    <w:rsid w:val="6BC8789F"/>
    <w:rsid w:val="6BEE37AA"/>
    <w:rsid w:val="6C0B1660"/>
    <w:rsid w:val="6C164AAF"/>
    <w:rsid w:val="6C256AA0"/>
    <w:rsid w:val="6C2C7E2E"/>
    <w:rsid w:val="6C523D39"/>
    <w:rsid w:val="6C533915"/>
    <w:rsid w:val="6C5506F2"/>
    <w:rsid w:val="6C7F31BE"/>
    <w:rsid w:val="6C8859AD"/>
    <w:rsid w:val="6CD91C0E"/>
    <w:rsid w:val="6CE01353"/>
    <w:rsid w:val="6CEA7AAC"/>
    <w:rsid w:val="6CF35CFC"/>
    <w:rsid w:val="6CF546C4"/>
    <w:rsid w:val="6CFA25E1"/>
    <w:rsid w:val="6CFE5C6F"/>
    <w:rsid w:val="6D2553A0"/>
    <w:rsid w:val="6D3F29A1"/>
    <w:rsid w:val="6D651DF3"/>
    <w:rsid w:val="6D6A3304"/>
    <w:rsid w:val="6D8D0DA1"/>
    <w:rsid w:val="6D995916"/>
    <w:rsid w:val="6D9E263C"/>
    <w:rsid w:val="6DB8406F"/>
    <w:rsid w:val="6DC26C9C"/>
    <w:rsid w:val="6DD658EE"/>
    <w:rsid w:val="6DDD6E36"/>
    <w:rsid w:val="6DEC1C21"/>
    <w:rsid w:val="6E152319"/>
    <w:rsid w:val="6E3B0BAF"/>
    <w:rsid w:val="6E3E0629"/>
    <w:rsid w:val="6E45554E"/>
    <w:rsid w:val="6E501AEB"/>
    <w:rsid w:val="6E7C11B5"/>
    <w:rsid w:val="6E7C32EF"/>
    <w:rsid w:val="6E7F556F"/>
    <w:rsid w:val="6E997C25"/>
    <w:rsid w:val="6E9F07E1"/>
    <w:rsid w:val="6EA14A30"/>
    <w:rsid w:val="6EA42846"/>
    <w:rsid w:val="6EB6105A"/>
    <w:rsid w:val="6EBA00D3"/>
    <w:rsid w:val="6EBD1212"/>
    <w:rsid w:val="6EC629FF"/>
    <w:rsid w:val="6EC7282F"/>
    <w:rsid w:val="6EC922AC"/>
    <w:rsid w:val="6ED21161"/>
    <w:rsid w:val="6F1C104C"/>
    <w:rsid w:val="6F255735"/>
    <w:rsid w:val="6F26499B"/>
    <w:rsid w:val="6F2F3282"/>
    <w:rsid w:val="6F467459"/>
    <w:rsid w:val="6F587A8E"/>
    <w:rsid w:val="6F5A7044"/>
    <w:rsid w:val="6F5D5506"/>
    <w:rsid w:val="6F600C59"/>
    <w:rsid w:val="6F7E2770"/>
    <w:rsid w:val="6F7F4719"/>
    <w:rsid w:val="6F800BBD"/>
    <w:rsid w:val="6F8776A7"/>
    <w:rsid w:val="6F8B4A66"/>
    <w:rsid w:val="6F957D21"/>
    <w:rsid w:val="6FA57C2A"/>
    <w:rsid w:val="6FC8405E"/>
    <w:rsid w:val="6FD175F7"/>
    <w:rsid w:val="6FD26F3F"/>
    <w:rsid w:val="6FD95378"/>
    <w:rsid w:val="6FEA24DA"/>
    <w:rsid w:val="6FF23B80"/>
    <w:rsid w:val="6FF670D1"/>
    <w:rsid w:val="70180DF5"/>
    <w:rsid w:val="701B6B38"/>
    <w:rsid w:val="703C1CAA"/>
    <w:rsid w:val="703E1108"/>
    <w:rsid w:val="704B7EBD"/>
    <w:rsid w:val="705B0CE2"/>
    <w:rsid w:val="7073427E"/>
    <w:rsid w:val="707F7FC1"/>
    <w:rsid w:val="70830694"/>
    <w:rsid w:val="7092075C"/>
    <w:rsid w:val="70AF49AD"/>
    <w:rsid w:val="70E234A9"/>
    <w:rsid w:val="70F257E2"/>
    <w:rsid w:val="712D7A96"/>
    <w:rsid w:val="71334F8E"/>
    <w:rsid w:val="713C2BF3"/>
    <w:rsid w:val="71526589"/>
    <w:rsid w:val="715517E0"/>
    <w:rsid w:val="71682CDB"/>
    <w:rsid w:val="717C301D"/>
    <w:rsid w:val="718B55F7"/>
    <w:rsid w:val="719E17CE"/>
    <w:rsid w:val="71AC3CA8"/>
    <w:rsid w:val="71E67530"/>
    <w:rsid w:val="71F27DA7"/>
    <w:rsid w:val="71F552A8"/>
    <w:rsid w:val="71FB09CF"/>
    <w:rsid w:val="71FD3369"/>
    <w:rsid w:val="7208350E"/>
    <w:rsid w:val="72264502"/>
    <w:rsid w:val="72332BB4"/>
    <w:rsid w:val="723358B2"/>
    <w:rsid w:val="72363B93"/>
    <w:rsid w:val="72366F69"/>
    <w:rsid w:val="72534367"/>
    <w:rsid w:val="72546CCC"/>
    <w:rsid w:val="72571A57"/>
    <w:rsid w:val="72981E43"/>
    <w:rsid w:val="729D3834"/>
    <w:rsid w:val="729F57FE"/>
    <w:rsid w:val="72A66B8C"/>
    <w:rsid w:val="72AD5CE4"/>
    <w:rsid w:val="72BB344D"/>
    <w:rsid w:val="72BD396A"/>
    <w:rsid w:val="72EA334F"/>
    <w:rsid w:val="72ED47BB"/>
    <w:rsid w:val="730B241D"/>
    <w:rsid w:val="7325797A"/>
    <w:rsid w:val="734C24BD"/>
    <w:rsid w:val="734D525A"/>
    <w:rsid w:val="7357002D"/>
    <w:rsid w:val="73576104"/>
    <w:rsid w:val="7358775B"/>
    <w:rsid w:val="737A3B75"/>
    <w:rsid w:val="73815738"/>
    <w:rsid w:val="738B18DE"/>
    <w:rsid w:val="739F3A97"/>
    <w:rsid w:val="73AF1694"/>
    <w:rsid w:val="73B673EF"/>
    <w:rsid w:val="73BC5F3C"/>
    <w:rsid w:val="73F02366"/>
    <w:rsid w:val="7419338E"/>
    <w:rsid w:val="742254DD"/>
    <w:rsid w:val="7437180D"/>
    <w:rsid w:val="74391D4B"/>
    <w:rsid w:val="74483CFE"/>
    <w:rsid w:val="744B0DA7"/>
    <w:rsid w:val="744D3074"/>
    <w:rsid w:val="74624CC6"/>
    <w:rsid w:val="746A5AD3"/>
    <w:rsid w:val="74723306"/>
    <w:rsid w:val="747A2CC8"/>
    <w:rsid w:val="747F3641"/>
    <w:rsid w:val="74B579B7"/>
    <w:rsid w:val="74B9011A"/>
    <w:rsid w:val="74BB7061"/>
    <w:rsid w:val="74BD640F"/>
    <w:rsid w:val="74CE3EB2"/>
    <w:rsid w:val="74E0065A"/>
    <w:rsid w:val="74E82D21"/>
    <w:rsid w:val="74EF5E2E"/>
    <w:rsid w:val="74F82FA3"/>
    <w:rsid w:val="750E03C1"/>
    <w:rsid w:val="751C6251"/>
    <w:rsid w:val="751E470B"/>
    <w:rsid w:val="753D7B6A"/>
    <w:rsid w:val="754026A2"/>
    <w:rsid w:val="75404391"/>
    <w:rsid w:val="754226B0"/>
    <w:rsid w:val="75662603"/>
    <w:rsid w:val="75670772"/>
    <w:rsid w:val="757A60AE"/>
    <w:rsid w:val="757C44C8"/>
    <w:rsid w:val="759A09C5"/>
    <w:rsid w:val="75A6427E"/>
    <w:rsid w:val="75B243A7"/>
    <w:rsid w:val="75CA0DE4"/>
    <w:rsid w:val="75DE6DB1"/>
    <w:rsid w:val="75E1612D"/>
    <w:rsid w:val="75E572CF"/>
    <w:rsid w:val="75FB07A2"/>
    <w:rsid w:val="761375E4"/>
    <w:rsid w:val="7621477C"/>
    <w:rsid w:val="76217478"/>
    <w:rsid w:val="763C572C"/>
    <w:rsid w:val="765608C9"/>
    <w:rsid w:val="7666354F"/>
    <w:rsid w:val="766B6ECD"/>
    <w:rsid w:val="76855EB9"/>
    <w:rsid w:val="768A26FB"/>
    <w:rsid w:val="7692691E"/>
    <w:rsid w:val="76996365"/>
    <w:rsid w:val="769A10D0"/>
    <w:rsid w:val="76A07D97"/>
    <w:rsid w:val="76C2349E"/>
    <w:rsid w:val="76CB35EC"/>
    <w:rsid w:val="76CE66B2"/>
    <w:rsid w:val="76D054CE"/>
    <w:rsid w:val="77040C67"/>
    <w:rsid w:val="770B16B4"/>
    <w:rsid w:val="77112A42"/>
    <w:rsid w:val="77260AF8"/>
    <w:rsid w:val="773B587C"/>
    <w:rsid w:val="774271F2"/>
    <w:rsid w:val="77453760"/>
    <w:rsid w:val="774845AD"/>
    <w:rsid w:val="774E4E52"/>
    <w:rsid w:val="77653D55"/>
    <w:rsid w:val="776A7D9F"/>
    <w:rsid w:val="77734AD9"/>
    <w:rsid w:val="77767106"/>
    <w:rsid w:val="777C7EBC"/>
    <w:rsid w:val="778B45A3"/>
    <w:rsid w:val="77A25449"/>
    <w:rsid w:val="77AB2363"/>
    <w:rsid w:val="77F3466D"/>
    <w:rsid w:val="780127F5"/>
    <w:rsid w:val="7822274B"/>
    <w:rsid w:val="7840608D"/>
    <w:rsid w:val="78494C44"/>
    <w:rsid w:val="78594455"/>
    <w:rsid w:val="78786AB3"/>
    <w:rsid w:val="78882890"/>
    <w:rsid w:val="78911745"/>
    <w:rsid w:val="78955947"/>
    <w:rsid w:val="78AA588F"/>
    <w:rsid w:val="78B065B0"/>
    <w:rsid w:val="78B83176"/>
    <w:rsid w:val="78BB7662"/>
    <w:rsid w:val="78C33E4A"/>
    <w:rsid w:val="7901119D"/>
    <w:rsid w:val="790D3EA5"/>
    <w:rsid w:val="791B2495"/>
    <w:rsid w:val="791D2A50"/>
    <w:rsid w:val="79366F18"/>
    <w:rsid w:val="79393B8B"/>
    <w:rsid w:val="79432736"/>
    <w:rsid w:val="794C7D62"/>
    <w:rsid w:val="795B1D53"/>
    <w:rsid w:val="79660E81"/>
    <w:rsid w:val="797940FE"/>
    <w:rsid w:val="79813945"/>
    <w:rsid w:val="79AA4A14"/>
    <w:rsid w:val="79B17BC5"/>
    <w:rsid w:val="79B63FC9"/>
    <w:rsid w:val="79DE02DD"/>
    <w:rsid w:val="79E07E40"/>
    <w:rsid w:val="79EB5D1B"/>
    <w:rsid w:val="79F71A7C"/>
    <w:rsid w:val="79FC52E4"/>
    <w:rsid w:val="79FC6182"/>
    <w:rsid w:val="79FD2E0A"/>
    <w:rsid w:val="7A0A6F4F"/>
    <w:rsid w:val="7A1A1C0E"/>
    <w:rsid w:val="7A456F6D"/>
    <w:rsid w:val="7A5F16CA"/>
    <w:rsid w:val="7A710D8E"/>
    <w:rsid w:val="7AAA2F92"/>
    <w:rsid w:val="7AB1300F"/>
    <w:rsid w:val="7AB64E52"/>
    <w:rsid w:val="7ADA0EA4"/>
    <w:rsid w:val="7AE75FBC"/>
    <w:rsid w:val="7AFC56DC"/>
    <w:rsid w:val="7B073F40"/>
    <w:rsid w:val="7B0D3216"/>
    <w:rsid w:val="7B345398"/>
    <w:rsid w:val="7B355131"/>
    <w:rsid w:val="7B4F7695"/>
    <w:rsid w:val="7B590C27"/>
    <w:rsid w:val="7B615D46"/>
    <w:rsid w:val="7B6C5EAB"/>
    <w:rsid w:val="7B7814A8"/>
    <w:rsid w:val="7B861DF2"/>
    <w:rsid w:val="7BA33013"/>
    <w:rsid w:val="7BD209F2"/>
    <w:rsid w:val="7BF702E8"/>
    <w:rsid w:val="7BFA0FA5"/>
    <w:rsid w:val="7BFE2BF5"/>
    <w:rsid w:val="7C0B3F04"/>
    <w:rsid w:val="7C134B67"/>
    <w:rsid w:val="7C162A9E"/>
    <w:rsid w:val="7C177BEA"/>
    <w:rsid w:val="7C1903CF"/>
    <w:rsid w:val="7C1D1542"/>
    <w:rsid w:val="7C206AB7"/>
    <w:rsid w:val="7C8646F6"/>
    <w:rsid w:val="7C876A78"/>
    <w:rsid w:val="7C9B46D0"/>
    <w:rsid w:val="7CA3413D"/>
    <w:rsid w:val="7CA95B93"/>
    <w:rsid w:val="7CBC0850"/>
    <w:rsid w:val="7CD3681B"/>
    <w:rsid w:val="7CD9190C"/>
    <w:rsid w:val="7CD97B5E"/>
    <w:rsid w:val="7CF20DD2"/>
    <w:rsid w:val="7CFF7134"/>
    <w:rsid w:val="7D0D49BE"/>
    <w:rsid w:val="7D8603E2"/>
    <w:rsid w:val="7D9C553A"/>
    <w:rsid w:val="7DC9372F"/>
    <w:rsid w:val="7DD0508B"/>
    <w:rsid w:val="7DE4119D"/>
    <w:rsid w:val="7DEE5B58"/>
    <w:rsid w:val="7E0B1390"/>
    <w:rsid w:val="7E1470DA"/>
    <w:rsid w:val="7E2B13AE"/>
    <w:rsid w:val="7E321DB6"/>
    <w:rsid w:val="7E53749D"/>
    <w:rsid w:val="7E5C45A3"/>
    <w:rsid w:val="7E6B2A38"/>
    <w:rsid w:val="7EA224D8"/>
    <w:rsid w:val="7ED03245"/>
    <w:rsid w:val="7ED25E9B"/>
    <w:rsid w:val="7ED37D6E"/>
    <w:rsid w:val="7F2F7F0A"/>
    <w:rsid w:val="7F7D2EBD"/>
    <w:rsid w:val="7F8846F0"/>
    <w:rsid w:val="7FA73F44"/>
    <w:rsid w:val="7FAD2052"/>
    <w:rsid w:val="7FB0411E"/>
    <w:rsid w:val="7FCA5021"/>
    <w:rsid w:val="7FEA3B6F"/>
    <w:rsid w:val="7FEE5147"/>
    <w:rsid w:val="7FF32CE5"/>
    <w:rsid w:val="BAFFAB79"/>
    <w:rsid w:val="DBEED555"/>
  </w:rsids>
  <m:mathPr>
    <m:brkBin m:val="before"/>
    <m:brkBinSub m:val="--"/>
    <m:smallFrac m:val="0"/>
    <m:dispDef/>
    <m:lMargin m:val="0"/>
    <m:rMargin m:val="0"/>
    <m:defJc m:val="centerGroup"/>
    <m:wrapIndent m:val="1440"/>
    <m:intLim m:val="subSup"/>
    <m:naryLim m:val="undOvr"/>
  </m:mathPr>
  <w:themeFontLang w:val="zh-CN" w:eastAsia="zh-CN" w:bidi="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1" w:semiHidden="0" w:name="heading 1"/>
    <w:lsdException w:qFormat="1" w:unhideWhenUsed="0" w:uiPriority="1" w:semiHidden="0" w:name="heading 2"/>
    <w:lsdException w:qFormat="1" w:unhideWhenUsed="0" w:uiPriority="1" w:semiHidden="0" w:name="heading 3"/>
    <w:lsdException w:qFormat="1" w:unhideWhenUsed="0" w:uiPriority="1" w:semiHidden="0" w:name="heading 4"/>
    <w:lsdException w:qFormat="1" w:unhideWhenUsed="0" w:uiPriority="1"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suppressAutoHyphens/>
      <w:bidi w:val="0"/>
      <w:spacing w:before="0" w:after="0"/>
      <w:jc w:val="left"/>
    </w:pPr>
    <w:rPr>
      <w:rFonts w:ascii="Arial Unicode MS" w:hAnsi="Arial Unicode MS" w:eastAsia="Arial Unicode MS" w:cs="Arial Unicode MS"/>
      <w:color w:val="auto"/>
      <w:kern w:val="0"/>
      <w:sz w:val="22"/>
      <w:szCs w:val="22"/>
      <w:lang w:val="zh-CN" w:eastAsia="zh-CN" w:bidi="zh-CN"/>
    </w:rPr>
  </w:style>
  <w:style w:type="paragraph" w:styleId="2">
    <w:name w:val="heading 1"/>
    <w:basedOn w:val="1"/>
    <w:next w:val="1"/>
    <w:qFormat/>
    <w:uiPriority w:val="1"/>
    <w:pPr>
      <w:ind w:left="-40" w:firstLine="0"/>
      <w:outlineLvl w:val="0"/>
    </w:pPr>
    <w:rPr>
      <w:sz w:val="52"/>
      <w:szCs w:val="52"/>
    </w:rPr>
  </w:style>
  <w:style w:type="paragraph" w:styleId="3">
    <w:name w:val="heading 2"/>
    <w:basedOn w:val="1"/>
    <w:next w:val="1"/>
    <w:qFormat/>
    <w:uiPriority w:val="1"/>
    <w:pPr>
      <w:ind w:right="18" w:firstLine="0"/>
      <w:jc w:val="center"/>
      <w:outlineLvl w:val="1"/>
    </w:pPr>
    <w:rPr>
      <w:sz w:val="44"/>
      <w:szCs w:val="44"/>
    </w:rPr>
  </w:style>
  <w:style w:type="paragraph" w:styleId="4">
    <w:name w:val="heading 3"/>
    <w:basedOn w:val="1"/>
    <w:next w:val="1"/>
    <w:qFormat/>
    <w:uiPriority w:val="1"/>
    <w:pPr>
      <w:ind w:left="1" w:firstLine="0"/>
      <w:jc w:val="center"/>
      <w:outlineLvl w:val="2"/>
    </w:pPr>
    <w:rPr>
      <w:sz w:val="40"/>
      <w:szCs w:val="40"/>
    </w:rPr>
  </w:style>
  <w:style w:type="paragraph" w:styleId="5">
    <w:name w:val="heading 4"/>
    <w:basedOn w:val="1"/>
    <w:next w:val="1"/>
    <w:qFormat/>
    <w:uiPriority w:val="1"/>
    <w:pPr>
      <w:jc w:val="center"/>
      <w:outlineLvl w:val="3"/>
    </w:pPr>
    <w:rPr>
      <w:sz w:val="36"/>
      <w:szCs w:val="36"/>
    </w:rPr>
  </w:style>
  <w:style w:type="paragraph" w:styleId="6">
    <w:name w:val="heading 5"/>
    <w:basedOn w:val="1"/>
    <w:next w:val="1"/>
    <w:qFormat/>
    <w:uiPriority w:val="1"/>
    <w:pPr>
      <w:ind w:left="112" w:firstLine="0"/>
      <w:outlineLvl w:val="4"/>
    </w:pPr>
    <w:rPr>
      <w:sz w:val="33"/>
      <w:szCs w:val="33"/>
    </w:rPr>
  </w:style>
  <w:style w:type="character" w:default="1" w:styleId="14">
    <w:name w:val="Default Paragraph Font"/>
    <w:unhideWhenUsed/>
    <w:qFormat/>
    <w:uiPriority w:val="1"/>
  </w:style>
  <w:style w:type="table" w:default="1" w:styleId="12">
    <w:name w:val="Normal Table"/>
    <w:unhideWhenUsed/>
    <w:qFormat/>
    <w:uiPriority w:val="99"/>
    <w:tblPr>
      <w:tblCellMar>
        <w:top w:w="0" w:type="dxa"/>
        <w:left w:w="108" w:type="dxa"/>
        <w:bottom w:w="0" w:type="dxa"/>
        <w:right w:w="108" w:type="dxa"/>
      </w:tblCellMar>
    </w:tblPr>
  </w:style>
  <w:style w:type="paragraph" w:styleId="7">
    <w:name w:val="caption"/>
    <w:basedOn w:val="1"/>
    <w:next w:val="1"/>
    <w:qFormat/>
    <w:uiPriority w:val="0"/>
    <w:pPr>
      <w:suppressLineNumbers/>
      <w:spacing w:before="120" w:after="120"/>
    </w:pPr>
    <w:rPr>
      <w:i/>
      <w:iCs/>
      <w:sz w:val="24"/>
      <w:szCs w:val="24"/>
    </w:rPr>
  </w:style>
  <w:style w:type="paragraph" w:styleId="8">
    <w:name w:val="Body Text"/>
    <w:basedOn w:val="1"/>
    <w:qFormat/>
    <w:uiPriority w:val="1"/>
    <w:rPr>
      <w:sz w:val="32"/>
      <w:szCs w:val="32"/>
    </w:rPr>
  </w:style>
  <w:style w:type="paragraph" w:styleId="9">
    <w:name w:val="footer"/>
    <w:basedOn w:val="1"/>
    <w:qFormat/>
    <w:uiPriority w:val="0"/>
    <w:pPr>
      <w:tabs>
        <w:tab w:val="center" w:pos="4153"/>
        <w:tab w:val="right" w:pos="8306"/>
      </w:tabs>
      <w:snapToGrid w:val="0"/>
    </w:pPr>
    <w:rPr>
      <w:sz w:val="18"/>
      <w:szCs w:val="18"/>
    </w:rPr>
  </w:style>
  <w:style w:type="paragraph" w:styleId="10">
    <w:name w:val="header"/>
    <w:basedOn w:val="1"/>
    <w:qFormat/>
    <w:uiPriority w:val="0"/>
    <w:pPr>
      <w:pBdr>
        <w:bottom w:val="single" w:color="000000" w:sz="6" w:space="1"/>
      </w:pBdr>
      <w:tabs>
        <w:tab w:val="center" w:pos="4153"/>
        <w:tab w:val="right" w:pos="8306"/>
      </w:tabs>
      <w:snapToGrid w:val="0"/>
      <w:jc w:val="center"/>
    </w:pPr>
    <w:rPr>
      <w:sz w:val="18"/>
      <w:szCs w:val="18"/>
    </w:rPr>
  </w:style>
  <w:style w:type="paragraph" w:styleId="11">
    <w:name w:val="List"/>
    <w:basedOn w:val="8"/>
    <w:qFormat/>
    <w:uiPriority w:val="0"/>
  </w:style>
  <w:style w:type="table" w:styleId="13">
    <w:name w:val="Table Grid"/>
    <w:basedOn w:val="1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15">
    <w:name w:val="编号符号"/>
    <w:qFormat/>
    <w:uiPriority w:val="0"/>
  </w:style>
  <w:style w:type="character" w:customStyle="1" w:styleId="16">
    <w:name w:val="页眉 字符"/>
    <w:basedOn w:val="14"/>
    <w:qFormat/>
    <w:uiPriority w:val="0"/>
    <w:rPr>
      <w:rFonts w:ascii="Arial Unicode MS" w:hAnsi="Arial Unicode MS" w:eastAsia="Arial Unicode MS" w:cs="Arial Unicode MS"/>
      <w:sz w:val="18"/>
      <w:szCs w:val="18"/>
      <w:lang w:val="zh-CN" w:bidi="zh-CN"/>
    </w:rPr>
  </w:style>
  <w:style w:type="character" w:customStyle="1" w:styleId="17">
    <w:name w:val="页脚 字符"/>
    <w:basedOn w:val="14"/>
    <w:qFormat/>
    <w:uiPriority w:val="0"/>
    <w:rPr>
      <w:rFonts w:ascii="Arial Unicode MS" w:hAnsi="Arial Unicode MS" w:eastAsia="Arial Unicode MS" w:cs="Arial Unicode MS"/>
      <w:sz w:val="18"/>
      <w:szCs w:val="18"/>
      <w:lang w:val="zh-CN" w:bidi="zh-CN"/>
    </w:rPr>
  </w:style>
  <w:style w:type="paragraph" w:customStyle="1" w:styleId="18">
    <w:name w:val="标题样式"/>
    <w:basedOn w:val="1"/>
    <w:next w:val="8"/>
    <w:qFormat/>
    <w:uiPriority w:val="0"/>
    <w:pPr>
      <w:keepNext/>
      <w:spacing w:before="240" w:after="120"/>
    </w:pPr>
    <w:rPr>
      <w:rFonts w:ascii="Liberation Sans" w:hAnsi="Liberation Sans"/>
      <w:sz w:val="28"/>
      <w:szCs w:val="28"/>
    </w:rPr>
  </w:style>
  <w:style w:type="paragraph" w:customStyle="1" w:styleId="19">
    <w:name w:val="索引"/>
    <w:basedOn w:val="1"/>
    <w:qFormat/>
    <w:uiPriority w:val="0"/>
    <w:pPr>
      <w:suppressLineNumbers/>
    </w:pPr>
  </w:style>
  <w:style w:type="paragraph" w:customStyle="1" w:styleId="20">
    <w:name w:val="页眉与页脚"/>
    <w:basedOn w:val="1"/>
    <w:qFormat/>
    <w:uiPriority w:val="0"/>
  </w:style>
  <w:style w:type="paragraph" w:customStyle="1" w:styleId="21">
    <w:name w:val="List Paragraph"/>
    <w:basedOn w:val="1"/>
    <w:qFormat/>
    <w:uiPriority w:val="1"/>
    <w:pPr>
      <w:ind w:left="2039" w:hanging="782"/>
    </w:pPr>
  </w:style>
  <w:style w:type="paragraph" w:customStyle="1" w:styleId="22">
    <w:name w:val="Table Paragraph"/>
    <w:basedOn w:val="1"/>
    <w:qFormat/>
    <w:uiPriority w:val="1"/>
    <w:rPr>
      <w:rFonts w:ascii="宋体" w:hAnsi="宋体" w:eastAsia="宋体" w:cs="宋体"/>
    </w:rPr>
  </w:style>
  <w:style w:type="paragraph" w:customStyle="1" w:styleId="23">
    <w:name w:val="表格内容"/>
    <w:basedOn w:val="1"/>
    <w:qFormat/>
    <w:uiPriority w:val="0"/>
    <w:pPr>
      <w:suppressLineNumbers/>
    </w:pPr>
  </w:style>
  <w:style w:type="paragraph" w:customStyle="1" w:styleId="24">
    <w:name w:val="表格标题"/>
    <w:basedOn w:val="23"/>
    <w:qFormat/>
    <w:uiPriority w:val="0"/>
    <w:pPr>
      <w:jc w:val="center"/>
    </w:pPr>
    <w:rPr>
      <w:b/>
      <w:bCs/>
    </w:rPr>
  </w:style>
  <w:style w:type="paragraph" w:customStyle="1" w:styleId="25">
    <w:name w:val="预格式化的文本"/>
    <w:basedOn w:val="1"/>
    <w:qFormat/>
    <w:uiPriority w:val="0"/>
    <w:rPr>
      <w:rFonts w:ascii="Liberation Mono" w:hAnsi="Liberation Mono" w:eastAsia="新宋体" w:cs="Liberation Mono"/>
      <w:sz w:val="20"/>
      <w:szCs w:val="20"/>
    </w:rPr>
  </w:style>
  <w:style w:type="table" w:customStyle="1" w:styleId="26">
    <w:name w:val="Table Normal"/>
    <w:unhideWhenUsed/>
    <w:qFormat/>
    <w:uiPriority w:val="2"/>
    <w:tblPr>
      <w:tblCellMar>
        <w:top w:w="0" w:type="dxa"/>
        <w:left w:w="0" w:type="dxa"/>
        <w:bottom w:w="0" w:type="dxa"/>
        <w:right w:w="0"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footer5.xml" Type="http://schemas.openxmlformats.org/officeDocument/2006/relationships/footer"/><Relationship Id="rId11" Target="footer6.xml" Type="http://schemas.openxmlformats.org/officeDocument/2006/relationships/footer"/><Relationship Id="rId12" Target="footer7.xml" Type="http://schemas.openxmlformats.org/officeDocument/2006/relationships/footer"/><Relationship Id="rId13" Target="footer8.xml" Type="http://schemas.openxmlformats.org/officeDocument/2006/relationships/footer"/><Relationship Id="rId14" Target="footer9.xml" Type="http://schemas.openxmlformats.org/officeDocument/2006/relationships/footer"/><Relationship Id="rId15" Target="footer10.xml" Type="http://schemas.openxmlformats.org/officeDocument/2006/relationships/footer"/><Relationship Id="rId16" Target="footer11.xml" Type="http://schemas.openxmlformats.org/officeDocument/2006/relationships/footer"/><Relationship Id="rId17" Target="footer12.xml" Type="http://schemas.openxmlformats.org/officeDocument/2006/relationships/footer"/><Relationship Id="rId18" Target="footer13.xml" Type="http://schemas.openxmlformats.org/officeDocument/2006/relationships/footer"/><Relationship Id="rId19" Target="theme/theme1.xml" Type="http://schemas.openxmlformats.org/officeDocument/2006/relationships/theme"/><Relationship Id="rId2" Target="settings.xml" Type="http://schemas.openxmlformats.org/officeDocument/2006/relationships/settings"/><Relationship Id="rId20" Target="../customXml/item1.xml" Type="http://schemas.openxmlformats.org/officeDocument/2006/relationships/customXml"/><Relationship Id="rId21" Target="fontTable.xml" Type="http://schemas.openxmlformats.org/officeDocument/2006/relationships/fontTable"/><Relationship Id="rId22" Target="media/image1.jpeg" Type="http://schemas.openxmlformats.org/officeDocument/2006/relationships/image"/><Relationship Id="rId23" Target="media/image2.jpeg" Type="http://schemas.openxmlformats.org/officeDocument/2006/relationships/image"/><Relationship Id="rId3" Target="footnotes.xml" Type="http://schemas.openxmlformats.org/officeDocument/2006/relationships/footnotes"/><Relationship Id="rId4" Target="header1.xml" Type="http://schemas.openxmlformats.org/officeDocument/2006/relationships/header"/><Relationship Id="rId5" Target="header2.xml" Type="http://schemas.openxmlformats.org/officeDocument/2006/relationships/header"/><Relationship Id="rId6" Target="footer1.xml" Type="http://schemas.openxmlformats.org/officeDocument/2006/relationships/footer"/><Relationship Id="rId7" Target="footer2.xml" Type="http://schemas.openxmlformats.org/officeDocument/2006/relationships/footer"/><Relationship Id="rId8" Target="footer3.xml" Type="http://schemas.openxmlformats.org/officeDocument/2006/relationships/footer"/><Relationship Id="rId9" Target="footer4.xml" Type="http://schemas.openxmlformats.org/officeDocument/2006/relationships/footer"/></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4097" textRotate="1"/>
    <customShpInfo spid="_x0000_s4113" textRotate="1"/>
    <customShpInfo spid="_x0000_s4111" textRotate="1"/>
    <customShpInfo spid="_x0000_s4112" textRotate="1"/>
    <customShpInfo spid="_x0000_s4099" textRotate="1"/>
    <customShpInfo spid="_x0000_s4100" textRotate="1"/>
    <customShpInfo spid="_x0000_s4101" textRotate="1"/>
    <customShpInfo spid="_x0000_s4102" textRotate="1"/>
    <customShpInfo spid="_x0000_s4103" textRotate="1"/>
    <customShpInfo spid="_x0000_s4104" textRotate="1"/>
    <customShpInfo spid="_x0000_s4105" textRotate="1"/>
    <customShpInfo spid="_x0000_s4106" textRotate="1"/>
    <customShpInfo spid="_x0000_s4110"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19</Pages>
  <Words>2754</Words>
  <Characters>7511</Characters>
  <Paragraphs>501</Paragraphs>
  <TotalTime>0</TotalTime>
  <ScaleCrop>false</ScaleCrop>
  <LinksUpToDate>false</LinksUpToDate>
  <CharactersWithSpaces>7532</CharactersWithSpaces>
  <Application>WPS Office_11.1.0.11875_F1E327BC-269C-435d-A152-05C5408002CA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2021-04-16T03:22:00Z</dcterms:created>
  <dc:creator>陈长军(本处室套红)</dc:creator>
  <cp:lastModifiedBy>Tree Know</cp:lastModifiedBy>
  <dcterms:modified xsi:type="dcterms:W3CDTF">2022-07-29T09:20:09Z</dcterms:modified>
  <cp:revision>175</cp:revision>
  <dc:title>部门决算公开</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2021-02-03T00:00:00Z</vt:filetime>
  </property>
  <property fmtid="{D5CDD505-2E9C-101B-9397-08002B2CF9AE}" pid="3" name="Creator">
    <vt:lpwstr>ÿþ¹eckýVEŒ⁄ech Y thV </vt:lpwstr>
  </property>
  <property fmtid="{D5CDD505-2E9C-101B-9397-08002B2CF9AE}" pid="4" name="ICV">
    <vt:lpwstr>2533214665424557B16CF4115249519F</vt:lpwstr>
  </property>
  <property fmtid="{D5CDD505-2E9C-101B-9397-08002B2CF9AE}" pid="5" name="KSOProductBuildVer">
    <vt:lpwstr>2052-11.1.0.11875</vt:lpwstr>
  </property>
  <property fmtid="{D5CDD505-2E9C-101B-9397-08002B2CF9AE}" pid="6" name="LastSaved">
    <vt:filetime>2021-04-15T00:00:00Z</vt:filetime>
  </property>
</Properties>
</file>