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jc w:val="both"/>
              <w:rPr>
                <w:rFonts w:ascii="仿宋" w:hAnsi="仿宋" w:eastAsia="仿宋" w:cs="仿宋"/>
                <w:b/>
                <w:bCs/>
                <w:color w:val="FF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tcPr>
          <w:p>
            <w:pPr>
              <w:ind w:right="284" w:rightChars="129"/>
              <w:jc w:val="center"/>
              <w:rPr>
                <w:rFonts w:ascii="仿宋" w:hAnsi="仿宋" w:eastAsia="仿宋" w:cs="仿宋"/>
                <w:b/>
                <w:bCs/>
                <w:color w:val="FF0000"/>
              </w:rPr>
            </w:pPr>
            <w:r>
              <w:rPr>
                <w:rFonts w:ascii="宋体" w:hAnsi="宋体" w:eastAsia="宋体" w:cs="宋体"/>
                <w:b/>
                <w:sz w:val="52"/>
              </w:rPr>
              <w:t>2021年度江苏民政康复医院单位决算公开</w:t>
            </w:r>
          </w:p>
        </w:tc>
      </w:tr>
    </w:tbl>
    <w:p>
      <w:pPr>
        <w:ind w:right="284" w:rightChars="129"/>
        <w:jc w:val="both"/>
        <w:rPr>
          <w:rFonts w:ascii="宋体" w:hAnsi="宋体" w:eastAsia="宋体" w:cs="宋体"/>
          <w:b/>
          <w:bCs/>
          <w:sz w:val="52"/>
          <w:szCs w:val="52"/>
        </w:rPr>
        <w:sectPr>
          <w:headerReference r:id="rId5" w:type="first"/>
          <w:footerReference r:id="rId8" w:type="first"/>
          <w:headerReference r:id="rId3" w:type="default"/>
          <w:footerReference r:id="rId6" w:type="default"/>
          <w:headerReference r:id="rId4" w:type="even"/>
          <w:footerReference r:id="rId7" w:type="even"/>
          <w:pgSz w:w="11906" w:h="16838"/>
          <w:pgMar w:top="1580" w:right="700" w:bottom="770" w:left="1020" w:header="170" w:footer="280" w:gutter="0"/>
          <w:cols w:space="720" w:num="1"/>
          <w:formProt w:val="0"/>
          <w:titlePg/>
          <w:docGrid w:linePitch="100" w:charSpace="0"/>
        </w:sectPr>
      </w:pPr>
    </w:p>
    <w:p>
      <w:pPr>
        <w:pStyle w:val="8"/>
        <w:spacing w:before="4"/>
        <w:rPr>
          <w:rFonts w:ascii="华文仿宋" w:hAnsi="华文仿宋" w:eastAsia="华文仿宋" w:cs="仿宋"/>
          <w:sz w:val="10"/>
        </w:rPr>
      </w:pPr>
    </w:p>
    <w:p>
      <w:pPr>
        <w:pStyle w:val="3"/>
        <w:tabs>
          <w:tab w:val="left" w:pos="880"/>
        </w:tabs>
        <w:spacing w:line="718" w:lineRule="exact"/>
        <w:ind w:right="313"/>
        <w:rPr>
          <w:rFonts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rPr>
          <w:rFonts w:ascii="仿宋" w:hAnsi="仿宋" w:eastAsia="仿宋" w:cs="仿宋"/>
          <w:sz w:val="27"/>
        </w:rPr>
      </w:pPr>
    </w:p>
    <w:p>
      <w:pPr>
        <w:pStyle w:val="8"/>
        <w:spacing w:line="360" w:lineRule="auto"/>
        <w:ind w:left="671" w:leftChars="300" w:hanging="11"/>
        <w:jc w:val="both"/>
        <w:outlineLvl w:val="0"/>
        <w:rPr>
          <w:rFonts w:ascii="黑体" w:hAnsi="黑体" w:eastAsia="黑体" w:cs="黑体"/>
        </w:rPr>
      </w:pPr>
      <w:r>
        <w:rPr>
          <w:rFonts w:hint="eastAsia" w:ascii="黑体" w:hAnsi="黑体" w:eastAsia="黑体" w:cs="黑体"/>
        </w:rPr>
        <w:t xml:space="preserve">第一部分 </w:t>
      </w:r>
      <w:r>
        <w:rPr>
          <w:rFonts w:hint="eastAsia" w:ascii="黑体" w:hAnsi="黑体" w:eastAsia="黑体" w:cs="黑体"/>
          <w:lang w:val="en-US"/>
        </w:rPr>
        <w:t>单位</w:t>
      </w:r>
      <w:r>
        <w:rPr>
          <w:rFonts w:hint="eastAsia" w:ascii="黑体" w:hAnsi="黑体" w:eastAsia="黑体" w:cs="黑体"/>
        </w:rPr>
        <w:t>概况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一、主要职能</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二、</w:t>
      </w:r>
      <w:r>
        <w:rPr>
          <w:rFonts w:hint="eastAsia" w:ascii="仿宋" w:hAnsi="仿宋" w:eastAsia="仿宋" w:cs="仿宋"/>
          <w:lang w:val="en-US"/>
        </w:rPr>
        <w:t>单位</w:t>
      </w:r>
      <w:r>
        <w:rPr>
          <w:rFonts w:hint="eastAsia" w:ascii="仿宋" w:hAnsi="仿宋" w:eastAsia="仿宋" w:cs="仿宋"/>
        </w:rPr>
        <w:t>机构设置及决算单位构成情况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三、2021年度主要工作完成情况</w:t>
      </w:r>
    </w:p>
    <w:p>
      <w:pPr>
        <w:pStyle w:val="8"/>
        <w:spacing w:line="360" w:lineRule="auto"/>
        <w:ind w:left="671" w:leftChars="300" w:hanging="11"/>
        <w:jc w:val="both"/>
        <w:rPr>
          <w:rFonts w:ascii="黑体" w:hAnsi="黑体" w:eastAsia="黑体" w:cs="黑体"/>
        </w:rPr>
      </w:pPr>
      <w:r>
        <w:rPr>
          <w:rFonts w:hint="eastAsia" w:ascii="黑体" w:hAnsi="黑体" w:eastAsia="黑体" w:cs="黑体"/>
          <w:lang w:val="en-US"/>
        </w:rPr>
        <w:t>第二部分 2021年</w:t>
      </w:r>
      <w:bookmarkStart w:id="0" w:name="_GoBack"/>
      <w:bookmarkEnd w:id="0"/>
      <w:r>
        <w:rPr>
          <w:rFonts w:hint="eastAsia" w:ascii="黑体" w:hAnsi="黑体" w:eastAsia="黑体" w:cs="黑体"/>
          <w:lang w:val="en-US"/>
        </w:rPr>
        <w:t>度</w:t>
      </w:r>
      <w:r>
        <w:rPr>
          <w:rFonts w:ascii="黑体" w:hAnsi="黑体" w:eastAsia="黑体" w:cs="黑体"/>
        </w:rPr>
        <w:t>单位决算表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spacing w:val="-2"/>
        </w:rPr>
        <w:t>一、收入支出决算总表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rPr>
        <w:t>二、收入决算表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w w:val="95"/>
        </w:rPr>
        <w:t>三、支出决算表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四、财政拨款收入支出决算总表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五、财政拨款支出决算表（功能科目）</w:t>
      </w:r>
    </w:p>
    <w:p>
      <w:pPr>
        <w:pStyle w:val="8"/>
        <w:spacing w:line="360" w:lineRule="auto"/>
        <w:ind w:left="671" w:leftChars="300" w:right="2894" w:hanging="11"/>
        <w:jc w:val="both"/>
        <w:rPr>
          <w:rFonts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八、一般公共预算基本支出决算表（经济科目）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九、一般公共预算“三公”经费、会议费、培训费支出决算表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十、政府性基金预算支出决算表</w:t>
      </w:r>
    </w:p>
    <w:p>
      <w:pPr>
        <w:pStyle w:val="8"/>
        <w:spacing w:line="360" w:lineRule="auto"/>
        <w:ind w:left="671" w:leftChars="300" w:right="2575" w:hanging="11"/>
        <w:jc w:val="both"/>
        <w:rPr>
          <w:rFonts w:ascii="仿宋" w:hAnsi="仿宋" w:eastAsia="仿宋" w:cs="仿宋"/>
          <w:lang w:val="en-US"/>
        </w:rPr>
      </w:pPr>
      <w:r>
        <w:rPr>
          <w:rFonts w:hint="eastAsia" w:ascii="仿宋" w:hAnsi="仿宋" w:eastAsia="仿宋" w:cs="仿宋"/>
        </w:rPr>
        <w:t>十一、</w:t>
      </w:r>
      <w:r>
        <w:rPr>
          <w:rFonts w:hint="eastAsia" w:ascii="仿宋" w:hAnsi="仿宋" w:eastAsia="仿宋" w:cs="仿宋"/>
          <w:lang w:val="en-US"/>
        </w:rPr>
        <w:t>国有资本经营预算支出决算表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二</w:t>
      </w:r>
      <w:r>
        <w:rPr>
          <w:rFonts w:hint="eastAsia" w:ascii="仿宋" w:hAnsi="仿宋" w:eastAsia="仿宋" w:cs="仿宋"/>
        </w:rPr>
        <w:t>、一般公共预算机关运行经费支出决算表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三</w:t>
      </w:r>
      <w:r>
        <w:rPr>
          <w:rFonts w:hint="eastAsia" w:ascii="仿宋" w:hAnsi="仿宋" w:eastAsia="仿宋" w:cs="仿宋"/>
        </w:rPr>
        <w:t>、政府采购支出决算表</w:t>
      </w:r>
    </w:p>
    <w:p>
      <w:pPr>
        <w:pStyle w:val="8"/>
        <w:spacing w:line="360" w:lineRule="auto"/>
        <w:ind w:left="671" w:leftChars="300" w:hanging="11"/>
        <w:jc w:val="both"/>
        <w:rPr>
          <w:rFonts w:ascii="黑体" w:hAnsi="黑体" w:eastAsia="黑体" w:cs="黑体"/>
          <w:lang w:val="en-US"/>
        </w:rPr>
      </w:pPr>
      <w:r>
        <w:rPr>
          <w:rFonts w:hint="eastAsia" w:ascii="黑体" w:hAnsi="黑体" w:eastAsia="黑体" w:cs="黑体"/>
          <w:lang w:val="en-US"/>
        </w:rPr>
        <w:t>第三部分 2021年度</w:t>
      </w:r>
      <w:r>
        <w:rPr>
          <w:rFonts w:ascii="黑体" w:hAnsi="黑体" w:eastAsia="黑体" w:cs="黑体"/>
        </w:rPr>
        <w:t>单位决算情况说明</w:t>
      </w:r>
    </w:p>
    <w:p>
      <w:pPr>
        <w:pStyle w:val="8"/>
        <w:spacing w:line="360" w:lineRule="auto"/>
        <w:ind w:left="671" w:leftChars="300" w:hanging="11"/>
        <w:jc w:val="both"/>
        <w:rPr>
          <w:rFonts w:ascii="仿宋" w:hAnsi="仿宋" w:eastAsia="仿宋" w:cs="仿宋"/>
          <w:b/>
          <w:bCs/>
          <w:color w:val="000000"/>
          <w:sz w:val="30"/>
          <w:szCs w:val="30"/>
          <w:lang w:val="en-US"/>
        </w:rPr>
      </w:pPr>
      <w:r>
        <w:rPr>
          <w:rFonts w:hint="eastAsia" w:ascii="黑体" w:hAnsi="黑体" w:eastAsia="黑体" w:cs="黑体"/>
          <w:lang w:val="en-US"/>
        </w:rPr>
        <w:t>第四部分 名词解释</w:t>
      </w:r>
    </w:p>
    <w:p>
      <w:pPr>
        <w:pStyle w:val="8"/>
        <w:spacing w:line="235" w:lineRule="auto"/>
        <w:ind w:left="669" w:leftChars="300" w:right="2414" w:hanging="9"/>
        <w:jc w:val="both"/>
        <w:rPr>
          <w:rFonts w:ascii="仿宋" w:hAnsi="仿宋" w:eastAsia="仿宋" w:cs="仿宋"/>
        </w:rPr>
        <w:sectPr>
          <w:footerReference r:id="rId9" w:type="default"/>
          <w:pgSz w:w="11906" w:h="16838"/>
          <w:pgMar w:top="1580" w:right="700" w:bottom="770" w:left="1020" w:header="283" w:footer="280" w:gutter="0"/>
          <w:pgNumType w:fmt="numberInDash" w:start="1"/>
          <w:cols w:space="720" w:num="1"/>
          <w:formProt w:val="0"/>
          <w:docGrid w:linePitch="100" w:charSpace="0"/>
        </w:sectPr>
      </w:pPr>
    </w:p>
    <w:p>
      <w:pPr>
        <w:pStyle w:val="8"/>
        <w:spacing w:before="1"/>
        <w:rPr>
          <w:rFonts w:ascii="华文仿宋" w:hAnsi="华文仿宋" w:eastAsia="华文仿宋" w:cs="仿宋"/>
          <w:sz w:val="14"/>
        </w:rPr>
      </w:pPr>
    </w:p>
    <w:p>
      <w:pPr>
        <w:pStyle w:val="5"/>
        <w:tabs>
          <w:tab w:val="left" w:pos="4395"/>
        </w:tabs>
        <w:spacing w:line="606" w:lineRule="exact"/>
        <w:ind w:right="504" w:rightChars="229"/>
        <w:rPr>
          <w:rFonts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rPr>
        <w:t xml:space="preserve"> </w:t>
      </w:r>
      <w:r>
        <w:rPr>
          <w:rFonts w:hint="eastAsia" w:ascii="宋体" w:hAnsi="宋体" w:eastAsia="宋体" w:cs="宋体"/>
          <w:b/>
          <w:bCs/>
        </w:rPr>
        <w:t>单位概况</w:t>
      </w:r>
    </w:p>
    <w:p>
      <w:pPr>
        <w:ind w:right="504" w:rightChars="229"/>
        <w:jc w:val="both"/>
      </w:pP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一、主要职能</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江苏民政康复医院（以下简称：我院）创建于2004年，是江苏省民政厅下属的正处级事业单位，是一所集医疗、康复、养老为一体的公办二级康复专科公办医院，是江苏省医保和南京市医保定点医院。在省民政厅党组的直接领导和南京市卫健委的业务指导下，我院秉持“民政为民、民政爱民”工作理念，主要收治脑卒中、截瘫、脑瘫及骨折病人，为社会患者特别是儿童、老人、伤残人等弱势群体提供优质的康复医疗服务。</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二、</w:t>
      </w:r>
      <w:r>
        <w:rPr>
          <w:rFonts w:ascii="黑体" w:hAnsi="黑体" w:eastAsia="黑体" w:cs="黑体"/>
        </w:rPr>
        <w:t>单位</w:t>
      </w:r>
      <w:r>
        <w:rPr>
          <w:rFonts w:hint="eastAsia" w:ascii="黑体" w:hAnsi="黑体" w:eastAsia="黑体" w:cs="黑体"/>
        </w:rPr>
        <w:t>机构设置及决算单位构成情况</w:t>
      </w:r>
    </w:p>
    <w:p>
      <w:pPr>
        <w:pStyle w:val="8"/>
        <w:spacing w:line="360" w:lineRule="auto"/>
        <w:ind w:left="440" w:leftChars="200" w:right="504" w:rightChars="229" w:firstLine="658"/>
        <w:jc w:val="both"/>
        <w:rPr>
          <w:rFonts w:ascii="仿宋" w:hAnsi="仿宋" w:eastAsia="仿宋" w:cs="仿宋"/>
        </w:rPr>
      </w:pPr>
      <w:r>
        <w:rPr>
          <w:rFonts w:hint="eastAsia" w:ascii="仿宋" w:hAnsi="仿宋" w:eastAsia="仿宋" w:cs="仿宋"/>
        </w:rPr>
        <w:t>根据</w:t>
      </w:r>
      <w:r>
        <w:rPr>
          <w:rFonts w:hint="eastAsia" w:ascii="仿宋" w:hAnsi="仿宋" w:eastAsia="仿宋" w:cs="仿宋"/>
          <w:lang w:val="en-US"/>
        </w:rPr>
        <w:t>单位</w:t>
      </w:r>
      <w:r>
        <w:rPr>
          <w:rFonts w:hint="eastAsia" w:ascii="仿宋" w:hAnsi="仿宋" w:eastAsia="仿宋" w:cs="仿宋"/>
        </w:rPr>
        <w:t>职责分工，</w:t>
      </w:r>
      <w:r>
        <w:rPr>
          <w:rFonts w:ascii="仿宋" w:hAnsi="仿宋" w:eastAsia="仿宋" w:cs="仿宋"/>
        </w:rPr>
        <w:t>本单位内设机构包括我院设内科（康复医学科）、中医科等住院诊疗科室和综合门诊、碎石特色门诊等门诊诊疗科室；药剂科、中草药房、检验科、放射科、B超室、供应室、门诊治疗室等辅临科室；办公室、人事科、器械科、信息科、医务科（病案室）、护理部、财务科（收费处）等行政后勤科室。本单位无下属单位。</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三、2021年度主要工作完成情况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2021年，我院坚持以习近平新时代中国特色社会主义思想为指引，认真学习贯彻党的十九大、十九届二中、三中、四中、五中、六中全会、省第十四次党代会以及</w:t>
      </w:r>
      <w:r>
        <w:rPr>
          <w:rFonts w:hint="eastAsia" w:ascii="仿宋" w:hAnsi="仿宋" w:eastAsia="仿宋" w:cs="仿宋"/>
          <w:lang w:eastAsia="zh-CN"/>
        </w:rPr>
        <w:t>习近平总书记“七一”重要讲话精神</w:t>
      </w:r>
      <w:r>
        <w:rPr>
          <w:rFonts w:ascii="仿宋" w:hAnsi="仿宋" w:eastAsia="仿宋" w:cs="仿宋"/>
        </w:rPr>
        <w:t>，在省民政厅党组的正确领导下，我院院领导班子团结带领全院干部职工，以增强核心竞争力和发展力为目标，进一步提高医疗技术水平和服务质量，在从严治党中凝心聚力，在攻坚克难中砥砺前行，形成了“疫情防控严抓严管、运营发展稳步恢复、安全质量平稳有序、医院管理持续进步”的良好局面。2021年全年经济总收入为1635万元（其中，我院1025万元，苏康老年护理中心610万）。现将我院全年工作情况汇报如下：</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一、2021年主要成绩和突出亮点</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（一）党建教育稳步开展</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在省民政厅党组和厅机关党委的领导下，按照“党要管党、从严治党”的原则，我院始终把党建工作放在突出位置。一是加强学习教育，不断夯实政治根基。以开展</w:t>
      </w:r>
      <w:r>
        <w:rPr>
          <w:rFonts w:hint="eastAsia" w:ascii="仿宋" w:hAnsi="仿宋" w:eastAsia="仿宋" w:cs="仿宋"/>
          <w:lang w:eastAsia="zh-CN"/>
        </w:rPr>
        <w:t>党史学习教育</w:t>
      </w:r>
      <w:r>
        <w:rPr>
          <w:rFonts w:ascii="仿宋" w:hAnsi="仿宋" w:eastAsia="仿宋" w:cs="仿宋"/>
        </w:rPr>
        <w:t>为契机，以党的十九大、十九届六中全会精神、习近平新时代中国特色社会主义思想、习近平总书记系列重要讲话精神以及中国共产党历史为主要内容，根据党支部制定的专题学习计划，全体党员干部积极参加党支部学习会议，抓好理想信念教育。通过院领导领学、党员自学相结合的形式，进一步促进全院党员干部学习的积极性、主动性。在七一建党100周年当天，组织全院职工观看了庆典活动直播，聆听了习近平总书记在大会上的讲话。11月初组织党员干部前往泰州海军诞生地纪念馆参观学习，缅怀先烈、接受洗礼、重温历史，进一步提高党性认识，传承革命精神。二是坚守党员初心，助力疫情防控。疫情防控是没有硝烟的战场，也是检查党员干部初心使命的考场。我院按照省民政厅和卫健部门要求，积极配合防疫部署，在预检分诊台等一线岗位发挥党员先锋模范作用，引导党员干部积极主动投身防疫防控，为全院病人的安全保驾护航。7月南京禄口机场疫情突发，我院紧急选派17名医护人员驰援南京各社区核酸采集点，连续工作数十天，用实际行动充分践行党员的初心使命。</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（二）疫情防控坚决守牢</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常态化疫情防控下，我院就个案调查表、消毒技术方案、实验室生物安全知识等内容开展多次培训，持续加强防疫和疫苗接种宣传工作，通过会议培训、微信群、公众号等多种途径，将新型冠状病毒感染的肺炎防控知识及疫苗接种动员信息向全院公布和讲解，强调正确引导，宣传科学防控。组织临床科室进行“疑似新冠肺炎病人”处置预案演练，做好应急预案工作，全体职工集聚力量筑牢“防疫防控墙”，为医院实现“医护人员零感染、聚集性疫情零爆发”的防控总目标贡献着全部力量。</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（三）医护质量逐步提升</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大力开展新技术。我院坚持将现代康复技术与传统中医治疗相结合，在儿童康复领域有新的突破和提高，尤其在治疗儿童脑瘫的过程中，加入了小儿捏脊、儿童推拿、暗示治疗、引导式教育训练、感觉统合治疗等技术，针对不同患儿的不同症状体征，采用不同的中医康复治疗方案，取得了良好的治疗效果，赢得了省残联的高度肯定，增扩了与我院中医康复科定点儿童康复签约的数量。</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重点推进医保服务。我院医务人员严格执行各项医保政策，加大内部督查，增强自律意识，规范诊疗行为，通过签订医院法定代表人和医保医师防范欺诈骗保承诺书，进一步增强全院医务人员维护医保基金安全的自觉性和主动性。今年4月份，南京市医保局城区分局开展以“宣传贯彻《条例》加强基金监管”为主题的专项集中宣传月活动。我院在此次活动中表现突出，得到南京市医保局城区分局的书面通报表扬。6月份，我院在城区范围内第一个通过国家编码贯标工作，在城区所有的二级医疗机构中起到了很好地示范带头作用。11月份，通过积极申报，我院门诊及住院多种病种的省级公费医疗结算顺利开通，待明年系统接口连通后，将为更多的省医保（省公费）人群提供医疗服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持续加强医德医风建设。我院始终坚持“以患者为中心”的服务理念，长期坚持深入社区进行义诊宣传活动，深入开展“我为群众办实事”活动，安排医护人员进社区，切实解决人民群众在就医方面遇到的困惑。康复科全体女职工深入开展巾帼建功活动，作为省民政系统代表被江苏省妇女联合会评为“省巾帼文明岗”。全院医护人员牢记“民政为民、民政爱民”的工作宗旨，对工作高度负责，对病人极度热忱，对技术精益求精，多次收到来自社会群众的表彰锦旗。</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（四）苏康养老护理工作重点突破</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5月份，省民政厅吕德明厅长一行调研苏康老年护理中心（以下简称：中心），实地查看中心整体情况，参观护理床位和“苏康之家”等服务设施后，对中心作出了高度评价，对“五院融合”创新管理机制给予充分肯定，坚持“以养促医、以医助养”工作思路，力争“浦口当标兵、江苏争一流、全国有影响”。7月，中心成功申办医保资质，11月顺利引进HIS（医疗信息）综合信息化管理运营平台，充分利用信息化、智能化等手段为老年人提供健康养老服务。目前，中心已成为浦口区失能照护服务定点机构。</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在10月份举办的江苏国际养老服务博览会上，中心展位以特色护理服务理念受到了省政府领导高度重视，引起了媒体的关注和报道。同月，和省老年公寓组成省本级参赛队参加江苏省民政行业养老护理职业技能竞赛，展现了中心护理员的高水平技能，获得评委一致好评。</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（五）浦口项目审计规范结算</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今年以来，根据省级机关医院专家的意见，项目对浦口院区环境进行细节提档升级。包括加建阳光房、接待大厅、增加标识标牌、增加活动广场、添置家具、增加中式凉亭、木质花格等，营造更具养老特色的内外部环境，提高入住老人的舒适度。今年4月份起，浦口项目进入竣工结算阶段，现已完成竣工审计结算的分项13个，完成初审工作的分项有14个。</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（六）慈善发药工作正常推进</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作为中华慈善总会药品援助项目在南京地区的唯一发放点，医院在疫情期间坚持按时向省内外贫困癌症患者发放慈善援助药品，保障患者用药。目前发放15种治疗不同类型疾病的药品，2021年全年共计发放13860人次，发放药品25423盒，发药金额累计为1.68亿元。</w:t>
      </w:r>
    </w:p>
    <w:p>
      <w:pPr>
        <w:pStyle w:val="8"/>
        <w:spacing w:line="235" w:lineRule="auto"/>
        <w:ind w:left="669" w:leftChars="300" w:right="2414" w:hanging="9"/>
        <w:jc w:val="both"/>
        <w:rPr>
          <w:rFonts w:ascii="仿宋" w:hAnsi="仿宋" w:eastAsia="仿宋" w:cs="仿宋"/>
        </w:rPr>
        <w:sectPr>
          <w:footerReference r:id="rId10" w:type="default"/>
          <w:pgSz w:w="11906" w:h="16838"/>
          <w:pgMar w:top="1580" w:right="700" w:bottom="770" w:left="1020" w:header="283" w:footer="280" w:gutter="0"/>
          <w:pgNumType w:fmt="numberInDash"/>
          <w:cols w:space="720" w:num="1"/>
          <w:formProt w:val="0"/>
          <w:docGrid w:linePitch="100" w:charSpace="0"/>
        </w:sectPr>
      </w:pPr>
    </w:p>
    <w:p>
      <w:pPr>
        <w:pStyle w:val="8"/>
        <w:spacing w:line="360" w:lineRule="auto"/>
        <w:ind w:left="440" w:leftChars="200" w:right="504" w:rightChars="229" w:firstLine="658"/>
        <w:jc w:val="both"/>
        <w:rPr>
          <w:rFonts w:ascii="仿宋" w:hAnsi="仿宋" w:eastAsia="仿宋" w:cs="仿宋"/>
          <w:lang w:val="en-US"/>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outlineLvl w:val="0"/>
        <w:rPr>
          <w:rFonts w:ascii="宋体" w:hAnsi="宋体" w:eastAsia="宋体" w:cs="宋体"/>
          <w:b/>
          <w:bCs/>
          <w:sz w:val="36"/>
          <w:szCs w:val="36"/>
          <w:lang w:val="en-US"/>
        </w:rPr>
      </w:pPr>
      <w:r>
        <w:rPr>
          <w:rFonts w:hint="eastAsia" w:ascii="宋体" w:hAnsi="宋体" w:eastAsia="宋体" w:cs="宋体"/>
          <w:b/>
          <w:bCs/>
          <w:sz w:val="36"/>
          <w:szCs w:val="36"/>
        </w:rPr>
        <w:t>第二部分</w:t>
      </w:r>
    </w:p>
    <w:p>
      <w:pPr>
        <w:pStyle w:val="21"/>
        <w:tabs>
          <w:tab w:val="left" w:pos="1609"/>
        </w:tabs>
        <w:spacing w:before="12" w:line="300" w:lineRule="auto"/>
        <w:ind w:left="340" w:right="567" w:firstLine="0"/>
        <w:jc w:val="center"/>
        <w:rPr>
          <w:rFonts w:ascii="宋体" w:hAnsi="宋体" w:eastAsia="宋体" w:cs="宋体"/>
          <w:b/>
          <w:bCs/>
          <w:sz w:val="36"/>
          <w:szCs w:val="36"/>
        </w:rPr>
      </w:pPr>
      <w:r>
        <w:rPr>
          <w:rFonts w:hint="eastAsia" w:ascii="宋体" w:hAnsi="宋体" w:eastAsia="宋体" w:cs="宋体"/>
          <w:b/>
          <w:bCs/>
          <w:sz w:val="36"/>
          <w:szCs w:val="36"/>
        </w:rPr>
        <w:t>江苏民政康复医院</w:t>
      </w:r>
    </w:p>
    <w:p>
      <w:pPr>
        <w:pStyle w:val="21"/>
        <w:tabs>
          <w:tab w:val="left" w:pos="1609"/>
        </w:tabs>
        <w:spacing w:before="12" w:line="300" w:lineRule="auto"/>
        <w:ind w:left="340" w:right="567" w:firstLine="0"/>
        <w:jc w:val="center"/>
        <w:outlineLvl w:val="1"/>
        <w:rPr>
          <w:rFonts w:ascii="宋体" w:hAnsi="宋体" w:eastAsia="宋体" w:cs="宋体"/>
          <w:b/>
          <w:bCs/>
          <w:sz w:val="36"/>
          <w:szCs w:val="36"/>
        </w:rPr>
      </w:pPr>
      <w:r>
        <w:rPr>
          <w:rFonts w:hint="eastAsia" w:ascii="宋体" w:hAnsi="宋体" w:eastAsia="宋体" w:cs="宋体"/>
          <w:b/>
          <w:bCs/>
          <w:sz w:val="36"/>
          <w:szCs w:val="36"/>
        </w:rPr>
        <w:t>2021年度</w:t>
      </w:r>
      <w:r>
        <w:rPr>
          <w:rFonts w:hint="eastAsia" w:ascii="宋体" w:hAnsi="宋体" w:eastAsia="宋体" w:cs="宋体"/>
          <w:b/>
          <w:bCs/>
          <w:sz w:val="36"/>
          <w:szCs w:val="36"/>
          <w:lang w:val="en-US"/>
        </w:rPr>
        <w:t>单位</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jc w:val="center"/>
              <w:rPr>
                <w:rFonts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rPr>
                <w:rFonts w:ascii="仿宋" w:hAnsi="仿宋" w:eastAsia="仿宋" w:cs="仿宋"/>
                <w:color w:val="000000"/>
                <w:sz w:val="20"/>
              </w:rPr>
            </w:pPr>
          </w:p>
        </w:tc>
        <w:tc>
          <w:tcPr>
            <w:tcW w:w="1461" w:type="dxa"/>
          </w:tcPr>
          <w:p>
            <w:pPr>
              <w:rPr>
                <w:rFonts w:ascii="仿宋" w:hAnsi="仿宋" w:eastAsia="仿宋" w:cs="仿宋"/>
                <w:color w:val="000000"/>
                <w:sz w:val="20"/>
              </w:rPr>
            </w:pPr>
          </w:p>
        </w:tc>
        <w:tc>
          <w:tcPr>
            <w:tcW w:w="5202" w:type="dxa"/>
            <w:gridSpan w:val="3"/>
          </w:tcPr>
          <w:p>
            <w:pPr>
              <w:jc w:val="right"/>
              <w:rPr>
                <w:rFonts w:ascii="仿宋" w:hAnsi="仿宋" w:eastAsia="仿宋" w:cs="仿宋"/>
                <w:color w:val="000000"/>
              </w:rPr>
            </w:pPr>
            <w:r>
              <w:rPr>
                <w:rFonts w:hint="eastAsia" w:ascii="仿宋" w:hAnsi="仿宋" w:eastAsia="仿宋" w:cs="仿宋"/>
                <w:color w:val="000000"/>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rPr>
                <w:rFonts w:ascii="仿宋" w:hAnsi="仿宋" w:eastAsia="仿宋" w:cs="仿宋"/>
                <w:color w:val="00000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color w:val="000000"/>
                <w:lang w:eastAsia="ar-SA"/>
              </w:rPr>
              <w:t>江苏民政康复医院</w:t>
            </w:r>
          </w:p>
        </w:tc>
        <w:tc>
          <w:tcPr>
            <w:tcW w:w="3167" w:type="dxa"/>
            <w:gridSpan w:val="2"/>
            <w:tcBorders>
              <w:bottom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ascii="仿宋" w:hAnsi="仿宋" w:eastAsia="仿宋" w:cs="仿宋"/>
                <w:color w:val="000000"/>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191.94</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150.00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941.28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1,163.76</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50.52</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150.00</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bCs/>
                <w:color w:val="000000"/>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1,283.22</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b/>
                <w:bCs/>
                <w:color w:val="000000"/>
              </w:rPr>
            </w:pPr>
            <w:r>
              <w:rPr>
                <w:rFonts w:hint="eastAsia" w:ascii="仿宋" w:hAnsi="仿宋" w:eastAsia="仿宋" w:cs="仿宋"/>
                <w:b/>
                <w:bCs/>
                <w:color w:val="000000"/>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1,364.27</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r>
              <w:rPr>
                <w:rFonts w:hint="eastAsia" w:ascii="仿宋" w:hAnsi="仿宋" w:eastAsia="仿宋" w:cs="仿宋"/>
                <w:color w:val="000000"/>
                <w:lang w:eastAsia="ar-SA"/>
              </w:rPr>
              <w:t>152.68</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71.62</w:t>
            </w: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61"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3744" w:type="dxa"/>
            <w:gridSpan w:val="2"/>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58"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1,435.90</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1,435.90</w:t>
            </w:r>
          </w:p>
        </w:tc>
      </w:tr>
    </w:tbl>
    <w:p>
      <w:pPr>
        <w:spacing w:before="66"/>
        <w:jc w:val="both"/>
        <w:rPr>
          <w:rFonts w:ascii="仿宋" w:hAnsi="仿宋" w:eastAsia="仿宋" w:cs="仿宋"/>
          <w:color w:val="000000"/>
          <w:lang w:val="en-US"/>
        </w:rPr>
      </w:pPr>
      <w:r>
        <w:rPr>
          <w:rFonts w:hint="eastAsia" w:ascii="仿宋" w:hAnsi="仿宋" w:eastAsia="仿宋" w:cs="仿宋"/>
          <w:color w:val="000000"/>
          <w:lang w:val="en-US"/>
        </w:rPr>
        <w:t>注：本表反映本年度的总收支和年末结转结余情况。本表金额单位转换时可能存在尾数误差。</w:t>
      </w:r>
    </w:p>
    <w:p>
      <w:pPr>
        <w:spacing w:before="66"/>
        <w:jc w:val="both"/>
        <w:rPr>
          <w:rFonts w:ascii="仿宋" w:hAnsi="仿宋" w:eastAsia="仿宋" w:cs="仿宋"/>
          <w:color w:val="000000"/>
        </w:rPr>
        <w:sectPr>
          <w:footerReference r:id="rId11" w:type="default"/>
          <w:pgSz w:w="11906" w:h="16838"/>
          <w:pgMar w:top="720" w:right="720" w:bottom="720" w:left="720" w:header="170" w:footer="280" w:gutter="0"/>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rPr>
                <w:rFonts w:ascii="仿宋" w:hAnsi="仿宋" w:eastAsia="仿宋" w:cs="仿宋"/>
                <w:b/>
                <w:bCs/>
                <w:sz w:val="44"/>
                <w:szCs w:val="44"/>
                <w:lang w:val="en-US"/>
              </w:rPr>
            </w:pPr>
            <w:r>
              <w:rPr>
                <w:rFonts w:hint="eastAsia" w:ascii="宋体" w:hAnsi="宋体" w:eastAsia="宋体" w:cs="宋体"/>
                <w:b/>
                <w:bCs/>
                <w:color w:val="000000"/>
                <w:lang w:eastAsia="ar-SA"/>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jc w:val="center"/>
              <w:rPr>
                <w:rFonts w:ascii="仿宋" w:hAnsi="仿宋" w:eastAsia="仿宋" w:cs="仿宋"/>
              </w:rPr>
            </w:pPr>
          </w:p>
        </w:tc>
        <w:tc>
          <w:tcPr>
            <w:tcW w:w="1592" w:type="dxa"/>
            <w:vAlign w:val="center"/>
          </w:tcPr>
          <w:p>
            <w:pPr>
              <w:pStyle w:val="22"/>
              <w:jc w:val="center"/>
              <w:rPr>
                <w:rFonts w:ascii="仿宋" w:hAnsi="仿宋" w:eastAsia="仿宋" w:cs="仿宋"/>
              </w:rPr>
            </w:pPr>
          </w:p>
        </w:tc>
        <w:tc>
          <w:tcPr>
            <w:tcW w:w="1604" w:type="dxa"/>
            <w:vAlign w:val="center"/>
          </w:tcPr>
          <w:p>
            <w:pPr>
              <w:pStyle w:val="22"/>
              <w:jc w:val="center"/>
              <w:rPr>
                <w:rFonts w:ascii="仿宋" w:hAnsi="仿宋" w:eastAsia="仿宋" w:cs="仿宋"/>
              </w:rPr>
            </w:pPr>
          </w:p>
        </w:tc>
        <w:tc>
          <w:tcPr>
            <w:tcW w:w="1565" w:type="dxa"/>
            <w:vAlign w:val="center"/>
          </w:tcPr>
          <w:p>
            <w:pPr>
              <w:pStyle w:val="22"/>
              <w:jc w:val="center"/>
              <w:rPr>
                <w:rFonts w:ascii="仿宋" w:hAnsi="仿宋" w:eastAsia="仿宋" w:cs="仿宋"/>
              </w:rPr>
            </w:pPr>
          </w:p>
        </w:tc>
        <w:tc>
          <w:tcPr>
            <w:tcW w:w="2974" w:type="dxa"/>
            <w:gridSpan w:val="2"/>
            <w:vAlign w:val="center"/>
          </w:tcPr>
          <w:p>
            <w:pPr>
              <w:pStyle w:val="22"/>
              <w:jc w:val="center"/>
              <w:rPr>
                <w:rFonts w:ascii="仿宋" w:hAnsi="仿宋" w:eastAsia="仿宋" w:cs="仿宋"/>
              </w:rPr>
            </w:pPr>
          </w:p>
        </w:tc>
        <w:tc>
          <w:tcPr>
            <w:tcW w:w="1174" w:type="dxa"/>
            <w:vAlign w:val="center"/>
          </w:tcPr>
          <w:p>
            <w:pPr>
              <w:pStyle w:val="22"/>
              <w:jc w:val="center"/>
              <w:rPr>
                <w:rFonts w:ascii="仿宋" w:hAnsi="仿宋" w:eastAsia="仿宋" w:cs="仿宋"/>
              </w:rPr>
            </w:pP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rPr>
                <w:rFonts w:ascii="仿宋" w:hAnsi="仿宋" w:eastAsia="仿宋" w:cs="仿宋"/>
              </w:rPr>
            </w:pPr>
          </w:p>
        </w:tc>
        <w:tc>
          <w:tcPr>
            <w:tcW w:w="1604" w:type="dxa"/>
            <w:vMerge w:val="continue"/>
            <w:tcBorders>
              <w:left w:val="single" w:color="000000" w:sz="4" w:space="0"/>
              <w:bottom w:val="single" w:color="000000" w:sz="4" w:space="0"/>
            </w:tcBorders>
          </w:tcPr>
          <w:p>
            <w:pPr>
              <w:rPr>
                <w:rFonts w:ascii="仿宋" w:hAnsi="仿宋" w:eastAsia="仿宋" w:cs="仿宋"/>
              </w:rPr>
            </w:pPr>
          </w:p>
        </w:tc>
        <w:tc>
          <w:tcPr>
            <w:tcW w:w="1565" w:type="dxa"/>
            <w:vMerge w:val="continue"/>
            <w:tcBorders>
              <w:left w:val="single" w:color="000000" w:sz="4" w:space="0"/>
              <w:bottom w:val="single" w:color="000000" w:sz="4" w:space="0"/>
            </w:tcBorders>
          </w:tcPr>
          <w:p>
            <w:pPr>
              <w:rPr>
                <w:rFonts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174" w:type="dxa"/>
            <w:vMerge w:val="continue"/>
            <w:tcBorders>
              <w:left w:val="single" w:color="000000" w:sz="4" w:space="0"/>
              <w:bottom w:val="single" w:color="000000" w:sz="4" w:space="0"/>
            </w:tcBorders>
          </w:tcPr>
          <w:p>
            <w:pPr>
              <w:rPr>
                <w:rFonts w:ascii="仿宋" w:hAnsi="仿宋" w:eastAsia="仿宋" w:cs="仿宋"/>
              </w:rPr>
            </w:pPr>
          </w:p>
        </w:tc>
        <w:tc>
          <w:tcPr>
            <w:tcW w:w="1277" w:type="dxa"/>
            <w:vMerge w:val="continue"/>
            <w:tcBorders>
              <w:left w:val="single" w:color="000000" w:sz="4" w:space="0"/>
              <w:bottom w:val="single" w:color="000000" w:sz="4" w:space="0"/>
            </w:tcBorders>
          </w:tcPr>
          <w:p>
            <w:pPr>
              <w:rPr>
                <w:rFonts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1592"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1,283.22</w:t>
            </w:r>
          </w:p>
        </w:tc>
        <w:tc>
          <w:tcPr>
            <w:tcW w:w="160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341.94</w:t>
            </w:r>
          </w:p>
        </w:tc>
        <w:tc>
          <w:tcPr>
            <w:tcW w:w="1565" w:type="dxa"/>
            <w:tcBorders>
              <w:left w:val="single" w:color="000000" w:sz="4" w:space="0"/>
              <w:bottom w:val="single" w:color="000000" w:sz="4" w:space="0"/>
            </w:tcBorders>
            <w:vAlign w:val="center"/>
          </w:tcPr>
          <w:p>
            <w:pPr>
              <w:jc w:val="right"/>
              <w:rPr>
                <w:rFonts w:ascii="仿宋" w:hAnsi="仿宋" w:eastAsia="仿宋" w:cs="仿宋"/>
              </w:rPr>
            </w:pPr>
          </w:p>
        </w:tc>
        <w:tc>
          <w:tcPr>
            <w:tcW w:w="1396" w:type="dxa"/>
            <w:tcBorders>
              <w:left w:val="single" w:color="000000" w:sz="4" w:space="0"/>
              <w:bottom w:val="single" w:color="000000" w:sz="4" w:space="0"/>
            </w:tcBorders>
            <w:vAlign w:val="center"/>
          </w:tcPr>
          <w:p>
            <w:pPr>
              <w:jc w:val="right"/>
              <w:rPr>
                <w:rFonts w:ascii="仿宋" w:hAnsi="仿宋" w:eastAsia="仿宋" w:cs="仿宋"/>
              </w:rPr>
            </w:pPr>
          </w:p>
        </w:tc>
        <w:tc>
          <w:tcPr>
            <w:tcW w:w="157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941.28</w:t>
            </w:r>
          </w:p>
        </w:tc>
        <w:tc>
          <w:tcPr>
            <w:tcW w:w="1174" w:type="dxa"/>
            <w:tcBorders>
              <w:left w:val="single" w:color="000000" w:sz="4" w:space="0"/>
              <w:bottom w:val="single" w:color="000000" w:sz="4" w:space="0"/>
            </w:tcBorders>
            <w:vAlign w:val="center"/>
          </w:tcPr>
          <w:p>
            <w:pPr>
              <w:jc w:val="right"/>
              <w:rPr>
                <w:rFonts w:ascii="仿宋" w:hAnsi="仿宋" w:eastAsia="仿宋" w:cs="仿宋"/>
              </w:rPr>
            </w:pPr>
          </w:p>
        </w:tc>
        <w:tc>
          <w:tcPr>
            <w:tcW w:w="1277" w:type="dxa"/>
            <w:tcBorders>
              <w:left w:val="single" w:color="000000" w:sz="4" w:space="0"/>
              <w:bottom w:val="single" w:color="000000" w:sz="4" w:space="0"/>
            </w:tcBorders>
            <w:vAlign w:val="center"/>
          </w:tcPr>
          <w:p>
            <w:pPr>
              <w:jc w:val="right"/>
              <w:rPr>
                <w:rFonts w:ascii="仿宋" w:hAnsi="仿宋" w:eastAsia="仿宋" w:cs="仿宋"/>
              </w:rPr>
            </w:pPr>
          </w:p>
        </w:tc>
        <w:tc>
          <w:tcPr>
            <w:tcW w:w="1213"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1,082.70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188.48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894.22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1,046.85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894.22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2080804</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优抚事业单位支出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1,046.85</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894.22</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50.52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47.06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50.52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47.06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47.06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47.06</w:t>
            </w: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其他支出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彩票公益金安排的支出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用于社会福利的彩票公益金支出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66"/>
        <w:jc w:val="both"/>
        <w:rPr>
          <w:rFonts w:ascii="仿宋" w:hAnsi="仿宋" w:eastAsia="仿宋" w:cs="仿宋"/>
        </w:rPr>
      </w:pPr>
      <w:r>
        <w:rPr>
          <w:rFonts w:hint="eastAsia" w:ascii="仿宋" w:hAnsi="仿宋" w:eastAsia="仿宋" w:cs="仿宋"/>
          <w:color w:val="000000"/>
        </w:rPr>
        <w:t>注：</w:t>
      </w:r>
      <w:r>
        <w:rPr>
          <w:rFonts w:hint="eastAsia" w:ascii="仿宋" w:hAnsi="仿宋" w:eastAsia="仿宋" w:cs="仿宋"/>
        </w:rPr>
        <w:t>本表反映本年度取得的各项收入情况。本表金额单位转换时可能存在尾数误差。</w:t>
      </w:r>
    </w:p>
    <w:p>
      <w:pPr>
        <w:spacing w:before="66"/>
        <w:ind w:left="57" w:firstLine="220" w:firstLineChars="100"/>
        <w:jc w:val="both"/>
        <w:rPr>
          <w:rFonts w:ascii="仿宋" w:hAnsi="仿宋" w:eastAsia="仿宋" w:cs="仿宋"/>
        </w:rPr>
        <w:sectPr>
          <w:footerReference r:id="rId12"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rPr>
                <w:rFonts w:ascii="仿宋" w:hAnsi="仿宋" w:eastAsia="仿宋" w:cs="仿宋"/>
                <w:b/>
                <w:bCs/>
                <w:sz w:val="44"/>
                <w:szCs w:val="44"/>
              </w:rPr>
            </w:pPr>
            <w:r>
              <w:rPr>
                <w:rFonts w:hint="eastAsia" w:ascii="宋体" w:hAnsi="宋体" w:eastAsia="宋体" w:cs="宋体"/>
                <w:b/>
                <w:bCs/>
                <w:color w:val="000000"/>
                <w:lang w:eastAsia="ar-SA"/>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jc w:val="center"/>
              <w:rPr>
                <w:rFonts w:ascii="仿宋" w:hAnsi="仿宋" w:eastAsia="仿宋" w:cs="仿宋"/>
              </w:rPr>
            </w:pPr>
          </w:p>
        </w:tc>
        <w:tc>
          <w:tcPr>
            <w:tcW w:w="2011" w:type="dxa"/>
            <w:vAlign w:val="center"/>
          </w:tcPr>
          <w:p>
            <w:pPr>
              <w:pStyle w:val="22"/>
              <w:jc w:val="center"/>
              <w:rPr>
                <w:rFonts w:ascii="仿宋" w:hAnsi="仿宋" w:eastAsia="仿宋" w:cs="仿宋"/>
                <w:sz w:val="20"/>
              </w:rPr>
            </w:pPr>
          </w:p>
        </w:tc>
        <w:tc>
          <w:tcPr>
            <w:tcW w:w="1486" w:type="dxa"/>
            <w:vAlign w:val="center"/>
          </w:tcPr>
          <w:p>
            <w:pPr>
              <w:pStyle w:val="22"/>
              <w:jc w:val="center"/>
              <w:rPr>
                <w:rFonts w:ascii="仿宋" w:hAnsi="仿宋" w:eastAsia="仿宋" w:cs="仿宋"/>
                <w:sz w:val="20"/>
              </w:rPr>
            </w:pPr>
          </w:p>
        </w:tc>
        <w:tc>
          <w:tcPr>
            <w:tcW w:w="1564" w:type="dxa"/>
            <w:vAlign w:val="center"/>
          </w:tcPr>
          <w:p>
            <w:pPr>
              <w:pStyle w:val="22"/>
              <w:jc w:val="center"/>
              <w:rPr>
                <w:rFonts w:ascii="仿宋" w:hAnsi="仿宋" w:eastAsia="仿宋" w:cs="仿宋"/>
                <w:sz w:val="20"/>
              </w:rPr>
            </w:pPr>
          </w:p>
        </w:tc>
        <w:tc>
          <w:tcPr>
            <w:tcW w:w="1593" w:type="dxa"/>
            <w:vAlign w:val="center"/>
          </w:tcPr>
          <w:p>
            <w:pPr>
              <w:pStyle w:val="22"/>
              <w:jc w:val="center"/>
              <w:rPr>
                <w:rFonts w:ascii="仿宋" w:hAnsi="仿宋" w:eastAsia="仿宋" w:cs="仿宋"/>
                <w:sz w:val="20"/>
              </w:rPr>
            </w:pP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2011"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4183"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11" w:type="dxa"/>
            <w:vMerge w:val="continue"/>
            <w:tcBorders>
              <w:left w:val="single" w:color="000000" w:sz="4" w:space="0"/>
              <w:bottom w:val="single" w:color="000000" w:sz="4" w:space="0"/>
            </w:tcBorders>
          </w:tcPr>
          <w:p>
            <w:pPr>
              <w:rPr>
                <w:rFonts w:ascii="仿宋" w:hAnsi="仿宋" w:eastAsia="仿宋" w:cs="仿宋"/>
              </w:rPr>
            </w:pPr>
          </w:p>
        </w:tc>
        <w:tc>
          <w:tcPr>
            <w:tcW w:w="1486" w:type="dxa"/>
            <w:vMerge w:val="continue"/>
            <w:tcBorders>
              <w:left w:val="single" w:color="000000" w:sz="4" w:space="0"/>
              <w:bottom w:val="single" w:color="000000" w:sz="4" w:space="0"/>
            </w:tcBorders>
          </w:tcPr>
          <w:p>
            <w:pPr>
              <w:rPr>
                <w:rFonts w:ascii="仿宋" w:hAnsi="仿宋" w:eastAsia="仿宋" w:cs="仿宋"/>
              </w:rPr>
            </w:pPr>
          </w:p>
        </w:tc>
        <w:tc>
          <w:tcPr>
            <w:tcW w:w="1564" w:type="dxa"/>
            <w:vMerge w:val="continue"/>
            <w:tcBorders>
              <w:left w:val="single" w:color="000000" w:sz="4" w:space="0"/>
              <w:bottom w:val="single" w:color="000000" w:sz="4" w:space="0"/>
            </w:tcBorders>
          </w:tcPr>
          <w:p>
            <w:pPr>
              <w:rPr>
                <w:rFonts w:ascii="仿宋" w:hAnsi="仿宋" w:eastAsia="仿宋" w:cs="仿宋"/>
              </w:rPr>
            </w:pPr>
          </w:p>
        </w:tc>
        <w:tc>
          <w:tcPr>
            <w:tcW w:w="1593" w:type="dxa"/>
            <w:vMerge w:val="continue"/>
            <w:tcBorders>
              <w:left w:val="single" w:color="000000" w:sz="4" w:space="0"/>
              <w:bottom w:val="single" w:color="000000" w:sz="4" w:space="0"/>
            </w:tcBorders>
          </w:tcPr>
          <w:p>
            <w:pPr>
              <w:rPr>
                <w:rFonts w:ascii="仿宋" w:hAnsi="仿宋" w:eastAsia="仿宋" w:cs="仿宋"/>
              </w:rPr>
            </w:pPr>
          </w:p>
        </w:tc>
        <w:tc>
          <w:tcPr>
            <w:tcW w:w="1472" w:type="dxa"/>
            <w:vMerge w:val="continue"/>
            <w:tcBorders>
              <w:left w:val="single" w:color="000000" w:sz="4" w:space="0"/>
              <w:bottom w:val="single" w:color="000000" w:sz="4" w:space="0"/>
            </w:tcBorders>
          </w:tcPr>
          <w:p>
            <w:pPr>
              <w:rPr>
                <w:rFonts w:ascii="仿宋" w:hAnsi="仿宋" w:eastAsia="仿宋" w:cs="仿宋"/>
              </w:rPr>
            </w:pPr>
          </w:p>
        </w:tc>
        <w:tc>
          <w:tcPr>
            <w:tcW w:w="1482"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11"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1,364.27</w:t>
            </w:r>
          </w:p>
        </w:tc>
        <w:tc>
          <w:tcPr>
            <w:tcW w:w="1486"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1,184.27</w:t>
            </w:r>
          </w:p>
        </w:tc>
        <w:tc>
          <w:tcPr>
            <w:tcW w:w="156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180.00</w:t>
            </w:r>
          </w:p>
        </w:tc>
        <w:tc>
          <w:tcPr>
            <w:tcW w:w="1593" w:type="dxa"/>
            <w:tcBorders>
              <w:left w:val="single" w:color="000000" w:sz="4" w:space="0"/>
              <w:bottom w:val="single" w:color="000000" w:sz="4" w:space="0"/>
            </w:tcBorders>
            <w:vAlign w:val="center"/>
          </w:tcPr>
          <w:p>
            <w:pPr>
              <w:jc w:val="right"/>
              <w:rPr>
                <w:rFonts w:ascii="仿宋" w:hAnsi="仿宋" w:eastAsia="仿宋" w:cs="仿宋"/>
              </w:rPr>
            </w:pPr>
          </w:p>
        </w:tc>
        <w:tc>
          <w:tcPr>
            <w:tcW w:w="1472" w:type="dxa"/>
            <w:tcBorders>
              <w:left w:val="single" w:color="000000" w:sz="4" w:space="0"/>
              <w:bottom w:val="single" w:color="000000" w:sz="4" w:space="0"/>
            </w:tcBorders>
            <w:vAlign w:val="center"/>
          </w:tcPr>
          <w:p>
            <w:pPr>
              <w:jc w:val="right"/>
              <w:rPr>
                <w:rFonts w:ascii="仿宋" w:hAnsi="仿宋" w:eastAsia="仿宋" w:cs="仿宋"/>
              </w:rPr>
            </w:pPr>
          </w:p>
        </w:tc>
        <w:tc>
          <w:tcPr>
            <w:tcW w:w="1482"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1,163.76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1,133.76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35.85</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35.85</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25.19</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25.19</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2080506</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10.66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10.66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20808</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抚恤</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1,127.91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1,097.91</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2080804</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优抚事业单位支出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1,127.91</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1,097.91</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50.52</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50.52</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50.52</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50.52</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47.06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47.06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3.46</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3.46</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其他支出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22960</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彩票公益金安排的支出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2296002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用于社会福利的彩票公益金支出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150.00</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bl>
    <w:p>
      <w:pPr>
        <w:spacing w:before="59"/>
        <w:rPr>
          <w:rFonts w:ascii="仿宋" w:hAnsi="仿宋" w:eastAsia="仿宋" w:cs="仿宋"/>
        </w:rPr>
      </w:pPr>
      <w:r>
        <w:rPr>
          <w:rFonts w:hint="eastAsia" w:ascii="仿宋" w:hAnsi="仿宋" w:eastAsia="仿宋" w:cs="仿宋"/>
        </w:rPr>
        <w:t>注：本表反映本年度各项支出情况。本表金额单位转换时可能存在尾数误差。</w:t>
      </w:r>
    </w:p>
    <w:p>
      <w:pPr>
        <w:spacing w:before="59"/>
        <w:ind w:left="57"/>
        <w:rPr>
          <w:rFonts w:ascii="仿宋" w:hAnsi="仿宋" w:eastAsia="仿宋" w:cs="仿宋"/>
        </w:rPr>
        <w:sectPr>
          <w:footerReference r:id="rId13"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jc w:val="center"/>
              <w:rPr>
                <w:rFonts w:ascii="仿宋" w:hAnsi="仿宋" w:eastAsia="仿宋" w:cs="仿宋"/>
                <w:b/>
                <w:bCs/>
                <w:sz w:val="44"/>
                <w:szCs w:val="44"/>
              </w:rPr>
            </w:pPr>
            <w:r>
              <w:rPr>
                <w:rFonts w:hint="eastAsia"/>
                <w:b/>
                <w:bCs/>
                <w:color w:val="000000"/>
                <w:sz w:val="36"/>
                <w:szCs w:val="36"/>
                <w:lang w:eastAsia="ar-SA"/>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rPr>
                <w:rFonts w:ascii="仿宋" w:hAnsi="仿宋" w:eastAsia="仿宋" w:cs="仿宋"/>
                <w:sz w:val="20"/>
              </w:rPr>
            </w:pPr>
          </w:p>
        </w:tc>
        <w:tc>
          <w:tcPr>
            <w:tcW w:w="847" w:type="dxa"/>
          </w:tcPr>
          <w:p>
            <w:pPr>
              <w:pStyle w:val="22"/>
              <w:rPr>
                <w:rFonts w:ascii="仿宋" w:hAnsi="仿宋" w:eastAsia="仿宋" w:cs="仿宋"/>
                <w:sz w:val="20"/>
              </w:rPr>
            </w:pPr>
          </w:p>
        </w:tc>
        <w:tc>
          <w:tcPr>
            <w:tcW w:w="1913" w:type="dxa"/>
          </w:tcPr>
          <w:p>
            <w:pPr>
              <w:pStyle w:val="22"/>
              <w:rPr>
                <w:rFonts w:ascii="仿宋" w:hAnsi="仿宋" w:eastAsia="仿宋" w:cs="仿宋"/>
                <w:sz w:val="20"/>
              </w:rPr>
            </w:pPr>
          </w:p>
        </w:tc>
        <w:tc>
          <w:tcPr>
            <w:tcW w:w="2635" w:type="dxa"/>
            <w:gridSpan w:val="2"/>
          </w:tcPr>
          <w:p>
            <w:pPr>
              <w:pStyle w:val="22"/>
              <w:rPr>
                <w:rFonts w:ascii="仿宋" w:hAnsi="仿宋" w:eastAsia="仿宋" w:cs="仿宋"/>
                <w:sz w:val="20"/>
              </w:rPr>
            </w:pPr>
          </w:p>
        </w:tc>
        <w:tc>
          <w:tcPr>
            <w:tcW w:w="1194" w:type="dxa"/>
          </w:tcPr>
          <w:p>
            <w:pPr>
              <w:pStyle w:val="22"/>
              <w:rPr>
                <w:rFonts w:ascii="仿宋" w:hAnsi="仿宋" w:eastAsia="仿宋" w:cs="仿宋"/>
                <w:sz w:val="20"/>
              </w:rPr>
            </w:pP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收</w:t>
            </w:r>
            <w:r>
              <w:rPr>
                <w:rFonts w:hint="eastAsia" w:ascii="仿宋" w:hAnsi="仿宋" w:eastAsia="仿宋" w:cs="仿宋"/>
              </w:rPr>
              <w:tab/>
            </w:r>
            <w:r>
              <w:rPr>
                <w:rFonts w:hint="eastAsia" w:ascii="仿宋" w:hAnsi="仿宋" w:eastAsia="仿宋" w:cs="仿宋"/>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jc w:val="center"/>
              <w:rPr>
                <w:rFonts w:ascii="仿宋" w:hAnsi="仿宋" w:eastAsia="仿宋" w:cs="仿宋"/>
              </w:rPr>
            </w:pPr>
            <w:r>
              <w:rPr>
                <w:rFonts w:hint="eastAsia" w:ascii="仿宋" w:hAnsi="仿宋" w:eastAsia="仿宋" w:cs="仿宋"/>
              </w:rPr>
              <w:t>支</w:t>
            </w:r>
            <w:r>
              <w:rPr>
                <w:rFonts w:hint="eastAsia" w:ascii="仿宋" w:hAnsi="仿宋" w:eastAsia="仿宋" w:cs="仿宋"/>
              </w:rPr>
              <w:tab/>
            </w:r>
            <w:r>
              <w:rPr>
                <w:rFonts w:hint="eastAsia" w:ascii="仿宋" w:hAnsi="仿宋" w:eastAsia="仿宋" w:cs="仿宋"/>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837"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决算数</w:t>
            </w:r>
          </w:p>
        </w:tc>
        <w:tc>
          <w:tcPr>
            <w:tcW w:w="3667" w:type="dxa"/>
            <w:gridSpan w:val="3"/>
            <w:vMerge w:val="restart"/>
            <w:tcBorders>
              <w:left w:val="single" w:color="000000" w:sz="4" w:space="0"/>
              <w:bottom w:val="single" w:color="000000" w:sz="4" w:space="0"/>
            </w:tcBorders>
            <w:vAlign w:val="center"/>
          </w:tcPr>
          <w:p>
            <w:pPr>
              <w:jc w:val="center"/>
              <w:rPr>
                <w:rFonts w:ascii="仿宋" w:hAnsi="仿宋" w:eastAsia="仿宋" w:cs="仿宋"/>
              </w:rPr>
            </w:pPr>
            <w:r>
              <w:rPr>
                <w:rFonts w:hint="eastAsia" w:ascii="仿宋" w:hAnsi="仿宋" w:eastAsia="仿宋" w:cs="仿宋"/>
              </w:rPr>
              <w:t>按功能分类</w:t>
            </w:r>
          </w:p>
        </w:tc>
        <w:tc>
          <w:tcPr>
            <w:tcW w:w="6143" w:type="dxa"/>
            <w:gridSpan w:val="5"/>
            <w:tcBorders>
              <w:left w:val="single" w:color="000000" w:sz="4" w:space="0"/>
              <w:bottom w:val="single" w:color="000000" w:sz="4" w:space="0"/>
              <w:right w:val="single" w:color="000000" w:sz="4" w:space="0"/>
            </w:tcBorders>
            <w:vAlign w:val="center"/>
          </w:tcPr>
          <w:p>
            <w:pPr>
              <w:jc w:val="center"/>
              <w:rPr>
                <w:rFonts w:ascii="仿宋" w:hAnsi="仿宋" w:eastAsia="仿宋" w:cs="仿宋"/>
              </w:rPr>
            </w:pPr>
            <w:r>
              <w:rPr>
                <w:rFonts w:hint="eastAsia" w:ascii="仿宋" w:hAnsi="仿宋" w:eastAsia="仿宋" w:cs="仿宋"/>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rPr>
                <w:rFonts w:ascii="仿宋" w:hAnsi="仿宋" w:eastAsia="仿宋" w:cs="仿宋"/>
              </w:rPr>
            </w:pPr>
          </w:p>
        </w:tc>
        <w:tc>
          <w:tcPr>
            <w:tcW w:w="1837" w:type="dxa"/>
            <w:vMerge w:val="continue"/>
            <w:tcBorders>
              <w:left w:val="single" w:color="000000" w:sz="4" w:space="0"/>
              <w:bottom w:val="single" w:color="000000" w:sz="4" w:space="0"/>
            </w:tcBorders>
          </w:tcPr>
          <w:p>
            <w:pPr>
              <w:pStyle w:val="22"/>
              <w:rPr>
                <w:rFonts w:ascii="仿宋" w:hAnsi="仿宋" w:eastAsia="仿宋" w:cs="仿宋"/>
              </w:rPr>
            </w:pPr>
          </w:p>
        </w:tc>
        <w:tc>
          <w:tcPr>
            <w:tcW w:w="3667" w:type="dxa"/>
            <w:gridSpan w:val="3"/>
            <w:vMerge w:val="continue"/>
            <w:tcBorders>
              <w:left w:val="single" w:color="000000" w:sz="4" w:space="0"/>
              <w:bottom w:val="single" w:color="000000" w:sz="4" w:space="0"/>
            </w:tcBorders>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415"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一般公共预算财政拨款</w:t>
            </w:r>
          </w:p>
        </w:tc>
        <w:tc>
          <w:tcPr>
            <w:tcW w:w="15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191.94</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188.48</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188.48</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本年收入合计</w:t>
            </w:r>
          </w:p>
        </w:tc>
        <w:tc>
          <w:tcPr>
            <w:tcW w:w="1837"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341.94</w:t>
            </w:r>
          </w:p>
        </w:tc>
        <w:tc>
          <w:tcPr>
            <w:tcW w:w="3667" w:type="dxa"/>
            <w:gridSpan w:val="3"/>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本年支出合计</w:t>
            </w:r>
          </w:p>
        </w:tc>
        <w:tc>
          <w:tcPr>
            <w:tcW w:w="1728"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341.94</w:t>
            </w:r>
          </w:p>
        </w:tc>
        <w:tc>
          <w:tcPr>
            <w:tcW w:w="1415" w:type="dxa"/>
            <w:gridSpan w:val="2"/>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191.94</w:t>
            </w:r>
          </w:p>
        </w:tc>
        <w:tc>
          <w:tcPr>
            <w:tcW w:w="1500"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c>
          <w:tcPr>
            <w:tcW w:w="150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年初财政拨款结转和结余</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年末财政拨款结转和结余</w:t>
            </w: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837"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341.94</w:t>
            </w:r>
          </w:p>
        </w:tc>
        <w:tc>
          <w:tcPr>
            <w:tcW w:w="366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72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341.94</w:t>
            </w:r>
          </w:p>
        </w:tc>
        <w:tc>
          <w:tcPr>
            <w:tcW w:w="1415" w:type="dxa"/>
            <w:gridSpan w:val="2"/>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191.94</w:t>
            </w:r>
          </w:p>
        </w:tc>
        <w:tc>
          <w:tcPr>
            <w:tcW w:w="1500"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c>
          <w:tcPr>
            <w:tcW w:w="1500"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lang w:val="en-US"/>
        </w:rPr>
        <w:t>注：</w:t>
      </w:r>
      <w:r>
        <w:rPr>
          <w:rFonts w:hint="eastAsia" w:ascii="仿宋" w:hAnsi="仿宋" w:eastAsia="仿宋" w:cs="仿宋"/>
        </w:rPr>
        <w:t>本表反映本年度一般公共预算财政拨款、政府性基金预算财政拨款和国有资本经营预算财政拨款的总收支和年末结转结余情况。本表金额单位转换时可能存在尾数误差。</w:t>
      </w:r>
    </w:p>
    <w:p>
      <w:pPr>
        <w:jc w:val="both"/>
        <w:rPr>
          <w:rFonts w:ascii="仿宋" w:hAnsi="仿宋" w:eastAsia="仿宋" w:cs="仿宋"/>
        </w:rPr>
        <w:sectPr>
          <w:footerReference r:id="rId14"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rPr>
                <w:rFonts w:ascii="仿宋" w:hAnsi="仿宋" w:eastAsia="仿宋" w:cs="仿宋"/>
                <w:sz w:val="20"/>
              </w:rPr>
            </w:pPr>
          </w:p>
        </w:tc>
        <w:tc>
          <w:tcPr>
            <w:tcW w:w="3184" w:type="dxa"/>
          </w:tcPr>
          <w:p>
            <w:pPr>
              <w:pStyle w:val="22"/>
              <w:rPr>
                <w:rFonts w:ascii="仿宋" w:hAnsi="仿宋" w:eastAsia="仿宋" w:cs="仿宋"/>
                <w:sz w:val="27"/>
              </w:rPr>
            </w:pPr>
          </w:p>
        </w:tc>
        <w:tc>
          <w:tcPr>
            <w:tcW w:w="5933" w:type="dxa"/>
            <w:gridSpan w:val="2"/>
            <w:vAlign w:val="center"/>
          </w:tcPr>
          <w:p>
            <w:pPr>
              <w:pStyle w:val="22"/>
              <w:jc w:val="right"/>
              <w:rPr>
                <w:rFonts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3184" w:type="dxa"/>
          </w:tcPr>
          <w:p>
            <w:pPr>
              <w:pStyle w:val="22"/>
              <w:rPr>
                <w:rFonts w:ascii="仿宋" w:hAnsi="仿宋" w:eastAsia="仿宋" w:cs="仿宋"/>
                <w:sz w:val="27"/>
              </w:rPr>
            </w:pPr>
          </w:p>
        </w:tc>
        <w:tc>
          <w:tcPr>
            <w:tcW w:w="2778" w:type="dxa"/>
            <w:vAlign w:val="center"/>
          </w:tcPr>
          <w:p>
            <w:pPr>
              <w:pStyle w:val="22"/>
              <w:jc w:val="right"/>
              <w:rPr>
                <w:rFonts w:ascii="仿宋" w:hAnsi="仿宋" w:eastAsia="仿宋" w:cs="仿宋"/>
                <w:sz w:val="27"/>
              </w:rPr>
            </w:pPr>
          </w:p>
        </w:tc>
        <w:tc>
          <w:tcPr>
            <w:tcW w:w="3155"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184"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502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184" w:type="dxa"/>
            <w:vMerge w:val="continue"/>
            <w:tcBorders>
              <w:left w:val="single" w:color="000000" w:sz="6" w:space="0"/>
              <w:bottom w:val="single" w:color="000000" w:sz="6" w:space="0"/>
            </w:tcBorders>
          </w:tcPr>
          <w:p>
            <w:pPr>
              <w:rPr>
                <w:rFonts w:ascii="仿宋" w:hAnsi="仿宋" w:eastAsia="仿宋" w:cs="仿宋"/>
              </w:rPr>
            </w:pPr>
          </w:p>
        </w:tc>
        <w:tc>
          <w:tcPr>
            <w:tcW w:w="2778" w:type="dxa"/>
            <w:vMerge w:val="continue"/>
            <w:tcBorders>
              <w:left w:val="single" w:color="000000" w:sz="6" w:space="0"/>
              <w:bottom w:val="single" w:color="000000" w:sz="6" w:space="0"/>
            </w:tcBorders>
          </w:tcPr>
          <w:p>
            <w:pPr>
              <w:rPr>
                <w:rFonts w:ascii="仿宋" w:hAnsi="仿宋" w:eastAsia="仿宋" w:cs="仿宋"/>
              </w:rPr>
            </w:pPr>
          </w:p>
        </w:tc>
        <w:tc>
          <w:tcPr>
            <w:tcW w:w="3155" w:type="dxa"/>
            <w:vMerge w:val="continue"/>
            <w:tcBorders>
              <w:left w:val="single" w:color="000000" w:sz="6" w:space="0"/>
              <w:bottom w:val="single" w:color="000000" w:sz="6" w:space="0"/>
              <w:right w:val="single" w:color="000000" w:sz="6"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318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27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3155"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184"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341.94</w:t>
            </w:r>
          </w:p>
        </w:tc>
        <w:tc>
          <w:tcPr>
            <w:tcW w:w="2778"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161.94</w:t>
            </w:r>
          </w:p>
        </w:tc>
        <w:tc>
          <w:tcPr>
            <w:tcW w:w="3155" w:type="dxa"/>
            <w:tcBorders>
              <w:left w:val="single" w:color="000000" w:sz="6" w:space="0"/>
              <w:bottom w:val="single" w:color="000000" w:sz="6" w:space="0"/>
              <w:right w:val="single" w:color="000000" w:sz="6" w:space="0"/>
            </w:tcBorders>
          </w:tcPr>
          <w:p>
            <w:pPr>
              <w:pStyle w:val="22"/>
              <w:jc w:val="right"/>
              <w:rPr>
                <w:rFonts w:ascii="仿宋" w:hAnsi="仿宋" w:eastAsia="仿宋" w:cs="仿宋"/>
              </w:rPr>
            </w:pPr>
            <w:r>
              <w:rPr>
                <w:rFonts w:hint="eastAsia" w:ascii="仿宋" w:hAnsi="仿宋" w:eastAsia="仿宋" w:cs="仿宋"/>
              </w:rPr>
              <w:t>180.00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188.48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2080804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优抚事业单位支出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其他支出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彩票公益金安排的支出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150.00</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用于社会福利的彩票公益金支出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150.00</w:t>
            </w:r>
          </w:p>
        </w:tc>
      </w:tr>
    </w:tbl>
    <w:p>
      <w:pPr>
        <w:tabs>
          <w:tab w:val="left" w:pos="0"/>
        </w:tabs>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注：本表反映本年度一般公共预算财政拨款、政府性基金预算财政拨款和国有资本经营预算财政拨款支出情况。本表金额单位转换时可能存在尾数误差。</w:t>
      </w:r>
    </w:p>
    <w:p>
      <w:pPr>
        <w:tabs>
          <w:tab w:val="left" w:pos="55"/>
        </w:tabs>
        <w:jc w:val="both"/>
        <w:rPr>
          <w:rFonts w:ascii="仿宋" w:hAnsi="仿宋" w:eastAsia="仿宋" w:cs="仿宋"/>
        </w:rPr>
        <w:sectPr>
          <w:footerReference r:id="rId15"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rPr>
                <w:rFonts w:ascii="仿宋" w:hAnsi="仿宋" w:eastAsia="仿宋" w:cs="仿宋"/>
                <w:sz w:val="20"/>
              </w:rPr>
            </w:pPr>
          </w:p>
        </w:tc>
        <w:tc>
          <w:tcPr>
            <w:tcW w:w="2047" w:type="dxa"/>
          </w:tcPr>
          <w:p>
            <w:pPr>
              <w:pStyle w:val="22"/>
              <w:rPr>
                <w:rFonts w:ascii="仿宋" w:hAnsi="仿宋" w:eastAsia="仿宋" w:cs="仿宋"/>
                <w:sz w:val="20"/>
              </w:rPr>
            </w:pPr>
          </w:p>
        </w:tc>
        <w:tc>
          <w:tcPr>
            <w:tcW w:w="2040" w:type="dxa"/>
          </w:tcPr>
          <w:p>
            <w:pPr>
              <w:pStyle w:val="22"/>
              <w:rPr>
                <w:rFonts w:ascii="仿宋" w:hAnsi="仿宋" w:eastAsia="仿宋" w:cs="仿宋"/>
                <w:sz w:val="20"/>
              </w:rPr>
            </w:pPr>
          </w:p>
        </w:tc>
        <w:tc>
          <w:tcPr>
            <w:tcW w:w="1896" w:type="dxa"/>
            <w:vAlign w:val="center"/>
          </w:tcPr>
          <w:p>
            <w:pPr>
              <w:pStyle w:val="22"/>
              <w:jc w:val="right"/>
              <w:rPr>
                <w:rFonts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1896"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161.94</w:t>
            </w:r>
          </w:p>
        </w:tc>
        <w:tc>
          <w:tcPr>
            <w:tcW w:w="204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161.94</w:t>
            </w:r>
          </w:p>
        </w:tc>
        <w:tc>
          <w:tcPr>
            <w:tcW w:w="1896"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tabs>
          <w:tab w:val="left" w:pos="660"/>
          <w:tab w:val="left" w:pos="10780"/>
        </w:tabs>
        <w:spacing w:before="25" w:line="290" w:lineRule="auto"/>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注：本表反映本年度一般公共预算财政拨款、政府性基金预算财政拨款和国有资本经营预算财政拨款基本支出情况。本表金额单位转换时可能存在尾数误差。</w:t>
      </w:r>
    </w:p>
    <w:p>
      <w:pPr>
        <w:spacing w:line="255" w:lineRule="exact"/>
        <w:jc w:val="both"/>
        <w:rPr>
          <w:rFonts w:ascii="仿宋" w:hAnsi="仿宋" w:eastAsia="仿宋" w:cs="仿宋"/>
        </w:rPr>
        <w:sectPr>
          <w:footerReference r:id="rId16" w:type="default"/>
          <w:pgSz w:w="11906" w:h="16838"/>
          <w:pgMar w:top="720" w:right="720" w:bottom="720" w:left="720" w:header="170" w:footer="280" w:gutter="0"/>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rPr>
                <w:rFonts w:ascii="仿宋" w:hAnsi="仿宋" w:eastAsia="仿宋" w:cs="仿宋"/>
                <w:sz w:val="20"/>
              </w:rPr>
            </w:pPr>
          </w:p>
        </w:tc>
        <w:tc>
          <w:tcPr>
            <w:tcW w:w="1969" w:type="dxa"/>
          </w:tcPr>
          <w:p>
            <w:pPr>
              <w:pStyle w:val="22"/>
              <w:rPr>
                <w:rFonts w:ascii="仿宋" w:hAnsi="仿宋" w:eastAsia="仿宋" w:cs="仿宋"/>
                <w:sz w:val="20"/>
              </w:rPr>
            </w:pPr>
          </w:p>
        </w:tc>
        <w:tc>
          <w:tcPr>
            <w:tcW w:w="1499" w:type="dxa"/>
          </w:tcPr>
          <w:p>
            <w:pPr>
              <w:pStyle w:val="22"/>
              <w:rPr>
                <w:rFonts w:ascii="仿宋" w:hAnsi="仿宋" w:eastAsia="仿宋" w:cs="仿宋"/>
                <w:sz w:val="20"/>
              </w:rPr>
            </w:pPr>
          </w:p>
        </w:tc>
        <w:tc>
          <w:tcPr>
            <w:tcW w:w="1512" w:type="dxa"/>
            <w:vAlign w:val="center"/>
          </w:tcPr>
          <w:p>
            <w:pPr>
              <w:pStyle w:val="22"/>
              <w:jc w:val="right"/>
              <w:rPr>
                <w:rFonts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3011" w:type="dxa"/>
            <w:gridSpan w:val="2"/>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rPr>
                <w:rFonts w:ascii="仿宋" w:hAnsi="仿宋" w:eastAsia="仿宋" w:cs="仿宋"/>
                <w:sz w:val="2"/>
                <w:szCs w:val="2"/>
              </w:rPr>
            </w:pPr>
          </w:p>
        </w:tc>
        <w:tc>
          <w:tcPr>
            <w:tcW w:w="1499" w:type="dxa"/>
            <w:vMerge w:val="continue"/>
            <w:tcBorders>
              <w:left w:val="single" w:color="000000" w:sz="6" w:space="0"/>
              <w:bottom w:val="single" w:color="000000" w:sz="6" w:space="0"/>
            </w:tcBorders>
          </w:tcPr>
          <w:p>
            <w:pPr>
              <w:rPr>
                <w:rFonts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191.94</w:t>
            </w:r>
          </w:p>
        </w:tc>
        <w:tc>
          <w:tcPr>
            <w:tcW w:w="149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161.94</w:t>
            </w:r>
          </w:p>
        </w:tc>
        <w:tc>
          <w:tcPr>
            <w:tcW w:w="1512" w:type="dxa"/>
            <w:tcBorders>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188.48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35.85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抚恤</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2080804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优抚事业单位支出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152.63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30.00</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spacing w:before="25"/>
        <w:jc w:val="both"/>
        <w:rPr>
          <w:rFonts w:ascii="仿宋" w:hAnsi="仿宋" w:eastAsia="仿宋" w:cs="仿宋"/>
        </w:rPr>
      </w:pPr>
      <w:r>
        <w:rPr>
          <w:rFonts w:hint="eastAsia" w:ascii="仿宋" w:hAnsi="仿宋" w:eastAsia="仿宋" w:cs="仿宋"/>
        </w:rPr>
        <w:t>注：本表反映本年度一般公共预算财政拨款支出情况。本表金额单位转换时可能存在尾数误差。</w:t>
      </w:r>
    </w:p>
    <w:p>
      <w:pPr>
        <w:spacing w:before="25"/>
        <w:jc w:val="both"/>
        <w:rPr>
          <w:rFonts w:ascii="仿宋" w:hAnsi="仿宋" w:eastAsia="仿宋" w:cs="仿宋"/>
        </w:rPr>
        <w:sectPr>
          <w:footerReference r:id="rId17" w:type="default"/>
          <w:pgSz w:w="11906" w:h="16838"/>
          <w:pgMar w:top="720" w:right="720" w:bottom="720" w:left="720" w:header="170" w:footer="280" w:gutter="0"/>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jc w:val="center"/>
              <w:rPr>
                <w:rFonts w:ascii="仿宋" w:hAnsi="仿宋" w:eastAsia="仿宋" w:cs="仿宋"/>
                <w:b/>
                <w:bCs/>
                <w:sz w:val="44"/>
                <w:szCs w:val="44"/>
              </w:rPr>
            </w:pPr>
            <w:r>
              <w:rPr>
                <w:rFonts w:hint="eastAsia"/>
                <w:b/>
                <w:bCs/>
                <w:color w:val="000000"/>
                <w:sz w:val="36"/>
                <w:szCs w:val="36"/>
                <w:lang w:eastAsia="ar-SA"/>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jc w:val="right"/>
              <w:rPr>
                <w:rFonts w:ascii="仿宋" w:hAnsi="仿宋" w:eastAsia="仿宋" w:cs="仿宋"/>
                <w:color w:val="000000"/>
              </w:rPr>
            </w:pPr>
          </w:p>
        </w:tc>
        <w:tc>
          <w:tcPr>
            <w:tcW w:w="1878" w:type="dxa"/>
            <w:vAlign w:val="center"/>
          </w:tcPr>
          <w:p>
            <w:pPr>
              <w:pStyle w:val="22"/>
              <w:jc w:val="right"/>
              <w:rPr>
                <w:rFonts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1878"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161.94</w:t>
            </w:r>
          </w:p>
        </w:tc>
        <w:tc>
          <w:tcPr>
            <w:tcW w:w="170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161.94</w:t>
            </w:r>
          </w:p>
        </w:tc>
        <w:tc>
          <w:tcPr>
            <w:tcW w:w="187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158.48</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122.63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25.19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10.66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3.46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25"/>
        <w:ind w:right="-92" w:rightChars="-42"/>
        <w:jc w:val="both"/>
        <w:rPr>
          <w:rFonts w:ascii="仿宋" w:hAnsi="仿宋" w:eastAsia="仿宋" w:cs="仿宋"/>
        </w:rPr>
      </w:pPr>
      <w:r>
        <w:rPr>
          <w:rFonts w:hint="eastAsia" w:ascii="仿宋" w:hAnsi="仿宋" w:eastAsia="仿宋" w:cs="仿宋"/>
        </w:rPr>
        <w:t>注：本表反映本年度一般公共预算财政拨款基本支出情况。本表金额单位转换时可能存在尾数误差。</w:t>
      </w:r>
    </w:p>
    <w:p>
      <w:pPr>
        <w:spacing w:before="25"/>
        <w:jc w:val="both"/>
        <w:rPr>
          <w:rFonts w:ascii="仿宋" w:hAnsi="仿宋" w:eastAsia="仿宋" w:cs="仿宋"/>
        </w:rPr>
        <w:sectPr>
          <w:footerReference r:id="rId18" w:type="default"/>
          <w:pgSz w:w="11906" w:h="16838"/>
          <w:pgMar w:top="720" w:right="720" w:bottom="720" w:left="720" w:header="170" w:footer="280" w:gutter="0"/>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jc w:val="center"/>
              <w:rPr>
                <w:rFonts w:ascii="仿宋" w:hAnsi="仿宋" w:eastAsia="仿宋" w:cs="仿宋"/>
                <w:b/>
                <w:bCs/>
                <w:sz w:val="44"/>
                <w:szCs w:val="44"/>
              </w:rPr>
            </w:pPr>
            <w:r>
              <w:rPr>
                <w:rFonts w:hint="eastAsia"/>
                <w:b/>
                <w:bCs/>
                <w:color w:val="000000"/>
                <w:sz w:val="36"/>
                <w:szCs w:val="36"/>
                <w:lang w:eastAsia="ar-SA"/>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jc w:val="right"/>
              <w:rPr>
                <w:rFonts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8274" w:type="dxa"/>
            <w:gridSpan w:val="8"/>
            <w:tcBorders>
              <w:bottom w:val="single" w:color="auto" w:sz="4" w:space="0"/>
            </w:tcBorders>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rPr>
            </w:pPr>
            <w:r>
              <w:rPr>
                <w:rFonts w:hint="eastAsia" w:ascii="仿宋" w:hAnsi="仿宋" w:eastAsia="仿宋" w:cs="仿宋"/>
                <w:lang w:val="en-US"/>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lang w:val="en-US"/>
              </w:rPr>
            </w:pPr>
            <w:r>
              <w:rPr>
                <w:rFonts w:hint="eastAsia" w:ascii="仿宋" w:hAnsi="仿宋" w:eastAsia="仿宋" w:cs="仿宋"/>
                <w:lang w:val="en-US"/>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jc w:val="center"/>
              <w:rPr>
                <w:rFonts w:ascii="仿宋" w:hAnsi="仿宋" w:eastAsia="仿宋" w:cs="仿宋"/>
                <w:sz w:val="20"/>
              </w:rPr>
            </w:pPr>
          </w:p>
        </w:tc>
        <w:tc>
          <w:tcPr>
            <w:tcW w:w="1010"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2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rPr>
                <w:rFonts w:ascii="仿宋" w:hAnsi="仿宋" w:eastAsia="仿宋" w:cs="仿宋"/>
                <w:sz w:val="2"/>
                <w:szCs w:val="2"/>
              </w:rPr>
            </w:pPr>
          </w:p>
        </w:tc>
        <w:tc>
          <w:tcPr>
            <w:tcW w:w="1042" w:type="dxa"/>
            <w:vMerge w:val="continue"/>
            <w:tcBorders>
              <w:left w:val="single" w:color="000000" w:sz="4" w:space="0"/>
              <w:bottom w:val="single" w:color="000000" w:sz="4" w:space="0"/>
            </w:tcBorders>
          </w:tcPr>
          <w:p>
            <w:pPr>
              <w:rPr>
                <w:rFonts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rPr>
                <w:rFonts w:ascii="仿宋" w:hAnsi="仿宋" w:eastAsia="仿宋" w:cs="仿宋"/>
                <w:sz w:val="2"/>
                <w:szCs w:val="2"/>
              </w:rPr>
            </w:pPr>
          </w:p>
        </w:tc>
        <w:tc>
          <w:tcPr>
            <w:tcW w:w="1043" w:type="dxa"/>
            <w:vMerge w:val="continue"/>
            <w:tcBorders>
              <w:left w:val="single" w:color="000000" w:sz="4" w:space="0"/>
              <w:bottom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9"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6"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89"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rPr>
          <w:rFonts w:ascii="仿宋" w:hAnsi="仿宋" w:eastAsia="仿宋" w:cs="仿宋"/>
        </w:rPr>
      </w:pPr>
      <w:r>
        <w:rPr>
          <w:rFonts w:hint="eastAsia" w:ascii="仿宋" w:hAnsi="仿宋" w:eastAsia="仿宋" w:cs="仿宋"/>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ascii="仿宋" w:hAnsi="仿宋" w:eastAsia="仿宋" w:cs="仿宋"/>
              </w:rPr>
              <w:t>项目</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p>
        </w:tc>
      </w:tr>
    </w:tbl>
    <w:p>
      <w:pPr>
        <w:ind w:right="-2"/>
        <w:jc w:val="both"/>
        <w:rPr>
          <w:rFonts w:ascii="仿宋" w:hAnsi="仿宋" w:eastAsia="仿宋" w:cs="仿宋"/>
        </w:rPr>
      </w:pPr>
      <w:r>
        <w:rPr>
          <w:rFonts w:hint="eastAsia" w:ascii="仿宋" w:hAnsi="仿宋" w:eastAsia="仿宋" w:cs="仿宋"/>
        </w:rPr>
        <w:t>注：</w:t>
      </w:r>
      <w:r>
        <w:rPr>
          <w:rFonts w:hint="eastAsia" w:ascii="仿宋" w:hAnsi="仿宋" w:eastAsia="仿宋" w:cs="仿宋"/>
          <w:lang w:val="en-US"/>
        </w:rPr>
        <w:t>本表反映本年度一般公共预算“三公”经费、会议费和培训费支出情况。其中，预算数为全年预算数，反映按规定程序调整后的预算数；决算数是包括当年一般公共预算财政拨款和以前年度结转资金安排的实际支出。</w:t>
      </w:r>
    </w:p>
    <w:p>
      <w:pPr>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无一般公共预算“三公”经费、会议费、培训费支出决算，故本表为空。</w:t>
      </w:r>
    </w:p>
    <w:p>
      <w:pPr>
        <w:ind w:left="227" w:firstLine="220" w:firstLineChars="100"/>
        <w:jc w:val="both"/>
        <w:rPr>
          <w:rFonts w:ascii="仿宋" w:hAnsi="仿宋" w:eastAsia="仿宋" w:cs="仿宋"/>
        </w:rPr>
        <w:sectPr>
          <w:footerReference r:id="rId19" w:type="default"/>
          <w:pgSz w:w="16838" w:h="11906" w:orient="landscape"/>
          <w:pgMar w:top="720" w:right="153" w:bottom="720" w:left="153" w:header="170" w:footer="280" w:gutter="0"/>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rPr>
                <w:rFonts w:ascii="仿宋" w:hAnsi="仿宋" w:eastAsia="仿宋" w:cs="仿宋"/>
                <w:sz w:val="20"/>
              </w:rPr>
            </w:pPr>
          </w:p>
        </w:tc>
        <w:tc>
          <w:tcPr>
            <w:tcW w:w="2684" w:type="dxa"/>
          </w:tcPr>
          <w:p>
            <w:pPr>
              <w:pStyle w:val="22"/>
              <w:rPr>
                <w:rFonts w:ascii="仿宋" w:hAnsi="仿宋" w:eastAsia="仿宋" w:cs="仿宋"/>
                <w:sz w:val="27"/>
              </w:rPr>
            </w:pPr>
          </w:p>
        </w:tc>
        <w:tc>
          <w:tcPr>
            <w:tcW w:w="2432" w:type="dxa"/>
          </w:tcPr>
          <w:p>
            <w:pPr>
              <w:pStyle w:val="22"/>
              <w:rPr>
                <w:rFonts w:ascii="仿宋" w:hAnsi="仿宋" w:eastAsia="仿宋" w:cs="仿宋"/>
                <w:sz w:val="20"/>
              </w:rPr>
            </w:pPr>
          </w:p>
        </w:tc>
        <w:tc>
          <w:tcPr>
            <w:tcW w:w="1858" w:type="dxa"/>
            <w:vAlign w:val="center"/>
          </w:tcPr>
          <w:p>
            <w:pPr>
              <w:pStyle w:val="22"/>
              <w:jc w:val="right"/>
              <w:rPr>
                <w:rFonts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1858"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rPr>
                <w:rFonts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43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c>
          <w:tcPr>
            <w:tcW w:w="2432"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150.00</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其他支出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彩票公益金安排的支出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2296002</w:t>
            </w: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用于社会福利的彩票公益金支出</w:t>
            </w: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150.00</w:t>
            </w:r>
          </w:p>
        </w:tc>
      </w:tr>
    </w:tbl>
    <w:p>
      <w:pPr>
        <w:spacing w:before="25"/>
        <w:jc w:val="both"/>
        <w:rPr>
          <w:rFonts w:ascii="仿宋" w:hAnsi="仿宋" w:eastAsia="仿宋" w:cs="仿宋"/>
        </w:rPr>
      </w:pPr>
      <w:r>
        <w:rPr>
          <w:rFonts w:hint="eastAsia" w:ascii="仿宋" w:hAnsi="仿宋" w:eastAsia="仿宋" w:cs="仿宋"/>
        </w:rPr>
        <w:t>注：本表反映本年度政府性基金预算财政拨款支出情况。本表金额单位转换时可能存在尾数误差。</w:t>
      </w:r>
    </w:p>
    <w:p>
      <w:pPr>
        <w:spacing w:before="25"/>
        <w:jc w:val="both"/>
        <w:rPr>
          <w:rFonts w:ascii="仿宋" w:hAnsi="仿宋" w:eastAsia="仿宋" w:cs="仿宋"/>
          <w:lang w:val="en-US"/>
        </w:rPr>
        <w:sectPr>
          <w:footerReference r:id="rId20"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rPr>
                <w:rFonts w:ascii="仿宋" w:hAnsi="仿宋" w:eastAsia="仿宋" w:cs="仿宋"/>
                <w:sz w:val="20"/>
              </w:rPr>
            </w:pPr>
          </w:p>
        </w:tc>
        <w:tc>
          <w:tcPr>
            <w:tcW w:w="2510" w:type="dxa"/>
          </w:tcPr>
          <w:p>
            <w:pPr>
              <w:pStyle w:val="22"/>
              <w:rPr>
                <w:rFonts w:ascii="仿宋" w:hAnsi="仿宋" w:eastAsia="仿宋" w:cs="仿宋"/>
                <w:sz w:val="27"/>
              </w:rPr>
            </w:pPr>
          </w:p>
        </w:tc>
        <w:tc>
          <w:tcPr>
            <w:tcW w:w="2309" w:type="dxa"/>
          </w:tcPr>
          <w:p>
            <w:pPr>
              <w:pStyle w:val="22"/>
              <w:rPr>
                <w:rFonts w:ascii="仿宋" w:hAnsi="仿宋" w:eastAsia="仿宋" w:cs="仿宋"/>
                <w:sz w:val="20"/>
              </w:rPr>
            </w:pPr>
          </w:p>
        </w:tc>
        <w:tc>
          <w:tcPr>
            <w:tcW w:w="2061" w:type="dxa"/>
            <w:vAlign w:val="center"/>
          </w:tcPr>
          <w:p>
            <w:pPr>
              <w:pStyle w:val="22"/>
              <w:jc w:val="right"/>
              <w:rPr>
                <w:rFonts w:ascii="仿宋" w:hAnsi="仿宋" w:eastAsia="仿宋" w:cs="仿宋"/>
                <w:sz w:val="27"/>
              </w:rPr>
            </w:pPr>
            <w:r>
              <w:rPr>
                <w:rFonts w:hint="eastAsia" w:ascii="仿宋" w:hAnsi="仿宋" w:eastAsia="仿宋" w:cs="仿宋"/>
              </w:rPr>
              <w:t>公开1</w:t>
            </w:r>
            <w:r>
              <w:rPr>
                <w:rFonts w:hint="eastAsia" w:ascii="仿宋" w:hAnsi="仿宋" w:eastAsia="仿宋" w:cs="仿宋"/>
                <w:lang w:val="en-US"/>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2061"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rPr>
                <w:rFonts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30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309"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rPr>
        <w:t>注：本表反映本年度国有资本经营预算财政拨款支出情况。</w:t>
      </w:r>
    </w:p>
    <w:p>
      <w:pPr>
        <w:ind w:left="440" w:leftChars="200"/>
        <w:jc w:val="both"/>
        <w:rPr>
          <w:rFonts w:ascii="仿宋" w:hAnsi="仿宋" w:eastAsia="仿宋" w:cs="仿宋"/>
          <w:lang w:val="en-US"/>
        </w:rPr>
      </w:pPr>
      <w:r>
        <w:rPr>
          <w:rFonts w:ascii="仿宋" w:hAnsi="仿宋" w:eastAsia="仿宋" w:cs="仿宋"/>
        </w:rPr>
        <w:t>本单位无</w:t>
      </w:r>
      <w:r>
        <w:rPr>
          <w:rFonts w:hint="eastAsia" w:ascii="仿宋" w:hAnsi="仿宋" w:eastAsia="仿宋" w:cs="仿宋"/>
        </w:rPr>
        <w:t>国有资本经营预算支出</w:t>
      </w:r>
      <w:r>
        <w:rPr>
          <w:rFonts w:hint="eastAsia" w:ascii="仿宋" w:hAnsi="仿宋" w:eastAsia="仿宋" w:cs="仿宋"/>
          <w:lang w:val="en-US"/>
        </w:rPr>
        <w:t>决算，故本表为空。</w:t>
      </w:r>
    </w:p>
    <w:p>
      <w:pPr>
        <w:spacing w:before="25"/>
        <w:ind w:left="-220" w:leftChars="-100"/>
        <w:jc w:val="both"/>
        <w:rPr>
          <w:rFonts w:ascii="仿宋" w:hAnsi="仿宋" w:eastAsia="仿宋" w:cs="仿宋"/>
          <w:lang w:val="en-US"/>
        </w:rPr>
        <w:sectPr>
          <w:pgSz w:w="16838" w:h="11906" w:orient="landscape"/>
          <w:pgMar w:top="720" w:right="720" w:bottom="720" w:left="720" w:header="170" w:footer="280" w:gutter="0"/>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tabs>
                <w:tab w:val="left" w:pos="610"/>
              </w:tabs>
              <w:spacing w:before="28"/>
              <w:ind w:left="8"/>
              <w:jc w:val="center"/>
              <w:rPr>
                <w:rFonts w:ascii="仿宋" w:hAnsi="仿宋" w:eastAsia="仿宋" w:cs="仿宋"/>
                <w:b/>
                <w:bCs/>
                <w:sz w:val="44"/>
                <w:szCs w:val="44"/>
              </w:rPr>
            </w:pPr>
            <w:r>
              <w:rPr>
                <w:rFonts w:hint="eastAsia"/>
                <w:b/>
                <w:bCs/>
                <w:color w:val="000000"/>
                <w:sz w:val="36"/>
                <w:szCs w:val="36"/>
                <w:lang w:eastAsia="ar-SA"/>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rPr>
                <w:rFonts w:ascii="仿宋" w:hAnsi="仿宋" w:eastAsia="仿宋" w:cs="仿宋"/>
                <w:sz w:val="20"/>
              </w:rPr>
            </w:pPr>
          </w:p>
        </w:tc>
        <w:tc>
          <w:tcPr>
            <w:tcW w:w="3834"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3834"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科目编码</w:t>
            </w:r>
          </w:p>
        </w:tc>
        <w:tc>
          <w:tcPr>
            <w:tcW w:w="4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834"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834"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ind w:right="-92" w:rightChars="-42"/>
        <w:jc w:val="both"/>
        <w:rPr>
          <w:rFonts w:ascii="仿宋" w:hAnsi="仿宋" w:eastAsia="仿宋" w:cs="仿宋"/>
          <w:lang w:val="en-US"/>
        </w:rPr>
      </w:pPr>
      <w:r>
        <w:rPr>
          <w:rFonts w:hint="eastAsia" w:ascii="仿宋" w:hAnsi="仿宋" w:eastAsia="仿宋" w:cs="仿宋"/>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tabs>
          <w:tab w:val="left" w:pos="440"/>
        </w:tabs>
        <w:spacing w:before="25"/>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无一般公共预算机关运行经费支出决算，故本表为空。</w:t>
      </w:r>
    </w:p>
    <w:p>
      <w:pPr>
        <w:tabs>
          <w:tab w:val="left" w:pos="440"/>
        </w:tabs>
        <w:spacing w:before="25"/>
        <w:ind w:left="440" w:leftChars="200"/>
        <w:jc w:val="both"/>
        <w:rPr>
          <w:rFonts w:ascii="仿宋" w:hAnsi="仿宋" w:eastAsia="仿宋" w:cs="仿宋"/>
          <w:lang w:val="en-US"/>
        </w:rPr>
        <w:sectPr>
          <w:footerReference r:id="rId21" w:type="default"/>
          <w:type w:val="continuous"/>
          <w:pgSz w:w="11906" w:h="16838"/>
          <w:pgMar w:top="720" w:right="720" w:bottom="720" w:left="720" w:header="170" w:footer="280" w:gutter="0"/>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rPr>
                <w:rFonts w:ascii="仿宋" w:hAnsi="仿宋" w:eastAsia="仿宋" w:cs="仿宋"/>
              </w:rPr>
            </w:pPr>
          </w:p>
        </w:tc>
        <w:tc>
          <w:tcPr>
            <w:tcW w:w="722" w:type="dxa"/>
          </w:tcPr>
          <w:p>
            <w:pPr>
              <w:pStyle w:val="22"/>
              <w:rPr>
                <w:rFonts w:ascii="仿宋" w:hAnsi="仿宋" w:eastAsia="仿宋" w:cs="仿宋"/>
              </w:rPr>
            </w:pPr>
          </w:p>
        </w:tc>
        <w:tc>
          <w:tcPr>
            <w:tcW w:w="1992" w:type="dxa"/>
          </w:tcPr>
          <w:p>
            <w:pPr>
              <w:pStyle w:val="22"/>
              <w:rPr>
                <w:rFonts w:ascii="仿宋" w:hAnsi="仿宋" w:eastAsia="仿宋" w:cs="仿宋"/>
              </w:rPr>
            </w:pPr>
          </w:p>
        </w:tc>
        <w:tc>
          <w:tcPr>
            <w:tcW w:w="3273"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江苏民政康复医院</w:t>
            </w:r>
          </w:p>
        </w:tc>
        <w:tc>
          <w:tcPr>
            <w:tcW w:w="3273" w:type="dxa"/>
            <w:vAlign w:val="center"/>
          </w:tcPr>
          <w:p>
            <w:pPr>
              <w:pStyle w:val="22"/>
              <w:jc w:val="right"/>
              <w:rPr>
                <w:rFonts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lang w:val="en-US"/>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177.70</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177.70</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jc w:val="both"/>
        <w:rPr>
          <w:rFonts w:ascii="仿宋" w:hAnsi="仿宋" w:eastAsia="仿宋" w:cs="仿宋"/>
          <w:lang w:val="en-US"/>
        </w:rPr>
      </w:pPr>
      <w:r>
        <w:rPr>
          <w:rFonts w:hint="eastAsia" w:ascii="仿宋" w:hAnsi="仿宋" w:eastAsia="仿宋" w:cs="仿宋"/>
        </w:rPr>
        <w:t>注：</w:t>
      </w:r>
      <w:r>
        <w:rPr>
          <w:rFonts w:hint="eastAsia" w:ascii="仿宋" w:hAnsi="仿宋" w:eastAsia="仿宋" w:cs="仿宋"/>
          <w:lang w:val="en-US"/>
        </w:rPr>
        <w:t>政府采购支出信息为单位纳入部门预算范围的各项政府采购支出情况。本表金额单位转换时可能存在尾数误差</w:t>
      </w:r>
      <w:r>
        <w:rPr>
          <w:rFonts w:hint="eastAsia" w:ascii="仿宋" w:hAnsi="仿宋" w:eastAsia="仿宋" w:cs="仿宋"/>
        </w:rPr>
        <w:t>。</w:t>
      </w:r>
    </w:p>
    <w:p>
      <w:pPr>
        <w:ind w:left="440" w:leftChars="200"/>
        <w:jc w:val="both"/>
        <w:rPr>
          <w:rFonts w:ascii="仿宋" w:hAnsi="仿宋" w:eastAsia="仿宋" w:cs="仿宋"/>
        </w:rPr>
        <w:sectPr>
          <w:pgSz w:w="11906" w:h="16838"/>
          <w:pgMar w:top="720" w:right="720" w:bottom="720" w:left="720" w:header="170" w:footer="280" w:gutter="0"/>
          <w:pgNumType w:fmt="numberInDash"/>
          <w:cols w:space="720" w:num="1"/>
          <w:formProt w:val="0"/>
          <w:docGrid w:linePitch="100" w:charSpace="0"/>
        </w:sectPr>
      </w:pPr>
    </w:p>
    <w:p>
      <w:pPr>
        <w:pStyle w:val="5"/>
        <w:tabs>
          <w:tab w:val="left" w:pos="3077"/>
        </w:tabs>
        <w:spacing w:line="616" w:lineRule="exact"/>
        <w:rPr>
          <w:rFonts w:ascii="宋体" w:hAnsi="宋体" w:eastAsia="宋体" w:cs="宋体"/>
          <w:b/>
          <w:bCs/>
          <w:color w:val="000000"/>
          <w:lang w:eastAsia="ar-SA"/>
        </w:rPr>
      </w:pPr>
      <w:r>
        <w:rPr>
          <w:rFonts w:hint="eastAsia" w:ascii="宋体" w:hAnsi="宋体" w:eastAsia="宋体" w:cs="宋体"/>
          <w:b/>
          <w:bCs/>
          <w:color w:val="000000"/>
          <w:lang w:eastAsia="ar-SA"/>
        </w:rPr>
        <w:t>第三部分</w:t>
      </w:r>
      <w:r>
        <w:rPr>
          <w:rFonts w:hint="eastAsia" w:ascii="宋体" w:hAnsi="宋体" w:eastAsia="宋体" w:cs="宋体"/>
          <w:b/>
          <w:bCs/>
          <w:color w:val="000000"/>
          <w:lang w:val="en-US"/>
        </w:rPr>
        <w:t xml:space="preserve"> </w:t>
      </w:r>
      <w:r>
        <w:rPr>
          <w:rFonts w:hint="eastAsia" w:ascii="宋体" w:hAnsi="宋体" w:eastAsia="宋体" w:cs="宋体"/>
          <w:b/>
          <w:bCs/>
          <w:color w:val="000000"/>
        </w:rPr>
        <w:t>2021</w:t>
      </w:r>
      <w:r>
        <w:rPr>
          <w:rFonts w:hint="eastAsia" w:ascii="宋体" w:hAnsi="宋体" w:eastAsia="宋体" w:cs="宋体"/>
          <w:b/>
          <w:bCs/>
          <w:color w:val="000000"/>
          <w:lang w:eastAsia="ar-SA"/>
        </w:rPr>
        <w:t>年度</w:t>
      </w:r>
      <w:r>
        <w:rPr>
          <w:rFonts w:ascii="宋体" w:hAnsi="宋体" w:eastAsia="宋体" w:cs="宋体"/>
          <w:b/>
          <w:color w:val="000000"/>
        </w:rPr>
        <w:t>单位决算情况说明</w:t>
      </w:r>
    </w:p>
    <w:p>
      <w:pPr>
        <w:pStyle w:val="8"/>
        <w:tabs>
          <w:tab w:val="left" w:pos="3864"/>
          <w:tab w:val="left" w:pos="6248"/>
          <w:tab w:val="left" w:pos="7386"/>
        </w:tabs>
        <w:spacing w:before="1" w:line="360" w:lineRule="auto"/>
        <w:ind w:left="348" w:right="420" w:firstLine="640"/>
        <w:jc w:val="both"/>
        <w:rPr>
          <w:rFonts w:ascii="仿宋" w:hAnsi="仿宋" w:eastAsia="仿宋" w:cs="仿宋"/>
          <w:lang w:val="en-US"/>
        </w:rPr>
      </w:pP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2021年度收入、支出决算总计1,435.9万元。与上年相比，收、支总计各减少97.21万元，减少6.34%。其中：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（一）收入决算总计1,435.9万元。包括：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1.本年收入决算合计1,283.22万元。与上年相比，减少91.09万元，减少6.63%，变动原因：受新冠疫情影响，事业收入减少。</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2.使用非财政拨款结余0万元。与上年决算数相同。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3.年初结转和结余152.68万元。与上年相比，减少6.12万元，减少3.85%，变动原因：受新冠疫情影响，事业收入减少，事业支出压缩。</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（二）支出决算总计1,435.9万元。包括：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1.本年支出决算合计1,364.27万元。与上年相比，减少16.16万元，减少1.17%，变动原因：受新冠疫情影响，事业支出压缩。</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2.结余分配0万元。与上年决算数相同。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3.年末结转和结余71.62万元。结转和结余事项：全部为我院事业结余。与上年相比，减少81.06万元，减少53.09%，变动原因：受新冠疫情影响，事业收入减少，事业支出压缩。</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二、收入决算情况说明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收入决算合计1,283.22万元，其中：财政拨款收入341.94万元，占26.65%；上级补助收入0万元，占0%；财政专户管理教育收费0万元，占0%；事业收入（不含专户管理教育收费）941.28万元，占73.35%；经营收入0万元，占0%；附属单位上缴收入0万元，占0%；其他收入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cstate="print"/>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2021年度本年支出决算合计1,364.27万元，其中：基本支出1,184.27万元，占86.81%；项目支出180万元，占13.19%；上缴上级支出0万元，占0%；经营支出0万元，占0%；对附属单位补助支出0万元，占0%。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cstate="print"/>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四、财政拨款收入支出决算总体情况说明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2021年度财政拨款收入、支出决算总计341.94万元。与上年相比，收、支总计各增加90万元，增长35.72%，变动原因：新增福彩公益金专项支出90万元。</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五、财政拨款支出决算情况说明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2021年度财政拨款支出决算341.94万元，占本年支出合计的25.06%。与2021年度财政拨款支出年初预算341.94万元相比，完成年初预算的100%。其中：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（一）社会保障和就业支出（类）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1.行政事业单位养老支出（款）机关事业单位基本养老保险缴费支出（项）。年初预算25.19万元，支出决算25.19万元，完成年初预算的100%。决算数与年初预算数相同。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2.行政事业单位养老支出（款）机关事业单位职业年金缴费支出（项）。年初预算10.66万元，支出决算10.66万元，完成年初预算的100%。决算数与年初预算数相同。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3.抚恤（款）优抚事业单位支出（项）。年初预算152.63万元，支出决算152.63万元，完成年初预算的100%。决算数与年初预算数相同。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（二）住房保障支出（类）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住房改革支出（款）提租补贴（项）。年初预算3.46万元，支出决算3.46万元，完成年初预算的100%。决算数与年初预算数相同。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（三）其他支出（类）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彩票公益金安排的支出（款）用于社会福利的彩票公益金支出（项）。年初预算150万元，支出决算150万元，完成年初预算的100%。决算数与年初预算数相同。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六、财政拨款基本支出决算情况说明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2021年度财政拨款基本支出决算161.94万元，其中：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（一）人员经费161.94万元。</w:t>
      </w:r>
      <w:r>
        <w:rPr>
          <w:rFonts w:ascii="仿宋" w:hAnsi="仿宋" w:eastAsia="仿宋" w:cs="仿宋"/>
        </w:rPr>
        <w:t>主要包括：基本工资、机关事业单位基本养老保险缴费、职业年金缴费、退休费。</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（二）公用经费0万元。</w:t>
      </w:r>
      <w:r>
        <w:rPr>
          <w:rFonts w:ascii="仿宋" w:hAnsi="仿宋" w:eastAsia="仿宋" w:cs="仿宋"/>
        </w:rPr>
        <w:t>主要包括：无。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七、一般公共预算支出决算情况说明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2021年度一般公共预算财政拨款支出决算191.94万元。与上年决算数相同。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八、一般公共预算基本支出决算情况说明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2021年度一般公共预算财政拨款基本支出决算161.94万元，其中：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（一）人员经费161.94万元。</w:t>
      </w:r>
      <w:r>
        <w:rPr>
          <w:rFonts w:ascii="仿宋" w:hAnsi="仿宋" w:eastAsia="仿宋" w:cs="仿宋"/>
        </w:rPr>
        <w:t>主要包括：基本工资、机关事业单位基本养老保险缴费、职业年金缴费、退休费。</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（二）公用经费0万元。</w:t>
      </w:r>
      <w:r>
        <w:rPr>
          <w:rFonts w:ascii="仿宋" w:hAnsi="仿宋" w:eastAsia="仿宋" w:cs="仿宋"/>
        </w:rPr>
        <w:t>主要包括：无。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九、一般公共预算“三公”经费、会议费、培训费支出情况说明</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（一）一般公共预算“三公”经费支出总体情况说明。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2021年度一般公共预算“三公”经费支出决算0万元。与上年决算数相同。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（二）一般公共预算“三公”经费支出具体情况说明。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2．公务用车购置及运行维护费支出预算0万元，支出决算0万元，完成预算的100%，决算数与预算数相同。其中：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（1）公务用车购置支出决算0万元。本年度使用一般公共预算财政拨款购置公务用车0辆。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运行维护费支出决算0万元。公务用车运行维护费主要用于按规定保留的公务用车的燃料费、维修费、过桥过路费、保险费、安全奖励费用等支出。截至2021年12月31日，使用一般公共预算财政拨款开支的公务用车保有量为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3．公务接待费支出预算0万元，支出决算0万元，完成预算的100%，决算数与预算数相同。其中：国内公务接待支出0万元，接待0批次，0人次；国（境）外公务接待支出0万元，接待0批次0人次。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（三）一般公共预算会议费支出决算情况说明。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2021年度一般公共预算财政拨款会议费支出预算0万元，支出决算0万元，完成预算的100%，决算数与预算数相同。2021年度全年召开会议0个，参加会议0人次。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（四）一般公共预算培训费支出决算情况说明。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十、政府性基金预算财政拨款支出决算情况说明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2021年度政府性基金预算财政拨款支出决算150万元。与上年相比，增加90万元，增长150%，变动原因：福彩公益金专项增加。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十一、国有资本经营预算财政拨款支出决算情况说明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2021年度国有资本经营预算财政拨款支出决算0万元。与上年决算数相同。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十二、一般公共预算机关运行经费支出决算情况说明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2021年度机关运行经费支出决算0万元。与上年决算数相同。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十三、政府采购支出决算情况说明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采购支出总额177.7万元，其中：政府采购货物支出177.7万元、政府采购工程支出0万元、政府采购服务支出0万元。政府采购授予中小企业合同金额0万元，占政府采购支出总额的0%，其中：授予小微企业合同金额0万元，占政府采购支出总额的0%。</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十四、国有资产占用情况说明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截至2021年12月31日，本单位共有车辆1辆，其中：副部(省)级及以上领导用车0辆、主要领导干部用车0辆、机要通信用车0辆、应急保障用车0辆、执法执勤用车0辆、特种专业技术用车0辆、离退休干部用车0辆、其他用车1辆；单价50万元（含）以上的通用设备0台（套），单价100万元（含）以上的专用设备1台（套）。</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十五、预算绩效评价工作开展情况</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2021年度，本单位共2个项目开展了财政重点绩效评价，涉及财政性资金合计180万元；本单位开展单位整体支出财政重点绩效评价，涉及财政性资金341.94万元。</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本单位共对上年度已实施完成的2个项目开展了绩效自评价，涉及财政性资金合计180万元；本单位共开展1项单位整体支出绩效自评价，涉及财政性资金合计341.94万元。</w:t>
      </w:r>
    </w:p>
    <w:p>
      <w:pPr>
        <w:pStyle w:val="5"/>
        <w:tabs>
          <w:tab w:val="left" w:pos="3077"/>
        </w:tabs>
        <w:spacing w:line="616" w:lineRule="exact"/>
        <w:rPr>
          <w:rFonts w:ascii="宋体" w:hAnsi="宋体" w:eastAsia="宋体" w:cs="宋体"/>
          <w:b/>
          <w:bCs/>
        </w:rPr>
      </w:pPr>
      <w:r>
        <w:rPr>
          <w:rFonts w:hint="eastAsia" w:ascii="宋体" w:hAnsi="宋体" w:eastAsia="宋体" w:cs="宋体"/>
          <w:b/>
          <w:bCs/>
        </w:rPr>
        <w:t>第四部分 名词</w:t>
      </w:r>
      <w:r>
        <w:rPr>
          <w:rFonts w:hint="eastAsia" w:ascii="宋体" w:hAnsi="宋体" w:eastAsia="宋体" w:cs="宋体"/>
          <w:b/>
          <w:bCs/>
          <w:color w:val="000000"/>
          <w:lang w:eastAsia="ar-SA"/>
        </w:rPr>
        <w:t>解释</w:t>
      </w:r>
    </w:p>
    <w:p>
      <w:pPr>
        <w:pStyle w:val="8"/>
        <w:tabs>
          <w:tab w:val="left" w:pos="3864"/>
          <w:tab w:val="left" w:pos="6248"/>
          <w:tab w:val="left" w:pos="7386"/>
        </w:tabs>
        <w:ind w:left="440" w:leftChars="200" w:firstLine="659" w:firstLineChars="206"/>
        <w:jc w:val="both"/>
        <w:rPr>
          <w:rFonts w:ascii="仿宋" w:hAnsi="仿宋" w:eastAsia="仿宋" w:cs="仿宋"/>
        </w:rPr>
      </w:pP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二十一、社会保障和就业支出(类)抚恤(款)优抚事业单位支出(项)</w:t>
      </w:r>
      <w:r>
        <w:rPr>
          <w:rFonts w:ascii="仿宋" w:hAnsi="仿宋" w:eastAsia="仿宋" w:cs="仿宋"/>
          <w:b/>
        </w:rPr>
        <w:t>：</w:t>
      </w:r>
      <w:r>
        <w:rPr>
          <w:rFonts w:hint="eastAsia" w:ascii="仿宋" w:hAnsi="仿宋" w:eastAsia="仿宋" w:cs="仿宋"/>
        </w:rPr>
        <w:t>反映民政部门管理的优抚事业单位支出，对集体优抚事业单位的补助，对烈士纪念设施的维修改造和管理保护支出，以及全国重点军供站设施维修改造和设备更新支出。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二十四、其他支出(类)彩票公益金安排的支出(款)用于社会福利的彩票公益金支出(项)</w:t>
      </w:r>
      <w:r>
        <w:rPr>
          <w:rFonts w:ascii="仿宋" w:hAnsi="仿宋" w:eastAsia="仿宋" w:cs="仿宋"/>
          <w:b/>
        </w:rPr>
        <w:t>：</w:t>
      </w:r>
      <w:r>
        <w:rPr>
          <w:rFonts w:hint="eastAsia" w:ascii="仿宋" w:hAnsi="仿宋" w:eastAsia="仿宋" w:cs="仿宋"/>
        </w:rPr>
        <w:t>反映用于社会福利和社会救助的彩票公益金支出。</w:t>
      </w:r>
    </w:p>
    <w:sectPr>
      <w:pgSz w:w="11906" w:h="16838"/>
      <w:pgMar w:top="1440" w:right="1080" w:bottom="1440" w:left="1080" w:header="170" w:footer="280" w:gutter="0"/>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0000000000000000000"/>
    <w:charset w:val="86"/>
    <w:family w:val="roman"/>
    <w:pitch w:val="default"/>
    <w:sig w:usb0="00000000" w:usb1="00000000" w:usb2="00000021" w:usb3="00000000" w:csb0="600001BF" w:csb1="DFF70000"/>
  </w:font>
  <w:font w:name="Liberation Mono">
    <w:altName w:val="宋体"/>
    <w:panose1 w:val="00000000000000000000"/>
    <w:charset w:val="86"/>
    <w:family w:val="roman"/>
    <w:pitch w:val="default"/>
    <w:sig w:usb0="00000000" w:usb1="00000000" w:usb2="00000001" w:usb3="00000000" w:csb0="600001BF" w:csb1="DFF7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1" o:spid="_x0000_s4101"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- 13 -</w:t>
                </w:r>
                <w:r>
                  <w:rPr>
                    <w:rFonts w:hint="eastAsia"/>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2" o:spid="_x0000_s4102"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- 16 -</w:t>
                </w:r>
                <w:r>
                  <w:rPr>
                    <w:rFonts w:hint="eastAsia"/>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3" o:spid="_x0000_s410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- 17 -</w:t>
                </w:r>
                <w:r>
                  <w:rPr>
                    <w:rFonts w:hint="eastAsia"/>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4" o:spid="_x0000_s410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- 20 -</w:t>
                </w:r>
                <w:r>
                  <w:rPr>
                    <w:rFonts w:hint="eastAsia"/>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5" o:spid="_x0000_s410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- 21 -</w:t>
                </w:r>
                <w:r>
                  <w:rPr>
                    <w:rFonts w:hint="eastAsia"/>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6" o:spid="_x0000_s410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- 23 -</w:t>
                </w:r>
                <w:r>
                  <w:rPr>
                    <w:rFonts w:hint="eastAsia"/>
                  </w:rP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0" o:spid="_x0000_s4110"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- 37 -</w:t>
                </w:r>
                <w:r>
                  <w:rPr>
                    <w:rFonts w:hint="eastAsia"/>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097" o:spid="_x0000_s4097" o:spt="202" type="#_x0000_t202" style="position:absolute;left:0pt;margin-top:0pt;height:144pt;width:144pt;mso-position-horizontal:center;mso-position-horizontal-relative:margin;mso-wrap-style:none;z-index:251652096;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ascii="黑体" w:hAnsi="黑体" w:eastAsia="黑体" w:cs="黑体"/>
                  </w:rPr>
                  <w:t>- 1 -</w:t>
                </w:r>
                <w:r>
                  <w:rPr>
                    <w:rFonts w:hint="eastAsia" w:ascii="黑体" w:hAnsi="黑体" w:eastAsia="黑体" w:cs="黑体"/>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113" o:spid="_x0000_s4113" o:spt="202" type="#_x0000_t202" style="position:absolute;left:0pt;margin-top:0pt;height:144pt;width:144pt;mso-position-horizontal:center;mso-position-horizontal-relative:margin;mso-wrap-style:none;z-index:251653120;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ascii="黑体" w:hAnsi="黑体" w:eastAsia="黑体" w:cs="黑体"/>
                  </w:rPr>
                  <w:t>- 6 -</w:t>
                </w:r>
                <w:r>
                  <w:rPr>
                    <w:rFonts w:hint="eastAsia" w:ascii="黑体" w:hAnsi="黑体" w:eastAsia="黑体" w:cs="黑体"/>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1" o:spid="_x0000_s4111" o:spt="202" type="#_x0000_t202" style="position:absolute;left:0pt;margin-top:0pt;height:144pt;width:144pt;mso-position-horizontal:center;mso-position-horizontal-relative:margin;mso-wrap-style:none;z-index:25165414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- 8 -</w:t>
                </w:r>
                <w:r>
                  <w:rPr>
                    <w:rFonts w:hint="eastAsia"/>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2" o:spid="_x0000_s4112" o:spt="202" type="#_x0000_t202" style="position:absolute;left:0pt;margin-top:0pt;height:144pt;width:144pt;mso-position-horizontal:center;mso-position-horizontal-relative:margin;mso-wrap-style:none;z-index:25165516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- 9 -</w:t>
                </w:r>
                <w:r>
                  <w:rPr>
                    <w:rFonts w:hint="eastAsia"/>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099" o:spid="_x0000_s4099" o:spt="202" type="#_x0000_t202" style="position:absolute;left:0pt;margin-top:0pt;height:144pt;width:144pt;mso-position-horizontal:center;mso-position-horizontal-relative:margin;mso-wrap-style:none;z-index:25165619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- 10 -</w:t>
                </w:r>
                <w:r>
                  <w:rPr>
                    <w:rFonts w:hint="eastAsia"/>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0" o:spid="_x0000_s4100" o:spt="202" type="#_x0000_t202" style="position:absolute;left:0pt;margin-top:0pt;height:144pt;width:144pt;mso-position-horizontal:center;mso-position-horizontal-relative:margin;mso-wrap-style:none;z-index:25165721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t>- 12 -</w:t>
                </w:r>
                <w:r>
                  <w:rPr>
                    <w:rFonts w:hint="eastAsia"/>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lang w:val="en-US"/>
      </w:rPr>
    </w:pPr>
    <w:r>
      <w:rPr>
        <w:rFonts w:hint="eastAsia"/>
        <w:lang w:val="en-US"/>
      </w:rPr>
      <w:t>江苏民政康复医院</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cumentProtection w:enforcement="0"/>
  <w:defaultTabStop w:val="0"/>
  <w:autoHyphenation/>
  <w:noPunctuationKerning w:val="1"/>
  <w:characterSpacingControl w:val="doNotCompress"/>
  <w:hdrShapeDefaults>
    <o:shapelayout v:ext="edit">
      <o:idmap v:ext="edit" data="3,4"/>
    </o:shapelayout>
  </w:hdrShapeDefaults>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CD3A81"/>
    <w:rsid w:val="00064984"/>
    <w:rsid w:val="00071789"/>
    <w:rsid w:val="000F12AB"/>
    <w:rsid w:val="001C31F9"/>
    <w:rsid w:val="002E63B1"/>
    <w:rsid w:val="00407CA7"/>
    <w:rsid w:val="00413AD8"/>
    <w:rsid w:val="004C0647"/>
    <w:rsid w:val="00671ED7"/>
    <w:rsid w:val="00672164"/>
    <w:rsid w:val="006732F1"/>
    <w:rsid w:val="008322BB"/>
    <w:rsid w:val="00867423"/>
    <w:rsid w:val="008B5B05"/>
    <w:rsid w:val="009965EA"/>
    <w:rsid w:val="009C6C54"/>
    <w:rsid w:val="00A6752E"/>
    <w:rsid w:val="00B92181"/>
    <w:rsid w:val="00BD7F33"/>
    <w:rsid w:val="00C15920"/>
    <w:rsid w:val="00C82582"/>
    <w:rsid w:val="00CD3A81"/>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746A81"/>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6459F"/>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mathFont m:val="Cambria Math"/>
    <m:rMargin m:val="0"/>
    <m:wrapIndent m:val="1440"/>
    <m:brkBin m:val="before"/>
    <m:brkBinSub m:val="--"/>
    <m:defJc m:val="centerGroup"/>
    <m:intLim m:val="subSup"/>
    <m:naryLim m:val="undOvr"/>
    <m:smallFrac m:val="off"/>
    <m:dispDef/>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pPr>
    <w:rPr>
      <w:rFonts w:ascii="Arial Unicode MS" w:hAnsi="Arial Unicode MS" w:eastAsia="Arial Unicode MS" w:cs="Arial Unicode MS"/>
      <w:sz w:val="22"/>
      <w:szCs w:val="22"/>
      <w:lang w:val="zh-CN" w:eastAsia="zh-CN" w:bidi="zh-CN"/>
    </w:rPr>
  </w:style>
  <w:style w:type="paragraph" w:styleId="2">
    <w:name w:val="heading 1"/>
    <w:basedOn w:val="1"/>
    <w:next w:val="1"/>
    <w:qFormat/>
    <w:uiPriority w:val="1"/>
    <w:pPr>
      <w:ind w:left="-40"/>
      <w:outlineLvl w:val="0"/>
    </w:pPr>
    <w:rPr>
      <w:sz w:val="52"/>
      <w:szCs w:val="52"/>
    </w:rPr>
  </w:style>
  <w:style w:type="paragraph" w:styleId="3">
    <w:name w:val="heading 2"/>
    <w:basedOn w:val="1"/>
    <w:next w:val="1"/>
    <w:qFormat/>
    <w:uiPriority w:val="1"/>
    <w:pPr>
      <w:ind w:right="18"/>
      <w:jc w:val="center"/>
      <w:outlineLvl w:val="1"/>
    </w:pPr>
    <w:rPr>
      <w:sz w:val="44"/>
      <w:szCs w:val="44"/>
    </w:rPr>
  </w:style>
  <w:style w:type="paragraph" w:styleId="4">
    <w:name w:val="heading 3"/>
    <w:basedOn w:val="1"/>
    <w:next w:val="1"/>
    <w:qFormat/>
    <w:uiPriority w:val="1"/>
    <w:pPr>
      <w:ind w:left="1"/>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outlineLvl w:val="4"/>
    </w:pPr>
    <w:rPr>
      <w:sz w:val="33"/>
      <w:szCs w:val="33"/>
    </w:rPr>
  </w:style>
  <w:style w:type="character" w:default="1" w:styleId="12">
    <w:name w:val="Default Paragraph Font"/>
    <w:unhideWhenUsed/>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列出段落1"/>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113"/>
    <customShpInfo spid="_x0000_s4111"/>
    <customShpInfo spid="_x0000_s4112"/>
    <customShpInfo spid="_x0000_s4099"/>
    <customShpInfo spid="_x0000_s4100"/>
    <customShpInfo spid="_x0000_s4101"/>
    <customShpInfo spid="_x0000_s4102"/>
    <customShpInfo spid="_x0000_s4103"/>
    <customShpInfo spid="_x0000_s4104"/>
    <customShpInfo spid="_x0000_s4105"/>
    <customShpInfo spid="_x0000_s4106"/>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38</Pages>
  <Words>12405</Words>
  <Characters>5706</Characters>
  <Lines>47</Lines>
  <Paragraphs>36</Paragraphs>
  <ScaleCrop>false</ScaleCrop>
  <LinksUpToDate>false</LinksUpToDate>
  <CharactersWithSpaces>18075</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2022-09-07T06:40:00Z</dcterms:created>
  <dc:creator>陈长军(本处室套红)</dc:creator>
  <cp:lastModifiedBy>admin</cp:lastModifiedBy>
  <dcterms:modified xsi:type="dcterms:W3CDTF">2024-03-10T07:18:01Z</dcterms:modified>
  <dc:title>部门决算公开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