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240" w:lineRule="auto"/>
        <w:ind w:firstLine="0"/>
        <w:rPr>
          <w:bCs/>
          <w:snapToGrid/>
          <w:kern w:val="2"/>
          <w:szCs w:val="32"/>
        </w:rPr>
      </w:pPr>
      <w:r>
        <w:rPr>
          <w:bCs/>
          <w:snapToGrid/>
          <w:kern w:val="2"/>
          <w:szCs w:val="32"/>
        </w:rPr>
        <w:t>附件1</w:t>
      </w:r>
    </w:p>
    <w:p>
      <w:pPr>
        <w:autoSpaceDE/>
        <w:autoSpaceDN/>
        <w:snapToGrid/>
        <w:spacing w:line="240" w:lineRule="auto"/>
        <w:ind w:firstLine="0"/>
        <w:jc w:val="center"/>
        <w:rPr>
          <w:rFonts w:eastAsia="方正小标宋_GBK"/>
          <w:bCs/>
          <w:snapToGrid/>
          <w:kern w:val="2"/>
          <w:sz w:val="44"/>
          <w:szCs w:val="44"/>
        </w:rPr>
      </w:pPr>
      <w:r>
        <w:rPr>
          <w:rFonts w:eastAsia="方正小标宋_GBK"/>
          <w:bCs/>
          <w:snapToGrid/>
          <w:kern w:val="2"/>
          <w:sz w:val="44"/>
          <w:szCs w:val="44"/>
        </w:rPr>
        <w:t>继续有效的规范性文件目录</w:t>
      </w:r>
    </w:p>
    <w:tbl>
      <w:tblPr>
        <w:tblStyle w:val="3"/>
        <w:tblW w:w="10348" w:type="dxa"/>
        <w:tblInd w:w="-601" w:type="dxa"/>
        <w:tblLayout w:type="fixed"/>
        <w:tblCellMar>
          <w:top w:w="0" w:type="dxa"/>
          <w:left w:w="108" w:type="dxa"/>
          <w:bottom w:w="0" w:type="dxa"/>
          <w:right w:w="108" w:type="dxa"/>
        </w:tblCellMar>
      </w:tblPr>
      <w:tblGrid>
        <w:gridCol w:w="851"/>
        <w:gridCol w:w="13"/>
        <w:gridCol w:w="6934"/>
        <w:gridCol w:w="2550"/>
      </w:tblGrid>
      <w:tr>
        <w:tblPrEx>
          <w:tblLayout w:type="fixed"/>
          <w:tblCellMar>
            <w:top w:w="0" w:type="dxa"/>
            <w:left w:w="108" w:type="dxa"/>
            <w:bottom w:w="0" w:type="dxa"/>
            <w:right w:w="108" w:type="dxa"/>
          </w:tblCellMar>
        </w:tblPrEx>
        <w:trPr>
          <w:trHeight w:val="528"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240" w:lineRule="auto"/>
              <w:ind w:firstLine="0"/>
              <w:jc w:val="center"/>
              <w:rPr>
                <w:rFonts w:eastAsia="宋体"/>
                <w:b/>
                <w:snapToGrid/>
                <w:szCs w:val="32"/>
              </w:rPr>
            </w:pPr>
            <w:r>
              <w:rPr>
                <w:rFonts w:eastAsia="宋体"/>
                <w:b/>
                <w:snapToGrid/>
                <w:szCs w:val="32"/>
              </w:rPr>
              <w:t>序号</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240" w:lineRule="auto"/>
              <w:ind w:firstLine="0"/>
              <w:jc w:val="center"/>
              <w:rPr>
                <w:rFonts w:eastAsia="宋体"/>
                <w:b/>
                <w:snapToGrid/>
                <w:szCs w:val="32"/>
              </w:rPr>
            </w:pPr>
            <w:r>
              <w:rPr>
                <w:rFonts w:eastAsia="宋体"/>
                <w:b/>
                <w:snapToGrid/>
                <w:szCs w:val="32"/>
              </w:rPr>
              <w:t>名称</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240" w:lineRule="auto"/>
              <w:ind w:firstLine="0"/>
              <w:jc w:val="center"/>
              <w:rPr>
                <w:rFonts w:eastAsia="宋体"/>
                <w:b/>
                <w:snapToGrid/>
                <w:szCs w:val="32"/>
              </w:rPr>
            </w:pPr>
            <w:r>
              <w:rPr>
                <w:rFonts w:eastAsia="宋体"/>
                <w:b/>
                <w:snapToGrid/>
                <w:szCs w:val="32"/>
              </w:rPr>
              <w:t>文号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snapToGrid/>
                <w:sz w:val="24"/>
                <w:szCs w:val="24"/>
              </w:rPr>
            </w:pPr>
            <w:r>
              <w:rPr>
                <w:rFonts w:eastAsia="楷体"/>
                <w:b/>
                <w:bCs/>
                <w:snapToGrid/>
                <w:sz w:val="30"/>
                <w:szCs w:val="30"/>
              </w:rPr>
              <w:t>社会组织管理</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关于印发《江苏省民办非企业单位年度检查暂行规定》的通知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苏民管〔2003〕14号</w:t>
            </w:r>
          </w:p>
        </w:tc>
      </w:tr>
      <w:tr>
        <w:tblPrEx>
          <w:tblLayout w:type="fixed"/>
          <w:tblCellMar>
            <w:top w:w="0" w:type="dxa"/>
            <w:left w:w="108" w:type="dxa"/>
            <w:bottom w:w="0" w:type="dxa"/>
            <w:right w:w="108" w:type="dxa"/>
          </w:tblCellMar>
        </w:tblPrEx>
        <w:trPr>
          <w:trHeight w:val="851"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关于印发《基金会年度检查办法》和《基金会信息公布办法》的通知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苏民管〔2006〕21号</w:t>
            </w:r>
          </w:p>
        </w:tc>
      </w:tr>
      <w:tr>
        <w:tblPrEx>
          <w:tblLayout w:type="fixed"/>
          <w:tblCellMar>
            <w:top w:w="0" w:type="dxa"/>
            <w:left w:w="108" w:type="dxa"/>
            <w:bottom w:w="0" w:type="dxa"/>
            <w:right w:w="108" w:type="dxa"/>
          </w:tblCellMar>
        </w:tblPrEx>
        <w:trPr>
          <w:trHeight w:val="851"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关于印发《关于加强民办非企业单位培育发展与登记管理工作的的通知》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苏民管〔2006〕107号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4</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关于印发《关于加快培育发展慈善类基金会的意见》的通知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苏民管〔2007〕57号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5</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关于印发《江苏省异地商会登记管理暂行办法》的通知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苏民规〔2010〕2号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6</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关于印发《江苏省社会组织评估管理办法》的通知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苏民规〔2010〕3号</w:t>
            </w:r>
          </w:p>
        </w:tc>
      </w:tr>
      <w:tr>
        <w:tblPrEx>
          <w:tblLayout w:type="fixed"/>
          <w:tblCellMar>
            <w:top w:w="0" w:type="dxa"/>
            <w:left w:w="108" w:type="dxa"/>
            <w:bottom w:w="0" w:type="dxa"/>
            <w:right w:w="108" w:type="dxa"/>
          </w:tblCellMar>
        </w:tblPrEx>
        <w:trPr>
          <w:trHeight w:val="1002"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7</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关于印发《江苏省社会组织登记管理机关实施行政处罚程序规定》的通知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苏民规〔2010〕6号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8</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关于印发《江苏省社会组织登记档案管理办法》的通知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苏民规〔2011〕1号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9</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关于印发《江苏省体育类社会团体评估办法(试行)》的通知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苏民规〔2011〕2号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10</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关于印发《江苏省四类社会组织直接登记管理暂行办法》的通知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苏民规〔2014〕1号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11</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印发《江苏省民政厅关于加强社会组织自身建设的意见》的通知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苏民规〔2015〕1号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hint="eastAsia" w:eastAsia="黑体"/>
                <w:snapToGrid/>
                <w:sz w:val="24"/>
                <w:szCs w:val="24"/>
              </w:rPr>
              <w:t>12</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rFonts w:hint="eastAsia"/>
                <w:snapToGrid/>
                <w:sz w:val="24"/>
                <w:szCs w:val="24"/>
              </w:rPr>
              <w:t>关于印发《江苏省社会组织信用信息管理办法（试行）》的通知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w:t>
            </w:r>
            <w:r>
              <w:rPr>
                <w:rFonts w:hint="eastAsia"/>
                <w:snapToGrid/>
                <w:sz w:val="24"/>
                <w:szCs w:val="24"/>
              </w:rPr>
              <w:t>6</w:t>
            </w:r>
            <w:r>
              <w:rPr>
                <w:snapToGrid/>
                <w:sz w:val="24"/>
                <w:szCs w:val="24"/>
              </w:rPr>
              <w:t>〕1号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优抚安置</w:t>
            </w:r>
          </w:p>
        </w:tc>
      </w:tr>
      <w:tr>
        <w:tblPrEx>
          <w:tblLayout w:type="fixed"/>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hint="eastAsia" w:eastAsia="黑体"/>
                <w:snapToGrid/>
                <w:sz w:val="24"/>
                <w:szCs w:val="24"/>
              </w:rPr>
              <w:t>13</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关于建立优抚对象抚恤补助标准自然增长机制的通知</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苏民优〔1997〕29号</w:t>
            </w:r>
          </w:p>
        </w:tc>
      </w:tr>
      <w:tr>
        <w:tblPrEx>
          <w:tblLayout w:type="fixed"/>
          <w:tblCellMar>
            <w:top w:w="0" w:type="dxa"/>
            <w:left w:w="108" w:type="dxa"/>
            <w:bottom w:w="0" w:type="dxa"/>
            <w:right w:w="108" w:type="dxa"/>
          </w:tblCellMar>
        </w:tblPrEx>
        <w:trPr>
          <w:trHeight w:val="851"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r>
              <w:rPr>
                <w:rFonts w:hint="eastAsia" w:eastAsia="黑体"/>
                <w:snapToGrid/>
                <w:sz w:val="24"/>
                <w:szCs w:val="24"/>
              </w:rPr>
              <w:t>4</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关于印发《江苏省光荣院管理工作规定》和《江苏省文明光荣院(室)标准》的通知</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苏民优〔2007〕12号</w:t>
            </w:r>
          </w:p>
        </w:tc>
      </w:tr>
      <w:tr>
        <w:tblPrEx>
          <w:tblLayout w:type="fixed"/>
          <w:tblCellMar>
            <w:top w:w="0" w:type="dxa"/>
            <w:left w:w="108" w:type="dxa"/>
            <w:bottom w:w="0" w:type="dxa"/>
            <w:right w:w="108" w:type="dxa"/>
          </w:tblCellMar>
        </w:tblPrEx>
        <w:trPr>
          <w:trHeight w:val="851"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r>
              <w:rPr>
                <w:rFonts w:hint="eastAsia" w:eastAsia="黑体"/>
                <w:snapToGrid/>
                <w:sz w:val="24"/>
                <w:szCs w:val="24"/>
              </w:rPr>
              <w:t>5</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关于印发《江苏省革命烈士纪念建筑物管理保护办法》和《江苏省省级烈士纪念建筑物保护单位考核标准》的通知</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苏民优〔2007〕25号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r>
              <w:rPr>
                <w:rFonts w:hint="eastAsia" w:eastAsia="黑体"/>
                <w:snapToGrid/>
                <w:sz w:val="24"/>
                <w:szCs w:val="24"/>
              </w:rPr>
              <w:t>6</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关于印发《江苏省优抚对象及其子女教育优待暂行办法》的通知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苏民优〔2007〕38号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r>
              <w:rPr>
                <w:rFonts w:hint="eastAsia" w:eastAsia="黑体"/>
                <w:snapToGrid/>
                <w:sz w:val="24"/>
                <w:szCs w:val="24"/>
              </w:rPr>
              <w:t>7</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关于印发《江苏省〈伤残抚恤管理办法〉实施细则》的通知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苏民优〔2008〕25号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r>
              <w:rPr>
                <w:rFonts w:hint="eastAsia" w:eastAsia="黑体"/>
                <w:snapToGrid/>
                <w:sz w:val="24"/>
                <w:szCs w:val="24"/>
              </w:rPr>
              <w:t>8</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关于印发《江苏省优抚对象医疗保障办法》的通知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苏民优〔2008〕30号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1</w:t>
            </w:r>
            <w:r>
              <w:rPr>
                <w:rFonts w:hint="eastAsia" w:eastAsia="黑体"/>
                <w:snapToGrid/>
                <w:sz w:val="24"/>
                <w:szCs w:val="24"/>
              </w:rPr>
              <w:t>9</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关于印发《江苏省残疾军人辅助器械配置管理办法》的通知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苏民规〔2012〕1号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救灾工作</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hint="eastAsia" w:eastAsia="黑体"/>
                <w:snapToGrid/>
                <w:sz w:val="24"/>
                <w:szCs w:val="24"/>
              </w:rPr>
              <w:t>20</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关于印发《省灾区民房恢复重建管理工作规程》的通知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苏民救〔2004〕31号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社会救助</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1</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关于印发《江苏省农村医疗救助实施办法》的通知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苏民发〔2004〕5号</w:t>
            </w:r>
          </w:p>
        </w:tc>
      </w:tr>
      <w:tr>
        <w:tblPrEx>
          <w:tblLayout w:type="fixed"/>
          <w:tblCellMar>
            <w:top w:w="0" w:type="dxa"/>
            <w:left w:w="108" w:type="dxa"/>
            <w:bottom w:w="0" w:type="dxa"/>
            <w:right w:w="108" w:type="dxa"/>
          </w:tblCellMar>
        </w:tblPrEx>
        <w:trPr>
          <w:trHeight w:val="851"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2</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关于印发《江苏省民政厅、江苏省财政厅关于建立和完善农村居民最低生活保障制度的实施意见》的通知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苏民救〔2004〕18号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3</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关于对无固定收入重残人员给予生活救助的通知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苏民保〔2007〕12号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4</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关于进一步做好城乡医疗救助工作的意见</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苏民保〔2008〕8号</w:t>
            </w:r>
          </w:p>
        </w:tc>
      </w:tr>
      <w:tr>
        <w:tblPrEx>
          <w:tblLayout w:type="fixed"/>
          <w:tblCellMar>
            <w:top w:w="0" w:type="dxa"/>
            <w:left w:w="108" w:type="dxa"/>
            <w:bottom w:w="0" w:type="dxa"/>
            <w:right w:w="108" w:type="dxa"/>
          </w:tblCellMar>
        </w:tblPrEx>
        <w:trPr>
          <w:trHeight w:val="851"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5</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关于印发《江苏省城乡医疗救助省补资金分配管理暂行办法》的通知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苏民保〔2008〕12号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6</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关于印发《江苏省城市低收入家庭认定办法》的通知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苏民发〔2009〕8号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7</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关于进一步完善城乡医疗救助制度的意见</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苏民保〔2009〕11号</w:t>
            </w:r>
          </w:p>
        </w:tc>
      </w:tr>
      <w:tr>
        <w:tblPrEx>
          <w:tblLayout w:type="fixed"/>
          <w:tblCellMar>
            <w:top w:w="0" w:type="dxa"/>
            <w:left w:w="108" w:type="dxa"/>
            <w:bottom w:w="0" w:type="dxa"/>
            <w:right w:w="108" w:type="dxa"/>
          </w:tblCellMar>
        </w:tblPrEx>
        <w:trPr>
          <w:trHeight w:val="851"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8</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关于印发《江苏省大学生参加城镇居民基本医疗保险低保家庭学生身份认定办法》的通知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苏民保〔2009〕12号</w:t>
            </w:r>
          </w:p>
        </w:tc>
      </w:tr>
      <w:tr>
        <w:tblPrEx>
          <w:tblLayout w:type="fixed"/>
          <w:tblCellMar>
            <w:top w:w="0" w:type="dxa"/>
            <w:left w:w="108" w:type="dxa"/>
            <w:bottom w:w="0" w:type="dxa"/>
            <w:right w:w="108" w:type="dxa"/>
          </w:tblCellMar>
        </w:tblPrEx>
        <w:trPr>
          <w:trHeight w:val="645"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2</w:t>
            </w:r>
            <w:r>
              <w:rPr>
                <w:rFonts w:hint="eastAsia" w:eastAsia="黑体"/>
                <w:snapToGrid/>
                <w:sz w:val="24"/>
                <w:szCs w:val="24"/>
              </w:rPr>
              <w:t>9</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关于印发《江苏省居民最低生活保障工作规程》的通知</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苏民规〔2012〕2号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黑体"/>
                <w:snapToGrid/>
                <w:sz w:val="24"/>
                <w:szCs w:val="24"/>
              </w:rPr>
              <w:t>　</w:t>
            </w:r>
            <w:r>
              <w:rPr>
                <w:rFonts w:eastAsia="楷体"/>
                <w:b/>
                <w:bCs/>
                <w:snapToGrid/>
                <w:sz w:val="30"/>
                <w:szCs w:val="30"/>
              </w:rPr>
              <w:t>区划地名</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hint="eastAsia" w:eastAsia="黑体"/>
                <w:snapToGrid/>
                <w:sz w:val="24"/>
                <w:szCs w:val="24"/>
              </w:rPr>
              <w:t>30</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关于进一步加强建筑物名称有序管理和规范使用的通知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苏民区〔2003〕45号</w:t>
            </w:r>
          </w:p>
        </w:tc>
      </w:tr>
      <w:tr>
        <w:tblPrEx>
          <w:tblLayout w:type="fixed"/>
          <w:tblCellMar>
            <w:top w:w="0" w:type="dxa"/>
            <w:left w:w="108" w:type="dxa"/>
            <w:bottom w:w="0" w:type="dxa"/>
            <w:right w:w="108" w:type="dxa"/>
          </w:tblCellMar>
        </w:tblPrEx>
        <w:trPr>
          <w:trHeight w:val="567"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1</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关于印发《江苏省行政区域界线联合检查办法（试行）》的通知</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苏民区〔2008〕10号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黑体"/>
                <w:snapToGrid/>
                <w:sz w:val="24"/>
                <w:szCs w:val="24"/>
              </w:rPr>
              <w:t>　</w:t>
            </w:r>
            <w:r>
              <w:rPr>
                <w:rFonts w:eastAsia="楷体"/>
                <w:b/>
                <w:bCs/>
                <w:snapToGrid/>
                <w:sz w:val="30"/>
                <w:szCs w:val="30"/>
              </w:rPr>
              <w:t>社会福利</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2</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关于下发《江苏省示范性养老机构评估细则（暂行）》的通知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苏民福〔2008〕39号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3</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关于印发《江苏省福利企业年审办法》的通知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苏民规〔2010〕1号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4</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关于印发《江苏省慈善募捐许可办法》的通知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苏民规〔2010〕4号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5</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关于印发《江苏省福利企业资格认定办法》的通知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苏民规〔2010〕7号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救助管理</w:t>
            </w:r>
          </w:p>
        </w:tc>
      </w:tr>
      <w:tr>
        <w:tblPrEx>
          <w:tblLayout w:type="fixed"/>
          <w:tblCellMar>
            <w:top w:w="0" w:type="dxa"/>
            <w:left w:w="108" w:type="dxa"/>
            <w:bottom w:w="0" w:type="dxa"/>
            <w:right w:w="108" w:type="dxa"/>
          </w:tblCellMar>
        </w:tblPrEx>
        <w:trPr>
          <w:trHeight w:val="567" w:hRule="atLeast"/>
        </w:trPr>
        <w:tc>
          <w:tcPr>
            <w:tcW w:w="864" w:type="dxa"/>
            <w:gridSpan w:val="2"/>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黑体"/>
                <w:snapToGrid/>
                <w:sz w:val="24"/>
                <w:szCs w:val="24"/>
              </w:rPr>
              <w:t>3</w:t>
            </w:r>
            <w:r>
              <w:rPr>
                <w:rFonts w:hint="eastAsia" w:eastAsia="黑体"/>
                <w:snapToGrid/>
                <w:sz w:val="24"/>
                <w:szCs w:val="24"/>
              </w:rPr>
              <w:t>6</w:t>
            </w:r>
          </w:p>
        </w:tc>
        <w:tc>
          <w:tcPr>
            <w:tcW w:w="6934"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关于印发《江苏省关于特殊困难救助对象跨省返乡工作实施意见》的通知</w:t>
            </w:r>
          </w:p>
        </w:tc>
        <w:tc>
          <w:tcPr>
            <w:tcW w:w="2550"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苏民福〔2005〕56号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婚姻登记</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7</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color w:val="000000"/>
                <w:sz w:val="24"/>
                <w:szCs w:val="24"/>
              </w:rPr>
            </w:pPr>
            <w:r>
              <w:rPr>
                <w:snapToGrid/>
                <w:color w:val="000000"/>
                <w:sz w:val="24"/>
                <w:szCs w:val="24"/>
              </w:rPr>
              <w:t>关于印发《江苏省婚姻登记工作规范》的通知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snapToGrid/>
                <w:color w:val="000000"/>
                <w:sz w:val="24"/>
                <w:szCs w:val="24"/>
              </w:rPr>
            </w:pPr>
            <w:r>
              <w:rPr>
                <w:snapToGrid/>
                <w:color w:val="000000"/>
                <w:sz w:val="24"/>
                <w:szCs w:val="24"/>
              </w:rPr>
              <w:t>苏民福〔2005〕62号</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8</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color w:val="000000"/>
                <w:sz w:val="24"/>
                <w:szCs w:val="24"/>
              </w:rPr>
            </w:pPr>
            <w:r>
              <w:rPr>
                <w:snapToGrid/>
                <w:color w:val="000000"/>
                <w:sz w:val="24"/>
                <w:szCs w:val="24"/>
              </w:rPr>
              <w:t>关于印发《婚姻登记档案管理办法》的通知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snapToGrid/>
                <w:color w:val="000000"/>
                <w:sz w:val="24"/>
                <w:szCs w:val="24"/>
              </w:rPr>
            </w:pPr>
            <w:r>
              <w:rPr>
                <w:snapToGrid/>
                <w:color w:val="000000"/>
                <w:sz w:val="24"/>
                <w:szCs w:val="24"/>
              </w:rPr>
              <w:t>苏民福〔2006〕9号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收养登记</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3</w:t>
            </w:r>
            <w:r>
              <w:rPr>
                <w:rFonts w:hint="eastAsia" w:eastAsia="黑体"/>
                <w:snapToGrid/>
                <w:sz w:val="24"/>
                <w:szCs w:val="24"/>
              </w:rPr>
              <w:t>9</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color w:val="000000"/>
                <w:sz w:val="24"/>
                <w:szCs w:val="24"/>
              </w:rPr>
            </w:pPr>
            <w:r>
              <w:rPr>
                <w:snapToGrid/>
                <w:color w:val="000000"/>
                <w:sz w:val="24"/>
                <w:szCs w:val="24"/>
              </w:rPr>
              <w:t>关于贯彻收养法规确保涉外收养工作健康有序发展的通知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snapToGrid/>
                <w:color w:val="000000"/>
                <w:sz w:val="24"/>
                <w:szCs w:val="24"/>
              </w:rPr>
            </w:pPr>
            <w:r>
              <w:rPr>
                <w:snapToGrid/>
                <w:color w:val="000000"/>
                <w:sz w:val="24"/>
                <w:szCs w:val="24"/>
              </w:rPr>
              <w:t>苏民福〔2002〕10号</w:t>
            </w:r>
          </w:p>
        </w:tc>
      </w:tr>
      <w:tr>
        <w:tblPrEx>
          <w:tblLayout w:type="fixed"/>
          <w:tblCellMar>
            <w:top w:w="0" w:type="dxa"/>
            <w:left w:w="108" w:type="dxa"/>
            <w:bottom w:w="0" w:type="dxa"/>
            <w:right w:w="108" w:type="dxa"/>
          </w:tblCellMar>
        </w:tblPrEx>
        <w:trPr>
          <w:trHeight w:val="567" w:hRule="atLeast"/>
        </w:trPr>
        <w:tc>
          <w:tcPr>
            <w:tcW w:w="10348" w:type="dxa"/>
            <w:gridSpan w:val="4"/>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楷体"/>
                <w:b/>
                <w:bCs/>
                <w:snapToGrid/>
                <w:sz w:val="30"/>
                <w:szCs w:val="30"/>
              </w:rPr>
            </w:pPr>
            <w:r>
              <w:rPr>
                <w:rFonts w:eastAsia="楷体"/>
                <w:b/>
                <w:bCs/>
                <w:snapToGrid/>
                <w:sz w:val="30"/>
                <w:szCs w:val="30"/>
              </w:rPr>
              <w:t>其他</w:t>
            </w:r>
          </w:p>
        </w:tc>
      </w:tr>
      <w:tr>
        <w:tblPrEx>
          <w:tblLayout w:type="fixed"/>
          <w:tblCellMar>
            <w:top w:w="0" w:type="dxa"/>
            <w:left w:w="108" w:type="dxa"/>
            <w:bottom w:w="0" w:type="dxa"/>
            <w:right w:w="108" w:type="dxa"/>
          </w:tblCellMar>
        </w:tblPrEx>
        <w:trPr>
          <w:trHeight w:val="567" w:hRule="atLeast"/>
        </w:trPr>
        <w:tc>
          <w:tcPr>
            <w:tcW w:w="851" w:type="dxa"/>
            <w:tcBorders>
              <w:top w:val="nil"/>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hint="eastAsia" w:eastAsia="黑体"/>
                <w:snapToGrid/>
                <w:sz w:val="24"/>
                <w:szCs w:val="24"/>
              </w:rPr>
              <w:t>40</w:t>
            </w:r>
          </w:p>
        </w:tc>
        <w:tc>
          <w:tcPr>
            <w:tcW w:w="6947" w:type="dxa"/>
            <w:gridSpan w:val="2"/>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关于印发《江苏省民政厅政务公开暂行规定》的通知</w:t>
            </w:r>
          </w:p>
        </w:tc>
        <w:tc>
          <w:tcPr>
            <w:tcW w:w="2550" w:type="dxa"/>
            <w:tcBorders>
              <w:top w:val="nil"/>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苏民发〔2006〕13号</w:t>
            </w:r>
          </w:p>
        </w:tc>
      </w:tr>
      <w:tr>
        <w:tblPrEx>
          <w:tblLayout w:type="fixed"/>
          <w:tblCellMar>
            <w:top w:w="0" w:type="dxa"/>
            <w:left w:w="108" w:type="dxa"/>
            <w:bottom w:w="0" w:type="dxa"/>
            <w:right w:w="108" w:type="dxa"/>
          </w:tblCellMar>
        </w:tblPrEx>
        <w:trPr>
          <w:trHeight w:val="851" w:hRule="atLeast"/>
        </w:trPr>
        <w:tc>
          <w:tcPr>
            <w:tcW w:w="851" w:type="dxa"/>
            <w:tcBorders>
              <w:top w:val="nil"/>
              <w:left w:val="single" w:color="auto" w:sz="4" w:space="0"/>
              <w:bottom w:val="nil"/>
              <w:right w:val="single" w:color="auto" w:sz="4" w:space="0"/>
            </w:tcBorders>
            <w:shd w:val="clear" w:color="auto" w:fill="auto"/>
            <w:vAlign w:val="center"/>
          </w:tcPr>
          <w:p>
            <w:pPr>
              <w:widowControl/>
              <w:autoSpaceDE/>
              <w:autoSpaceDN/>
              <w:snapToGrid/>
              <w:spacing w:line="500" w:lineRule="exact"/>
              <w:ind w:firstLine="0"/>
              <w:jc w:val="center"/>
              <w:rPr>
                <w:rFonts w:eastAsia="黑体"/>
                <w:snapToGrid/>
                <w:sz w:val="24"/>
                <w:szCs w:val="24"/>
              </w:rPr>
            </w:pPr>
            <w:r>
              <w:rPr>
                <w:rFonts w:eastAsia="黑体"/>
                <w:snapToGrid/>
                <w:sz w:val="24"/>
                <w:szCs w:val="24"/>
              </w:rPr>
              <w:t>4</w:t>
            </w:r>
            <w:r>
              <w:rPr>
                <w:rFonts w:hint="eastAsia" w:eastAsia="黑体"/>
                <w:snapToGrid/>
                <w:sz w:val="24"/>
                <w:szCs w:val="24"/>
              </w:rPr>
              <w:t>1</w:t>
            </w:r>
          </w:p>
        </w:tc>
        <w:tc>
          <w:tcPr>
            <w:tcW w:w="6947" w:type="dxa"/>
            <w:gridSpan w:val="2"/>
            <w:tcBorders>
              <w:top w:val="nil"/>
              <w:left w:val="nil"/>
              <w:bottom w:val="nil"/>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关于印发《江苏省民政厅规范行政处罚自由裁量权实施办法（试行）》的通知</w:t>
            </w:r>
          </w:p>
        </w:tc>
        <w:tc>
          <w:tcPr>
            <w:tcW w:w="2550" w:type="dxa"/>
            <w:tcBorders>
              <w:top w:val="nil"/>
              <w:left w:val="nil"/>
              <w:bottom w:val="nil"/>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苏民规〔2010〕5号</w:t>
            </w:r>
          </w:p>
        </w:tc>
      </w:tr>
      <w:tr>
        <w:tblPrEx>
          <w:tblLayout w:type="fixed"/>
          <w:tblCellMar>
            <w:top w:w="0" w:type="dxa"/>
            <w:left w:w="108" w:type="dxa"/>
            <w:bottom w:w="0" w:type="dxa"/>
            <w:right w:w="108" w:type="dxa"/>
          </w:tblCellMar>
        </w:tblPrEx>
        <w:trPr>
          <w:trHeight w:val="1101" w:hRule="atLeast"/>
        </w:trPr>
        <w:tc>
          <w:tcPr>
            <w:tcW w:w="85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utoSpaceDE/>
              <w:autoSpaceDN/>
              <w:snapToGrid/>
              <w:spacing w:line="500" w:lineRule="exact"/>
              <w:ind w:firstLine="230" w:firstLineChars="98"/>
              <w:jc w:val="left"/>
              <w:rPr>
                <w:snapToGrid/>
                <w:sz w:val="24"/>
                <w:szCs w:val="24"/>
              </w:rPr>
            </w:pPr>
            <w:r>
              <w:rPr>
                <w:rFonts w:hint="eastAsia"/>
                <w:snapToGrid/>
                <w:sz w:val="24"/>
                <w:szCs w:val="24"/>
              </w:rPr>
              <w:t>42</w:t>
            </w:r>
          </w:p>
        </w:tc>
        <w:tc>
          <w:tcPr>
            <w:tcW w:w="6947" w:type="dxa"/>
            <w:gridSpan w:val="2"/>
            <w:tcBorders>
              <w:top w:val="single" w:color="auto" w:sz="4" w:space="0"/>
              <w:left w:val="nil"/>
              <w:bottom w:val="single" w:color="auto" w:sz="4" w:space="0"/>
              <w:right w:val="single" w:color="auto" w:sz="4" w:space="0"/>
            </w:tcBorders>
            <w:shd w:val="clear" w:color="auto" w:fill="auto"/>
            <w:vAlign w:val="center"/>
          </w:tcPr>
          <w:p>
            <w:pPr>
              <w:spacing w:line="500" w:lineRule="exact"/>
              <w:ind w:firstLine="0"/>
              <w:jc w:val="left"/>
              <w:rPr>
                <w:rFonts w:hint="eastAsia"/>
                <w:snapToGrid/>
                <w:sz w:val="24"/>
                <w:szCs w:val="24"/>
              </w:rPr>
            </w:pPr>
            <w:r>
              <w:rPr>
                <w:rFonts w:hint="eastAsia"/>
                <w:snapToGrid/>
                <w:sz w:val="24"/>
                <w:szCs w:val="24"/>
              </w:rPr>
              <w:t>关于印发《</w:t>
            </w:r>
            <w:r>
              <w:rPr>
                <w:snapToGrid/>
                <w:sz w:val="24"/>
                <w:szCs w:val="24"/>
              </w:rPr>
              <w:t>江苏省民政厅行政执法程序</w:t>
            </w:r>
            <w:r>
              <w:rPr>
                <w:rFonts w:hint="eastAsia"/>
                <w:snapToGrid/>
                <w:sz w:val="24"/>
                <w:szCs w:val="24"/>
              </w:rPr>
              <w:t>暂行</w:t>
            </w:r>
            <w:r>
              <w:rPr>
                <w:snapToGrid/>
                <w:sz w:val="24"/>
                <w:szCs w:val="24"/>
              </w:rPr>
              <w:t>规定</w:t>
            </w:r>
            <w:r>
              <w:rPr>
                <w:rFonts w:hint="eastAsia"/>
                <w:snapToGrid/>
                <w:sz w:val="24"/>
                <w:szCs w:val="24"/>
              </w:rPr>
              <w:t>》等四个文件的通知</w:t>
            </w:r>
          </w:p>
        </w:tc>
        <w:tc>
          <w:tcPr>
            <w:tcW w:w="2550" w:type="dxa"/>
            <w:tcBorders>
              <w:top w:val="single" w:color="auto" w:sz="4" w:space="0"/>
              <w:left w:val="nil"/>
              <w:bottom w:val="single" w:color="auto" w:sz="4" w:space="0"/>
              <w:right w:val="single" w:color="auto" w:sz="4" w:space="0"/>
            </w:tcBorders>
            <w:shd w:val="clear" w:color="auto" w:fill="auto"/>
            <w:vAlign w:val="center"/>
          </w:tcPr>
          <w:p>
            <w:pPr>
              <w:widowControl/>
              <w:autoSpaceDE/>
              <w:autoSpaceDN/>
              <w:snapToGrid/>
              <w:spacing w:line="500" w:lineRule="exact"/>
              <w:ind w:firstLine="0"/>
              <w:jc w:val="left"/>
              <w:rPr>
                <w:snapToGrid/>
                <w:sz w:val="24"/>
                <w:szCs w:val="24"/>
              </w:rPr>
            </w:pPr>
            <w:r>
              <w:rPr>
                <w:snapToGrid/>
                <w:sz w:val="24"/>
                <w:szCs w:val="24"/>
              </w:rPr>
              <w:t>苏民规〔201</w:t>
            </w:r>
            <w:r>
              <w:rPr>
                <w:rFonts w:hint="eastAsia"/>
                <w:snapToGrid/>
                <w:sz w:val="24"/>
                <w:szCs w:val="24"/>
              </w:rPr>
              <w:t>7</w:t>
            </w:r>
            <w:r>
              <w:rPr>
                <w:snapToGrid/>
                <w:sz w:val="24"/>
                <w:szCs w:val="24"/>
              </w:rPr>
              <w:t>〕</w:t>
            </w:r>
            <w:r>
              <w:rPr>
                <w:rFonts w:hint="eastAsia"/>
                <w:snapToGrid/>
                <w:sz w:val="24"/>
                <w:szCs w:val="24"/>
              </w:rPr>
              <w:t>1</w:t>
            </w:r>
            <w:r>
              <w:rPr>
                <w:snapToGrid/>
                <w:sz w:val="24"/>
                <w:szCs w:val="24"/>
              </w:rPr>
              <w:t>号</w:t>
            </w:r>
          </w:p>
        </w:tc>
      </w:tr>
    </w:tbl>
    <w:p>
      <w:pPr>
        <w:autoSpaceDE/>
        <w:autoSpaceDN/>
        <w:snapToGrid/>
        <w:spacing w:line="240" w:lineRule="auto"/>
        <w:ind w:firstLine="0"/>
        <w:jc w:val="center"/>
        <w:rPr>
          <w:rFonts w:eastAsia="方正小标宋_GBK"/>
          <w:bCs/>
          <w:snapToGrid/>
          <w:kern w:val="2"/>
          <w:sz w:val="44"/>
          <w:szCs w:val="44"/>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2A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汉鼎简大宋">
    <w:altName w:val="宋体"/>
    <w:panose1 w:val="02010609010101010101"/>
    <w:charset w:val="86"/>
    <w:family w:val="modern"/>
    <w:pitch w:val="default"/>
    <w:sig w:usb0="00000000" w:usb1="0000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Arial">
    <w:panose1 w:val="020B0604020202020204"/>
    <w:charset w:val="00"/>
    <w:family w:val="swiss"/>
    <w:pitch w:val="default"/>
    <w:sig w:usb0="E0002EFF" w:usb1="C0007843" w:usb2="00000009" w:usb3="00000000" w:csb0="400001FF" w:csb1="FFFF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CDF184E"/>
    <w:rsid w:val="2CDF184E"/>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eastAsia="方正仿宋_GBK"/>
      <w:snapToGrid w:val="0"/>
      <w:sz w:val="32"/>
      <w:szCs w:val="2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2017-12-25T03:00:00Z</dcterms:created>
  <dc:creator>video</dc:creator>
  <cp:lastModifiedBy>video</cp:lastModifiedBy>
  <dcterms:modified xsi:type="dcterms:W3CDTF">2017-12-25T03:05:25Z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2052-10.1.0.6206</vt:lpwstr>
  </property>
</Properties>
</file>