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86DFF" w:rsidRDefault="00486DFF" w:rsidP="00486DFF">
      <w:pPr>
        <w:overflowPunct w:val="0"/>
        <w:topLinePunct/>
        <w:adjustRightInd w:val="0"/>
        <w:snapToGrid w:val="0"/>
        <w:spacing w:line="560" w:lineRule="exact"/>
        <w:jc w:val="left"/>
        <w:rPr>
          <w:rFonts w:ascii="Times New Roman" w:eastAsia="方正黑体_GBK" w:hAnsi="Times New Roman" w:cs="Times New Roman"/>
          <w:color w:val="000000" w:themeColor="text1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color w:val="000000" w:themeColor="text1"/>
          <w:sz w:val="32"/>
          <w:szCs w:val="32"/>
        </w:rPr>
        <w:t>附件</w:t>
      </w:r>
    </w:p>
    <w:p w:rsidR="00486DFF" w:rsidRDefault="00486DFF" w:rsidP="00486DFF">
      <w:pPr>
        <w:overflowPunct w:val="0"/>
        <w:topLinePunct/>
        <w:adjustRightInd w:val="0"/>
        <w:snapToGrid w:val="0"/>
        <w:spacing w:line="640" w:lineRule="exact"/>
        <w:jc w:val="center"/>
        <w:rPr>
          <w:rFonts w:ascii="Times New Roman" w:eastAsia="方正小标宋_GBK" w:hAnsi="Times New Roman" w:cs="Times New Roman"/>
          <w:color w:val="000000" w:themeColor="text1"/>
          <w:sz w:val="44"/>
          <w:szCs w:val="44"/>
        </w:rPr>
      </w:pPr>
      <w:r>
        <w:rPr>
          <w:rFonts w:ascii="Times New Roman" w:eastAsia="方正小标宋_GBK" w:hAnsi="Times New Roman" w:cs="Times New Roman" w:hint="eastAsia"/>
          <w:color w:val="000000" w:themeColor="text1"/>
          <w:sz w:val="44"/>
          <w:szCs w:val="44"/>
        </w:rPr>
        <w:t>江苏省养老机构消防安全标准化管理达标建设评定标准</w:t>
      </w:r>
    </w:p>
    <w:p w:rsidR="00486DFF" w:rsidRDefault="00486DFF" w:rsidP="00486DFF">
      <w:pPr>
        <w:overflowPunct w:val="0"/>
        <w:topLinePunct/>
        <w:adjustRightInd w:val="0"/>
        <w:snapToGrid w:val="0"/>
        <w:spacing w:beforeLines="30" w:before="72" w:afterLines="30" w:after="72" w:line="520" w:lineRule="exact"/>
        <w:jc w:val="left"/>
        <w:rPr>
          <w:rFonts w:ascii="Times New Roman" w:eastAsia="方正小标宋_GBK" w:hAnsi="Times New Roman" w:cs="Times New Roman"/>
          <w:color w:val="000000" w:themeColor="text1"/>
          <w:sz w:val="32"/>
          <w:szCs w:val="32"/>
        </w:rPr>
      </w:pPr>
      <w:r>
        <w:rPr>
          <w:rFonts w:ascii="Times New Roman" w:eastAsia="方正楷体_GBK" w:hAnsi="Times New Roman" w:cs="Times New Roman" w:hint="eastAsia"/>
          <w:color w:val="000000" w:themeColor="text1"/>
          <w:sz w:val="32"/>
          <w:szCs w:val="32"/>
        </w:rPr>
        <w:t>自查（验收、抽查）评定人：</w:t>
      </w:r>
      <w:r>
        <w:rPr>
          <w:rFonts w:ascii="Times New Roman" w:eastAsia="方正楷体_GBK" w:hAnsi="Times New Roman" w:cs="Times New Roman" w:hint="eastAsia"/>
          <w:color w:val="000000" w:themeColor="text1"/>
          <w:sz w:val="32"/>
          <w:szCs w:val="32"/>
        </w:rPr>
        <w:t xml:space="preserve">                                    </w:t>
      </w:r>
      <w:r>
        <w:rPr>
          <w:rFonts w:ascii="Times New Roman" w:eastAsia="方正楷体_GBK" w:hAnsi="Times New Roman" w:cs="Times New Roman" w:hint="eastAsia"/>
          <w:color w:val="000000" w:themeColor="text1"/>
          <w:sz w:val="32"/>
          <w:szCs w:val="32"/>
        </w:rPr>
        <w:t>评定时间：</w:t>
      </w:r>
    </w:p>
    <w:tbl>
      <w:tblPr>
        <w:tblStyle w:val="a7"/>
        <w:tblW w:w="14832" w:type="dxa"/>
        <w:jc w:val="center"/>
        <w:tblLayout w:type="fixed"/>
        <w:tblLook w:val="04A0" w:firstRow="1" w:lastRow="0" w:firstColumn="1" w:lastColumn="0" w:noHBand="0" w:noVBand="1"/>
      </w:tblPr>
      <w:tblGrid>
        <w:gridCol w:w="23"/>
        <w:gridCol w:w="1142"/>
        <w:gridCol w:w="1996"/>
        <w:gridCol w:w="990"/>
        <w:gridCol w:w="1131"/>
        <w:gridCol w:w="1131"/>
        <w:gridCol w:w="1131"/>
        <w:gridCol w:w="2313"/>
        <w:gridCol w:w="1916"/>
        <w:gridCol w:w="6"/>
        <w:gridCol w:w="837"/>
        <w:gridCol w:w="23"/>
        <w:gridCol w:w="1108"/>
        <w:gridCol w:w="23"/>
        <w:gridCol w:w="1039"/>
        <w:gridCol w:w="23"/>
      </w:tblGrid>
      <w:tr w:rsidR="00486DFF" w:rsidTr="001E3259">
        <w:trPr>
          <w:gridBefore w:val="1"/>
          <w:wBefore w:w="23" w:type="dxa"/>
          <w:trHeight w:val="454"/>
          <w:jc w:val="center"/>
        </w:trPr>
        <w:tc>
          <w:tcPr>
            <w:tcW w:w="1142" w:type="dxa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黑体_GBK"/>
                <w:color w:val="000000" w:themeColor="text1"/>
                <w:szCs w:val="21"/>
              </w:rPr>
            </w:pPr>
            <w:r>
              <w:rPr>
                <w:rFonts w:eastAsia="方正黑体_GBK" w:hint="eastAsia"/>
                <w:color w:val="000000" w:themeColor="text1"/>
                <w:szCs w:val="21"/>
              </w:rPr>
              <w:t>单位名称</w:t>
            </w:r>
          </w:p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楷体_GBK"/>
                <w:color w:val="000000" w:themeColor="text1"/>
                <w:w w:val="90"/>
                <w:sz w:val="15"/>
                <w:szCs w:val="15"/>
              </w:rPr>
            </w:pPr>
            <w:r>
              <w:rPr>
                <w:rFonts w:eastAsia="方正楷体_GBK" w:hint="eastAsia"/>
                <w:color w:val="000000" w:themeColor="text1"/>
                <w:spacing w:val="-6"/>
                <w:w w:val="90"/>
                <w:sz w:val="18"/>
                <w:szCs w:val="18"/>
              </w:rPr>
              <w:t>（单位自评时需加盖印章）</w:t>
            </w:r>
          </w:p>
        </w:tc>
        <w:tc>
          <w:tcPr>
            <w:tcW w:w="4117" w:type="dxa"/>
            <w:gridSpan w:val="3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黑体_GBK"/>
                <w:color w:val="000000" w:themeColor="text1"/>
                <w:szCs w:val="21"/>
              </w:rPr>
            </w:pPr>
          </w:p>
        </w:tc>
        <w:tc>
          <w:tcPr>
            <w:tcW w:w="1131" w:type="dxa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黑体_GBK"/>
                <w:color w:val="000000" w:themeColor="text1"/>
                <w:szCs w:val="21"/>
              </w:rPr>
            </w:pPr>
            <w:r>
              <w:rPr>
                <w:rFonts w:eastAsia="方正黑体_GBK" w:hint="eastAsia"/>
                <w:color w:val="000000" w:themeColor="text1"/>
                <w:szCs w:val="21"/>
              </w:rPr>
              <w:t>地址</w:t>
            </w:r>
          </w:p>
        </w:tc>
        <w:tc>
          <w:tcPr>
            <w:tcW w:w="8419" w:type="dxa"/>
            <w:gridSpan w:val="10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黑体_GBK"/>
                <w:color w:val="000000" w:themeColor="text1"/>
                <w:szCs w:val="21"/>
              </w:rPr>
            </w:pPr>
          </w:p>
        </w:tc>
      </w:tr>
      <w:tr w:rsidR="00486DFF" w:rsidTr="001E3259">
        <w:trPr>
          <w:gridBefore w:val="1"/>
          <w:wBefore w:w="23" w:type="dxa"/>
          <w:trHeight w:val="454"/>
          <w:jc w:val="center"/>
        </w:trPr>
        <w:tc>
          <w:tcPr>
            <w:tcW w:w="1142" w:type="dxa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黑体_GBK"/>
                <w:color w:val="000000" w:themeColor="text1"/>
                <w:szCs w:val="21"/>
              </w:rPr>
            </w:pPr>
            <w:r>
              <w:rPr>
                <w:rFonts w:eastAsia="方正黑体_GBK" w:hint="eastAsia"/>
                <w:color w:val="000000" w:themeColor="text1"/>
                <w:szCs w:val="21"/>
              </w:rPr>
              <w:t>建筑基本情况</w:t>
            </w:r>
          </w:p>
        </w:tc>
        <w:tc>
          <w:tcPr>
            <w:tcW w:w="10608" w:type="dxa"/>
            <w:gridSpan w:val="7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lef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范例：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1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、位于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xx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大厦第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x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、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x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层，场所建筑面积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x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平方米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；</w:t>
            </w:r>
          </w:p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left"/>
              <w:rPr>
                <w:rFonts w:eastAsia="方正黑体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2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、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使用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x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栋建筑，分别为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x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层、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x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层，场所总建筑面积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x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平方米。</w:t>
            </w:r>
          </w:p>
        </w:tc>
        <w:tc>
          <w:tcPr>
            <w:tcW w:w="866" w:type="dxa"/>
            <w:gridSpan w:val="3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黑体_GBK"/>
                <w:color w:val="000000" w:themeColor="text1"/>
                <w:szCs w:val="21"/>
              </w:rPr>
            </w:pPr>
            <w:r>
              <w:rPr>
                <w:rFonts w:eastAsia="方正黑体_GBK" w:hint="eastAsia"/>
                <w:color w:val="000000" w:themeColor="text1"/>
                <w:szCs w:val="21"/>
              </w:rPr>
              <w:t>备案</w:t>
            </w:r>
          </w:p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黑体_GBK"/>
                <w:color w:val="000000" w:themeColor="text1"/>
                <w:szCs w:val="21"/>
              </w:rPr>
            </w:pPr>
            <w:r>
              <w:rPr>
                <w:rFonts w:eastAsia="方正黑体_GBK" w:hint="eastAsia"/>
                <w:color w:val="000000" w:themeColor="text1"/>
                <w:szCs w:val="21"/>
              </w:rPr>
              <w:t>床位数</w:t>
            </w:r>
          </w:p>
        </w:tc>
        <w:tc>
          <w:tcPr>
            <w:tcW w:w="2193" w:type="dxa"/>
            <w:gridSpan w:val="4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黑体_GBK"/>
                <w:color w:val="000000" w:themeColor="text1"/>
                <w:szCs w:val="21"/>
              </w:rPr>
            </w:pPr>
          </w:p>
        </w:tc>
      </w:tr>
      <w:tr w:rsidR="00486DFF" w:rsidTr="001E3259">
        <w:trPr>
          <w:gridBefore w:val="1"/>
          <w:wBefore w:w="23" w:type="dxa"/>
          <w:trHeight w:val="454"/>
          <w:jc w:val="center"/>
        </w:trPr>
        <w:tc>
          <w:tcPr>
            <w:tcW w:w="1142" w:type="dxa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黑体_GBK"/>
                <w:color w:val="000000" w:themeColor="text1"/>
                <w:szCs w:val="21"/>
              </w:rPr>
            </w:pPr>
            <w:r>
              <w:rPr>
                <w:rFonts w:eastAsia="方正黑体_GBK" w:hint="eastAsia"/>
                <w:color w:val="000000" w:themeColor="text1"/>
                <w:w w:val="85"/>
              </w:rPr>
              <w:t>法定代表人</w:t>
            </w:r>
            <w:r>
              <w:rPr>
                <w:rFonts w:eastAsia="方正黑体_GBK" w:hint="eastAsia"/>
                <w:color w:val="000000" w:themeColor="text1"/>
                <w:spacing w:val="-6"/>
                <w:w w:val="75"/>
                <w:szCs w:val="21"/>
              </w:rPr>
              <w:t>或主要负责人</w:t>
            </w:r>
          </w:p>
        </w:tc>
        <w:tc>
          <w:tcPr>
            <w:tcW w:w="1996" w:type="dxa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黑体_GBK"/>
                <w:color w:val="000000" w:themeColor="text1"/>
                <w:szCs w:val="21"/>
              </w:rPr>
            </w:pPr>
          </w:p>
        </w:tc>
        <w:tc>
          <w:tcPr>
            <w:tcW w:w="990" w:type="dxa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黑体_GBK"/>
                <w:color w:val="000000" w:themeColor="text1"/>
                <w:szCs w:val="21"/>
              </w:rPr>
            </w:pPr>
            <w:r>
              <w:rPr>
                <w:rFonts w:eastAsia="方正黑体_GBK" w:hint="eastAsia"/>
                <w:color w:val="000000" w:themeColor="text1"/>
                <w:szCs w:val="21"/>
              </w:rPr>
              <w:t>联系</w:t>
            </w:r>
          </w:p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黑体_GBK"/>
                <w:color w:val="000000" w:themeColor="text1"/>
                <w:szCs w:val="21"/>
              </w:rPr>
            </w:pPr>
            <w:r>
              <w:rPr>
                <w:rFonts w:eastAsia="方正黑体_GBK" w:hint="eastAsia"/>
                <w:color w:val="000000" w:themeColor="text1"/>
                <w:szCs w:val="21"/>
              </w:rPr>
              <w:t>电话</w:t>
            </w:r>
          </w:p>
        </w:tc>
        <w:tc>
          <w:tcPr>
            <w:tcW w:w="2262" w:type="dxa"/>
            <w:gridSpan w:val="2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黑体_GBK"/>
                <w:color w:val="000000" w:themeColor="text1"/>
                <w:szCs w:val="21"/>
              </w:rPr>
            </w:pPr>
          </w:p>
        </w:tc>
        <w:tc>
          <w:tcPr>
            <w:tcW w:w="1131" w:type="dxa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黑体_GBK"/>
                <w:color w:val="000000" w:themeColor="text1"/>
                <w:szCs w:val="21"/>
              </w:rPr>
            </w:pPr>
            <w:r>
              <w:rPr>
                <w:rFonts w:eastAsia="方正黑体_GBK" w:hint="eastAsia"/>
                <w:color w:val="000000" w:themeColor="text1"/>
                <w:szCs w:val="21"/>
              </w:rPr>
              <w:t>消防安全管理人</w:t>
            </w:r>
          </w:p>
        </w:tc>
        <w:tc>
          <w:tcPr>
            <w:tcW w:w="4229" w:type="dxa"/>
            <w:gridSpan w:val="2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黑体_GBK"/>
                <w:color w:val="000000" w:themeColor="text1"/>
                <w:szCs w:val="21"/>
              </w:rPr>
            </w:pPr>
          </w:p>
        </w:tc>
        <w:tc>
          <w:tcPr>
            <w:tcW w:w="866" w:type="dxa"/>
            <w:gridSpan w:val="3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黑体_GBK"/>
                <w:color w:val="000000" w:themeColor="text1"/>
                <w:szCs w:val="21"/>
              </w:rPr>
            </w:pPr>
            <w:r>
              <w:rPr>
                <w:rFonts w:eastAsia="方正黑体_GBK" w:hint="eastAsia"/>
                <w:color w:val="000000" w:themeColor="text1"/>
                <w:szCs w:val="21"/>
              </w:rPr>
              <w:t>联系</w:t>
            </w:r>
          </w:p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黑体_GBK"/>
                <w:color w:val="000000" w:themeColor="text1"/>
                <w:szCs w:val="21"/>
              </w:rPr>
            </w:pPr>
            <w:r>
              <w:rPr>
                <w:rFonts w:eastAsia="方正黑体_GBK" w:hint="eastAsia"/>
                <w:color w:val="000000" w:themeColor="text1"/>
                <w:szCs w:val="21"/>
              </w:rPr>
              <w:t>电话</w:t>
            </w:r>
          </w:p>
        </w:tc>
        <w:tc>
          <w:tcPr>
            <w:tcW w:w="2193" w:type="dxa"/>
            <w:gridSpan w:val="4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黑体_GBK"/>
                <w:color w:val="000000" w:themeColor="text1"/>
                <w:szCs w:val="21"/>
              </w:rPr>
            </w:pPr>
          </w:p>
        </w:tc>
      </w:tr>
      <w:tr w:rsidR="00486DFF" w:rsidTr="001E3259">
        <w:trPr>
          <w:gridBefore w:val="1"/>
          <w:wBefore w:w="23" w:type="dxa"/>
          <w:trHeight w:val="454"/>
          <w:jc w:val="center"/>
        </w:trPr>
        <w:tc>
          <w:tcPr>
            <w:tcW w:w="1142" w:type="dxa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黑体_GBK"/>
                <w:color w:val="000000" w:themeColor="text1"/>
                <w:szCs w:val="21"/>
              </w:rPr>
            </w:pPr>
            <w:r>
              <w:rPr>
                <w:rFonts w:eastAsia="方正黑体_GBK" w:hint="eastAsia"/>
                <w:color w:val="000000" w:themeColor="text1"/>
                <w:szCs w:val="21"/>
              </w:rPr>
              <w:t>类别</w:t>
            </w: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黑体_GBK"/>
                <w:color w:val="000000" w:themeColor="text1"/>
                <w:szCs w:val="21"/>
              </w:rPr>
            </w:pPr>
            <w:r>
              <w:rPr>
                <w:rFonts w:eastAsia="方正黑体_GBK" w:hint="eastAsia"/>
                <w:color w:val="000000" w:themeColor="text1"/>
                <w:szCs w:val="21"/>
              </w:rPr>
              <w:t>评定标准</w:t>
            </w:r>
          </w:p>
        </w:tc>
        <w:tc>
          <w:tcPr>
            <w:tcW w:w="1916" w:type="dxa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黑体_GBK"/>
                <w:color w:val="000000" w:themeColor="text1"/>
                <w:szCs w:val="21"/>
              </w:rPr>
            </w:pPr>
            <w:r>
              <w:rPr>
                <w:rFonts w:eastAsia="方正黑体_GBK" w:hint="eastAsia"/>
                <w:color w:val="000000" w:themeColor="text1"/>
                <w:szCs w:val="21"/>
              </w:rPr>
              <w:t>检查方法</w:t>
            </w:r>
          </w:p>
        </w:tc>
        <w:tc>
          <w:tcPr>
            <w:tcW w:w="866" w:type="dxa"/>
            <w:gridSpan w:val="3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黑体_GBK"/>
                <w:color w:val="000000" w:themeColor="text1"/>
                <w:szCs w:val="21"/>
              </w:rPr>
            </w:pPr>
            <w:r>
              <w:rPr>
                <w:rFonts w:eastAsia="方正黑体_GBK" w:hint="eastAsia"/>
                <w:color w:val="000000" w:themeColor="text1"/>
                <w:szCs w:val="21"/>
              </w:rPr>
              <w:t>重要</w:t>
            </w:r>
          </w:p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黑体_GBK"/>
                <w:color w:val="000000" w:themeColor="text1"/>
                <w:szCs w:val="21"/>
              </w:rPr>
            </w:pPr>
            <w:r>
              <w:rPr>
                <w:rFonts w:eastAsia="方正黑体_GBK" w:hint="eastAsia"/>
                <w:color w:val="000000" w:themeColor="text1"/>
                <w:szCs w:val="21"/>
              </w:rPr>
              <w:t>等级</w:t>
            </w:r>
          </w:p>
        </w:tc>
        <w:tc>
          <w:tcPr>
            <w:tcW w:w="1131" w:type="dxa"/>
            <w:gridSpan w:val="2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黑体_GBK"/>
                <w:color w:val="000000" w:themeColor="text1"/>
                <w:szCs w:val="21"/>
              </w:rPr>
            </w:pPr>
            <w:r>
              <w:rPr>
                <w:rFonts w:eastAsia="方正黑体_GBK" w:hint="eastAsia"/>
                <w:color w:val="000000" w:themeColor="text1"/>
                <w:szCs w:val="21"/>
              </w:rPr>
              <w:t>扣（加）分情况</w:t>
            </w:r>
          </w:p>
        </w:tc>
        <w:tc>
          <w:tcPr>
            <w:tcW w:w="1062" w:type="dxa"/>
            <w:gridSpan w:val="2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黑体_GBK"/>
                <w:color w:val="000000" w:themeColor="text1"/>
                <w:szCs w:val="21"/>
              </w:rPr>
            </w:pPr>
            <w:r>
              <w:rPr>
                <w:rFonts w:eastAsia="方正黑体_GBK" w:hint="eastAsia"/>
                <w:color w:val="000000" w:themeColor="text1"/>
                <w:szCs w:val="21"/>
              </w:rPr>
              <w:t>得分</w:t>
            </w:r>
          </w:p>
        </w:tc>
      </w:tr>
      <w:tr w:rsidR="00486DFF" w:rsidTr="001E3259">
        <w:trPr>
          <w:gridBefore w:val="1"/>
          <w:wBefore w:w="23" w:type="dxa"/>
          <w:trHeight w:val="454"/>
          <w:jc w:val="center"/>
        </w:trPr>
        <w:tc>
          <w:tcPr>
            <w:tcW w:w="1142" w:type="dxa"/>
            <w:vMerge w:val="restart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消防安全</w:t>
            </w:r>
          </w:p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责任落实</w:t>
            </w:r>
          </w:p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（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11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分）</w:t>
            </w: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未明确法定代表人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、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主要负责人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或实际负责人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为消防安全责任人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，或消防安全责任人未由法定代表人（主要负责人或实际负责人）担任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的，扣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2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分。</w:t>
            </w:r>
          </w:p>
        </w:tc>
        <w:tc>
          <w:tcPr>
            <w:tcW w:w="1916" w:type="dxa"/>
            <w:vMerge w:val="restart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lef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查看单位相关发文或消防安全管理组织架构图，抽查询问相关人员</w:t>
            </w:r>
          </w:p>
        </w:tc>
        <w:tc>
          <w:tcPr>
            <w:tcW w:w="866" w:type="dxa"/>
            <w:gridSpan w:val="3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4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4"/>
              </w:rPr>
            </w:pPr>
          </w:p>
        </w:tc>
      </w:tr>
      <w:tr w:rsidR="00486DFF" w:rsidTr="001E3259">
        <w:trPr>
          <w:gridBefore w:val="1"/>
          <w:wBefore w:w="23" w:type="dxa"/>
          <w:trHeight w:val="454"/>
          <w:jc w:val="center"/>
        </w:trPr>
        <w:tc>
          <w:tcPr>
            <w:tcW w:w="1142" w:type="dxa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属于消防安全重点单位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的养老机构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（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超过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50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个床位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）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，未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确定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消防安全管理人的，扣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2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分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；其他机构未配备专（兼）职消防安全管理人的，扣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2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。</w:t>
            </w:r>
          </w:p>
        </w:tc>
        <w:tc>
          <w:tcPr>
            <w:tcW w:w="1916" w:type="dxa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left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6" w:type="dxa"/>
            <w:gridSpan w:val="3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4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4"/>
              </w:rPr>
            </w:pPr>
          </w:p>
        </w:tc>
      </w:tr>
      <w:tr w:rsidR="00486DFF" w:rsidTr="001E3259">
        <w:trPr>
          <w:gridBefore w:val="1"/>
          <w:wBefore w:w="23" w:type="dxa"/>
          <w:trHeight w:val="454"/>
          <w:jc w:val="center"/>
        </w:trPr>
        <w:tc>
          <w:tcPr>
            <w:tcW w:w="1142" w:type="dxa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聘用注册消防工程师担任消防安全管理人的，加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1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分。▲</w:t>
            </w:r>
          </w:p>
        </w:tc>
        <w:tc>
          <w:tcPr>
            <w:tcW w:w="1916" w:type="dxa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left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6" w:type="dxa"/>
            <w:gridSpan w:val="3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-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4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4"/>
              </w:rPr>
            </w:pPr>
          </w:p>
        </w:tc>
      </w:tr>
      <w:tr w:rsidR="00486DFF" w:rsidTr="001E3259">
        <w:trPr>
          <w:gridBefore w:val="1"/>
          <w:wBefore w:w="23" w:type="dxa"/>
          <w:trHeight w:val="454"/>
          <w:jc w:val="center"/>
        </w:trPr>
        <w:tc>
          <w:tcPr>
            <w:tcW w:w="1142" w:type="dxa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lef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pacing w:val="-6"/>
                <w:sz w:val="18"/>
                <w:szCs w:val="18"/>
              </w:rPr>
              <w:t>未确定各级和</w:t>
            </w:r>
            <w:r>
              <w:rPr>
                <w:rFonts w:eastAsia="方正仿宋_GBK" w:hint="eastAsia"/>
                <w:color w:val="000000" w:themeColor="text1"/>
                <w:spacing w:val="-6"/>
                <w:sz w:val="18"/>
                <w:szCs w:val="18"/>
              </w:rPr>
              <w:t>各</w:t>
            </w:r>
            <w:r>
              <w:rPr>
                <w:rFonts w:eastAsia="方正仿宋_GBK"/>
                <w:color w:val="000000" w:themeColor="text1"/>
                <w:spacing w:val="-6"/>
                <w:sz w:val="18"/>
                <w:szCs w:val="18"/>
              </w:rPr>
              <w:t>岗位消防安全责任人</w:t>
            </w:r>
            <w:r>
              <w:rPr>
                <w:rFonts w:eastAsia="方正仿宋_GBK" w:hint="eastAsia"/>
                <w:color w:val="000000" w:themeColor="text1"/>
                <w:spacing w:val="-6"/>
                <w:sz w:val="18"/>
                <w:szCs w:val="18"/>
              </w:rPr>
              <w:t>，或相关人员不熟悉自身消防安全职责</w:t>
            </w:r>
            <w:r>
              <w:rPr>
                <w:rFonts w:eastAsia="方正仿宋_GBK" w:hint="eastAsia"/>
                <w:color w:val="000000" w:themeColor="text1"/>
                <w:spacing w:val="-6"/>
                <w:sz w:val="18"/>
                <w:szCs w:val="18"/>
                <w:vertAlign w:val="superscript"/>
              </w:rPr>
              <w:t>[1]</w:t>
            </w:r>
            <w:r>
              <w:rPr>
                <w:rFonts w:eastAsia="方正仿宋_GBK" w:hint="eastAsia"/>
                <w:color w:val="000000" w:themeColor="text1"/>
                <w:spacing w:val="-6"/>
                <w:sz w:val="18"/>
                <w:szCs w:val="18"/>
              </w:rPr>
              <w:t>的，每有一例扣</w:t>
            </w:r>
            <w:r>
              <w:rPr>
                <w:rFonts w:eastAsia="方正仿宋_GBK" w:hint="eastAsia"/>
                <w:color w:val="000000" w:themeColor="text1"/>
                <w:spacing w:val="-6"/>
                <w:sz w:val="18"/>
                <w:szCs w:val="18"/>
              </w:rPr>
              <w:t>0.2</w:t>
            </w:r>
            <w:r>
              <w:rPr>
                <w:rFonts w:eastAsia="方正仿宋_GBK" w:hint="eastAsia"/>
                <w:color w:val="000000" w:themeColor="text1"/>
                <w:spacing w:val="-6"/>
                <w:sz w:val="18"/>
                <w:szCs w:val="18"/>
              </w:rPr>
              <w:t>分，最多扣</w:t>
            </w:r>
            <w:r>
              <w:rPr>
                <w:rFonts w:eastAsia="方正仿宋_GBK" w:hint="eastAsia"/>
                <w:color w:val="000000" w:themeColor="text1"/>
                <w:spacing w:val="-6"/>
                <w:sz w:val="18"/>
                <w:szCs w:val="18"/>
              </w:rPr>
              <w:t>2</w:t>
            </w:r>
            <w:r>
              <w:rPr>
                <w:rFonts w:eastAsia="方正仿宋_GBK" w:hint="eastAsia"/>
                <w:color w:val="000000" w:themeColor="text1"/>
                <w:spacing w:val="-6"/>
                <w:sz w:val="18"/>
                <w:szCs w:val="18"/>
              </w:rPr>
              <w:t>分。</w:t>
            </w:r>
          </w:p>
        </w:tc>
        <w:tc>
          <w:tcPr>
            <w:tcW w:w="1916" w:type="dxa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left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6" w:type="dxa"/>
            <w:gridSpan w:val="3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4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4"/>
              </w:rPr>
            </w:pPr>
          </w:p>
        </w:tc>
      </w:tr>
      <w:tr w:rsidR="00486DFF" w:rsidTr="001E3259">
        <w:trPr>
          <w:gridBefore w:val="1"/>
          <w:wBefore w:w="23" w:type="dxa"/>
          <w:trHeight w:val="454"/>
          <w:jc w:val="center"/>
        </w:trPr>
        <w:tc>
          <w:tcPr>
            <w:tcW w:w="1142" w:type="dxa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实行租赁或委托管理时，未在订立的合同中依照有关规定明确各方消防安全责任的，扣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1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分。</w:t>
            </w:r>
          </w:p>
        </w:tc>
        <w:tc>
          <w:tcPr>
            <w:tcW w:w="1916" w:type="dxa"/>
            <w:vMerge w:val="restart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lef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查阅租赁或委托管理合同</w:t>
            </w:r>
          </w:p>
        </w:tc>
        <w:tc>
          <w:tcPr>
            <w:tcW w:w="866" w:type="dxa"/>
            <w:gridSpan w:val="3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4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4"/>
              </w:rPr>
            </w:pPr>
          </w:p>
        </w:tc>
      </w:tr>
      <w:tr w:rsidR="00486DFF" w:rsidTr="001E3259">
        <w:trPr>
          <w:gridBefore w:val="1"/>
          <w:wBefore w:w="23" w:type="dxa"/>
          <w:trHeight w:val="454"/>
          <w:jc w:val="center"/>
        </w:trPr>
        <w:tc>
          <w:tcPr>
            <w:tcW w:w="1142" w:type="dxa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所属建筑有两个以上使用单位的，未书面明确各方的消防安全责任，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0.5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分；未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确定统一管理单位对共用的疏散通道、安全出口、建筑消防设施和消防车通道进行统一管理的，扣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0.5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分。</w:t>
            </w:r>
          </w:p>
        </w:tc>
        <w:tc>
          <w:tcPr>
            <w:tcW w:w="1916" w:type="dxa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left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6" w:type="dxa"/>
            <w:gridSpan w:val="3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4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4"/>
              </w:rPr>
            </w:pPr>
          </w:p>
        </w:tc>
      </w:tr>
      <w:tr w:rsidR="00486DFF" w:rsidTr="001E3259">
        <w:trPr>
          <w:gridBefore w:val="1"/>
          <w:wBefore w:w="23" w:type="dxa"/>
          <w:trHeight w:val="454"/>
          <w:jc w:val="center"/>
        </w:trPr>
        <w:tc>
          <w:tcPr>
            <w:tcW w:w="1142" w:type="dxa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未制定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消防安全制度和操作规程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  <w:vertAlign w:val="superscript"/>
              </w:rPr>
              <w:t>[2]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的，每一项扣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0.2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分；制度、规程不符合养老机构实际的，每一项扣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0.1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分。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最多扣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2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分。</w:t>
            </w:r>
          </w:p>
        </w:tc>
        <w:tc>
          <w:tcPr>
            <w:tcW w:w="1916" w:type="dxa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left"/>
              <w:rPr>
                <w:rFonts w:eastAsia="方正仿宋_GBK"/>
                <w:color w:val="000000" w:themeColor="text1"/>
                <w:w w:val="90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w w:val="90"/>
                <w:sz w:val="18"/>
                <w:szCs w:val="18"/>
              </w:rPr>
              <w:t>查阅消防安全管理资料</w:t>
            </w:r>
          </w:p>
        </w:tc>
        <w:tc>
          <w:tcPr>
            <w:tcW w:w="866" w:type="dxa"/>
            <w:gridSpan w:val="3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4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4"/>
              </w:rPr>
            </w:pPr>
          </w:p>
        </w:tc>
      </w:tr>
      <w:tr w:rsidR="00486DFF" w:rsidTr="001E3259">
        <w:trPr>
          <w:gridBefore w:val="1"/>
          <w:wBefore w:w="23" w:type="dxa"/>
          <w:trHeight w:val="454"/>
          <w:jc w:val="center"/>
        </w:trPr>
        <w:tc>
          <w:tcPr>
            <w:tcW w:w="1142" w:type="dxa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未保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障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防火检查巡查、消防设施器材维护保养检测、火灾隐患整改、微型消防站建设等所需资金的，扣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1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分。</w:t>
            </w:r>
          </w:p>
        </w:tc>
        <w:tc>
          <w:tcPr>
            <w:tcW w:w="1916" w:type="dxa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lef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查阅经费安排资料</w:t>
            </w:r>
          </w:p>
        </w:tc>
        <w:tc>
          <w:tcPr>
            <w:tcW w:w="866" w:type="dxa"/>
            <w:gridSpan w:val="3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4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4"/>
              </w:rPr>
            </w:pPr>
          </w:p>
        </w:tc>
      </w:tr>
      <w:tr w:rsidR="00486DFF" w:rsidTr="001E3259">
        <w:trPr>
          <w:gridBefore w:val="1"/>
          <w:wBefore w:w="23" w:type="dxa"/>
          <w:trHeight w:val="454"/>
          <w:jc w:val="center"/>
        </w:trPr>
        <w:tc>
          <w:tcPr>
            <w:tcW w:w="1142" w:type="dxa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rPr>
                <w:color w:val="000000" w:themeColor="text1"/>
                <w:szCs w:val="24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投保火灾公众责任保险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或类似保险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的，加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1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分。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▲</w:t>
            </w:r>
          </w:p>
        </w:tc>
        <w:tc>
          <w:tcPr>
            <w:tcW w:w="1916" w:type="dxa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查阅相关资料</w:t>
            </w:r>
          </w:p>
        </w:tc>
        <w:tc>
          <w:tcPr>
            <w:tcW w:w="866" w:type="dxa"/>
            <w:gridSpan w:val="3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-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4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4"/>
              </w:rPr>
            </w:pPr>
          </w:p>
        </w:tc>
      </w:tr>
      <w:tr w:rsidR="00486DFF" w:rsidTr="001E3259">
        <w:trPr>
          <w:gridBefore w:val="1"/>
          <w:wBefore w:w="23" w:type="dxa"/>
          <w:trHeight w:val="454"/>
          <w:jc w:val="center"/>
        </w:trPr>
        <w:tc>
          <w:tcPr>
            <w:tcW w:w="1142" w:type="dxa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rPr>
                <w:rFonts w:eastAsia="方正黑体_GBK"/>
                <w:color w:val="000000" w:themeColor="text1"/>
                <w:szCs w:val="21"/>
              </w:rPr>
            </w:pPr>
            <w:r>
              <w:rPr>
                <w:rFonts w:eastAsia="方正黑体_GBK" w:hint="eastAsia"/>
                <w:color w:val="000000" w:themeColor="text1"/>
                <w:szCs w:val="21"/>
              </w:rPr>
              <w:lastRenderedPageBreak/>
              <w:t>类别</w:t>
            </w: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rPr>
                <w:rFonts w:eastAsia="方正黑体_GBK"/>
                <w:color w:val="000000" w:themeColor="text1"/>
                <w:szCs w:val="21"/>
              </w:rPr>
            </w:pPr>
            <w:r>
              <w:rPr>
                <w:rFonts w:eastAsia="方正黑体_GBK" w:hint="eastAsia"/>
                <w:color w:val="000000" w:themeColor="text1"/>
                <w:szCs w:val="21"/>
              </w:rPr>
              <w:t>评定标准</w:t>
            </w:r>
          </w:p>
        </w:tc>
        <w:tc>
          <w:tcPr>
            <w:tcW w:w="1916" w:type="dxa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rPr>
                <w:rFonts w:eastAsia="方正黑体_GBK"/>
                <w:color w:val="000000" w:themeColor="text1"/>
                <w:szCs w:val="21"/>
              </w:rPr>
            </w:pPr>
            <w:r>
              <w:rPr>
                <w:rFonts w:eastAsia="方正黑体_GBK" w:hint="eastAsia"/>
                <w:color w:val="000000" w:themeColor="text1"/>
                <w:szCs w:val="21"/>
              </w:rPr>
              <w:t>检查方法</w:t>
            </w:r>
          </w:p>
        </w:tc>
        <w:tc>
          <w:tcPr>
            <w:tcW w:w="866" w:type="dxa"/>
            <w:gridSpan w:val="3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rPr>
                <w:rFonts w:eastAsia="方正黑体_GBK"/>
                <w:color w:val="000000" w:themeColor="text1"/>
                <w:szCs w:val="21"/>
              </w:rPr>
            </w:pPr>
            <w:r>
              <w:rPr>
                <w:rFonts w:eastAsia="方正黑体_GBK" w:hint="eastAsia"/>
                <w:color w:val="000000" w:themeColor="text1"/>
                <w:szCs w:val="21"/>
              </w:rPr>
              <w:t>重要</w:t>
            </w:r>
          </w:p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rPr>
                <w:rFonts w:eastAsia="方正黑体_GBK"/>
                <w:color w:val="000000" w:themeColor="text1"/>
                <w:szCs w:val="21"/>
              </w:rPr>
            </w:pPr>
            <w:r>
              <w:rPr>
                <w:rFonts w:eastAsia="方正黑体_GBK" w:hint="eastAsia"/>
                <w:color w:val="000000" w:themeColor="text1"/>
                <w:szCs w:val="21"/>
              </w:rPr>
              <w:t>等级</w:t>
            </w:r>
          </w:p>
        </w:tc>
        <w:tc>
          <w:tcPr>
            <w:tcW w:w="1131" w:type="dxa"/>
            <w:gridSpan w:val="2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rPr>
                <w:rFonts w:eastAsia="方正黑体_GBK"/>
                <w:color w:val="000000" w:themeColor="text1"/>
                <w:szCs w:val="21"/>
              </w:rPr>
            </w:pPr>
            <w:r>
              <w:rPr>
                <w:rFonts w:eastAsia="方正黑体_GBK" w:hint="eastAsia"/>
                <w:color w:val="000000" w:themeColor="text1"/>
                <w:szCs w:val="21"/>
              </w:rPr>
              <w:t>扣（加）分情况</w:t>
            </w:r>
          </w:p>
        </w:tc>
        <w:tc>
          <w:tcPr>
            <w:tcW w:w="1062" w:type="dxa"/>
            <w:gridSpan w:val="2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rPr>
                <w:rFonts w:eastAsia="方正黑体_GBK"/>
                <w:color w:val="000000" w:themeColor="text1"/>
                <w:szCs w:val="21"/>
              </w:rPr>
            </w:pPr>
            <w:r>
              <w:rPr>
                <w:rFonts w:eastAsia="方正黑体_GBK" w:hint="eastAsia"/>
                <w:color w:val="000000" w:themeColor="text1"/>
                <w:szCs w:val="21"/>
              </w:rPr>
              <w:t>得分</w:t>
            </w:r>
          </w:p>
        </w:tc>
      </w:tr>
      <w:tr w:rsidR="00486DFF" w:rsidTr="001E3259">
        <w:trPr>
          <w:gridBefore w:val="1"/>
          <w:wBefore w:w="23" w:type="dxa"/>
          <w:trHeight w:val="340"/>
          <w:jc w:val="center"/>
        </w:trPr>
        <w:tc>
          <w:tcPr>
            <w:tcW w:w="1142" w:type="dxa"/>
            <w:vMerge w:val="restart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建筑消防</w:t>
            </w:r>
          </w:p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设施管理</w:t>
            </w:r>
          </w:p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（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12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分）</w:t>
            </w: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未按照国家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规定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配置消防设施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、器材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  <w:vertAlign w:val="superscript"/>
              </w:rPr>
              <w:t>[3]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的，扣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3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分。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对已经投入使用的养老机构，按照原消防技术标准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不需要设置消防设施的，未安装独立式感烟火灾探测报警器和简易喷淋装置的，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每有一例扣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1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，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最多扣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3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分。</w:t>
            </w:r>
          </w:p>
        </w:tc>
        <w:tc>
          <w:tcPr>
            <w:tcW w:w="1916" w:type="dxa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现场检查</w:t>
            </w:r>
          </w:p>
        </w:tc>
        <w:tc>
          <w:tcPr>
            <w:tcW w:w="866" w:type="dxa"/>
            <w:gridSpan w:val="3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color w:val="000000" w:themeColor="text1"/>
                <w:szCs w:val="21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color w:val="000000" w:themeColor="text1"/>
                <w:szCs w:val="21"/>
              </w:rPr>
            </w:pPr>
          </w:p>
        </w:tc>
      </w:tr>
      <w:tr w:rsidR="00486DFF" w:rsidTr="001E3259">
        <w:trPr>
          <w:gridBefore w:val="1"/>
          <w:wBefore w:w="23" w:type="dxa"/>
          <w:trHeight w:val="340"/>
          <w:jc w:val="center"/>
        </w:trPr>
        <w:tc>
          <w:tcPr>
            <w:tcW w:w="1142" w:type="dxa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未定期对消防设施、器材、标识进行维护、保养的，或自身不具备维护保养能力的单位，未委托具备从业条件的消防技术服务机构进行维护保养的，扣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2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分。</w:t>
            </w:r>
          </w:p>
        </w:tc>
        <w:tc>
          <w:tcPr>
            <w:tcW w:w="1916" w:type="dxa"/>
            <w:vMerge w:val="restart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lef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查阅维保合同及其他消防安全管理资料</w:t>
            </w:r>
          </w:p>
        </w:tc>
        <w:tc>
          <w:tcPr>
            <w:tcW w:w="866" w:type="dxa"/>
            <w:gridSpan w:val="3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color w:val="000000" w:themeColor="text1"/>
                <w:szCs w:val="21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color w:val="000000" w:themeColor="text1"/>
                <w:szCs w:val="21"/>
              </w:rPr>
            </w:pPr>
          </w:p>
        </w:tc>
      </w:tr>
      <w:tr w:rsidR="00486DFF" w:rsidTr="001E3259">
        <w:trPr>
          <w:gridBefore w:val="1"/>
          <w:wBefore w:w="23" w:type="dxa"/>
          <w:trHeight w:val="340"/>
          <w:jc w:val="center"/>
        </w:trPr>
        <w:tc>
          <w:tcPr>
            <w:tcW w:w="1142" w:type="dxa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未每月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对消防设施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开展一次维护保养的，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每有一例扣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0.2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分；未每年进行一次全面检查测试的，扣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1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；存在故障、缺损未立即维修、更换的，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每有一例扣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0.2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，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最多扣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2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分。</w:t>
            </w:r>
          </w:p>
        </w:tc>
        <w:tc>
          <w:tcPr>
            <w:tcW w:w="1916" w:type="dxa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6" w:type="dxa"/>
            <w:gridSpan w:val="3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color w:val="000000" w:themeColor="text1"/>
                <w:szCs w:val="21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color w:val="000000" w:themeColor="text1"/>
                <w:szCs w:val="21"/>
              </w:rPr>
            </w:pPr>
          </w:p>
        </w:tc>
      </w:tr>
      <w:tr w:rsidR="00486DFF" w:rsidTr="001E3259">
        <w:trPr>
          <w:gridBefore w:val="1"/>
          <w:wBefore w:w="23" w:type="dxa"/>
          <w:trHeight w:val="340"/>
          <w:jc w:val="center"/>
        </w:trPr>
        <w:tc>
          <w:tcPr>
            <w:tcW w:w="1142" w:type="dxa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擅自停用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、拆除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消防设施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或消防设施瘫痪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的，扣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2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分。</w:t>
            </w:r>
          </w:p>
        </w:tc>
        <w:tc>
          <w:tcPr>
            <w:tcW w:w="1916" w:type="dxa"/>
            <w:vMerge w:val="restart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现场检查</w:t>
            </w:r>
          </w:p>
        </w:tc>
        <w:tc>
          <w:tcPr>
            <w:tcW w:w="866" w:type="dxa"/>
            <w:gridSpan w:val="3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color w:val="000000" w:themeColor="text1"/>
                <w:szCs w:val="21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color w:val="000000" w:themeColor="text1"/>
                <w:szCs w:val="21"/>
              </w:rPr>
            </w:pPr>
          </w:p>
        </w:tc>
      </w:tr>
      <w:tr w:rsidR="00486DFF" w:rsidTr="001E3259">
        <w:trPr>
          <w:gridBefore w:val="1"/>
          <w:wBefore w:w="23" w:type="dxa"/>
          <w:trHeight w:val="340"/>
          <w:jc w:val="center"/>
        </w:trPr>
        <w:tc>
          <w:tcPr>
            <w:tcW w:w="1142" w:type="dxa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消防设施的电源开关、管道控制阀门未处于正常运行位置，或需要保持常开或者常闭状态的阀门，未采取铅封、锁具固定等限位措施的，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每一项扣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0.2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分，最多扣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1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。</w:t>
            </w:r>
          </w:p>
        </w:tc>
        <w:tc>
          <w:tcPr>
            <w:tcW w:w="1916" w:type="dxa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6" w:type="dxa"/>
            <w:gridSpan w:val="3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color w:val="000000" w:themeColor="text1"/>
                <w:szCs w:val="21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color w:val="000000" w:themeColor="text1"/>
                <w:szCs w:val="21"/>
              </w:rPr>
            </w:pPr>
          </w:p>
        </w:tc>
      </w:tr>
      <w:tr w:rsidR="00486DFF" w:rsidTr="001E3259">
        <w:trPr>
          <w:gridBefore w:val="1"/>
          <w:wBefore w:w="23" w:type="dxa"/>
          <w:trHeight w:val="340"/>
          <w:jc w:val="center"/>
        </w:trPr>
        <w:tc>
          <w:tcPr>
            <w:tcW w:w="1142" w:type="dxa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消防设施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未设置名称、使用方法和应当保持的工作状态，以及禁止占用、圈占的标识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  <w:vertAlign w:val="superscript"/>
              </w:rPr>
              <w:t>[4]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的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，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每有一例扣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0.1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分，最多扣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1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。</w:t>
            </w:r>
          </w:p>
        </w:tc>
        <w:tc>
          <w:tcPr>
            <w:tcW w:w="1916" w:type="dxa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6" w:type="dxa"/>
            <w:gridSpan w:val="3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color w:val="000000" w:themeColor="text1"/>
                <w:szCs w:val="21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color w:val="000000" w:themeColor="text1"/>
                <w:szCs w:val="21"/>
              </w:rPr>
            </w:pPr>
          </w:p>
        </w:tc>
      </w:tr>
      <w:tr w:rsidR="00486DFF" w:rsidTr="001E3259">
        <w:trPr>
          <w:gridBefore w:val="1"/>
          <w:wBefore w:w="23" w:type="dxa"/>
          <w:trHeight w:val="340"/>
          <w:jc w:val="center"/>
        </w:trPr>
        <w:tc>
          <w:tcPr>
            <w:tcW w:w="1142" w:type="dxa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灭火器被挪用，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室内消火栓箱内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器材不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全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或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被圈占、遮挡、堆放杂物，防火门、防火卷帘下方及两侧堆放物品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影响使用，排烟窗、排烟口或正压送风口被遮挡或封闭的，每一项扣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0.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1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分，最多扣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1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。</w:t>
            </w:r>
          </w:p>
        </w:tc>
        <w:tc>
          <w:tcPr>
            <w:tcW w:w="1916" w:type="dxa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6" w:type="dxa"/>
            <w:gridSpan w:val="3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color w:val="000000" w:themeColor="text1"/>
                <w:szCs w:val="21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color w:val="000000" w:themeColor="text1"/>
                <w:szCs w:val="21"/>
              </w:rPr>
            </w:pPr>
          </w:p>
        </w:tc>
      </w:tr>
      <w:tr w:rsidR="00486DFF" w:rsidTr="001E3259">
        <w:trPr>
          <w:gridBefore w:val="1"/>
          <w:wBefore w:w="23" w:type="dxa"/>
          <w:trHeight w:val="340"/>
          <w:jc w:val="center"/>
        </w:trPr>
        <w:tc>
          <w:tcPr>
            <w:tcW w:w="1142" w:type="dxa"/>
            <w:vMerge w:val="restart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安全疏散</w:t>
            </w:r>
          </w:p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管理</w:t>
            </w:r>
          </w:p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（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12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分）</w:t>
            </w:r>
          </w:p>
        </w:tc>
        <w:tc>
          <w:tcPr>
            <w:tcW w:w="8692" w:type="dxa"/>
            <w:gridSpan w:val="6"/>
            <w:vAlign w:val="center"/>
          </w:tcPr>
          <w:p w:rsidR="00486DFF" w:rsidRPr="00ED7D5E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left"/>
              <w:rPr>
                <w:rFonts w:eastAsia="方正仿宋_GBK"/>
                <w:color w:val="000000" w:themeColor="text1"/>
                <w:spacing w:val="-6"/>
                <w:sz w:val="18"/>
                <w:szCs w:val="18"/>
              </w:rPr>
            </w:pPr>
            <w:r w:rsidRPr="00ED7D5E">
              <w:rPr>
                <w:rFonts w:eastAsia="方正仿宋_GBK"/>
                <w:color w:val="000000" w:themeColor="text1"/>
                <w:spacing w:val="-6"/>
                <w:sz w:val="18"/>
                <w:szCs w:val="18"/>
              </w:rPr>
              <w:t>疏散门开启方向错误，或使用卷帘门、转门、吊门、侧拉门作为疏散门的，每有一例扣</w:t>
            </w:r>
            <w:r w:rsidRPr="00ED7D5E">
              <w:rPr>
                <w:rFonts w:eastAsia="方正仿宋_GBK"/>
                <w:color w:val="000000" w:themeColor="text1"/>
                <w:spacing w:val="-6"/>
                <w:sz w:val="18"/>
                <w:szCs w:val="18"/>
              </w:rPr>
              <w:t>0.5</w:t>
            </w:r>
            <w:r w:rsidRPr="00ED7D5E">
              <w:rPr>
                <w:rFonts w:eastAsia="方正仿宋_GBK"/>
                <w:color w:val="000000" w:themeColor="text1"/>
                <w:spacing w:val="-6"/>
                <w:sz w:val="18"/>
                <w:szCs w:val="18"/>
              </w:rPr>
              <w:t>分，</w:t>
            </w:r>
            <w:r w:rsidRPr="00ED7D5E">
              <w:rPr>
                <w:rFonts w:eastAsia="方正仿宋_GBK" w:hint="eastAsia"/>
                <w:color w:val="000000" w:themeColor="text1"/>
                <w:spacing w:val="-6"/>
                <w:sz w:val="18"/>
                <w:szCs w:val="18"/>
              </w:rPr>
              <w:t>最多扣</w:t>
            </w:r>
            <w:r w:rsidRPr="00ED7D5E">
              <w:rPr>
                <w:rFonts w:eastAsia="方正仿宋_GBK" w:hint="eastAsia"/>
                <w:color w:val="000000" w:themeColor="text1"/>
                <w:spacing w:val="-6"/>
                <w:sz w:val="18"/>
                <w:szCs w:val="18"/>
              </w:rPr>
              <w:t>1</w:t>
            </w:r>
            <w:r w:rsidRPr="00ED7D5E">
              <w:rPr>
                <w:rFonts w:eastAsia="方正仿宋_GBK" w:hint="eastAsia"/>
                <w:color w:val="000000" w:themeColor="text1"/>
                <w:spacing w:val="-6"/>
                <w:sz w:val="18"/>
                <w:szCs w:val="18"/>
              </w:rPr>
              <w:t>分。</w:t>
            </w:r>
          </w:p>
        </w:tc>
        <w:tc>
          <w:tcPr>
            <w:tcW w:w="1916" w:type="dxa"/>
            <w:vMerge w:val="restart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现场检查</w:t>
            </w:r>
          </w:p>
        </w:tc>
        <w:tc>
          <w:tcPr>
            <w:tcW w:w="866" w:type="dxa"/>
            <w:gridSpan w:val="3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color w:val="000000" w:themeColor="text1"/>
                <w:szCs w:val="21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color w:val="000000" w:themeColor="text1"/>
                <w:szCs w:val="21"/>
              </w:rPr>
            </w:pPr>
          </w:p>
        </w:tc>
      </w:tr>
      <w:tr w:rsidR="00486DFF" w:rsidTr="001E3259">
        <w:trPr>
          <w:gridBefore w:val="1"/>
          <w:wBefore w:w="23" w:type="dxa"/>
          <w:trHeight w:val="340"/>
          <w:jc w:val="center"/>
        </w:trPr>
        <w:tc>
          <w:tcPr>
            <w:tcW w:w="1142" w:type="dxa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Pr="00ED7D5E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left"/>
              <w:rPr>
                <w:rFonts w:eastAsia="方正仿宋_GBK"/>
                <w:color w:val="000000" w:themeColor="text1"/>
                <w:spacing w:val="-6"/>
                <w:sz w:val="18"/>
                <w:szCs w:val="18"/>
              </w:rPr>
            </w:pPr>
            <w:r w:rsidRPr="00ED7D5E">
              <w:rPr>
                <w:rFonts w:eastAsia="方正仿宋_GBK"/>
                <w:color w:val="000000" w:themeColor="text1"/>
                <w:spacing w:val="-6"/>
                <w:sz w:val="18"/>
                <w:szCs w:val="18"/>
              </w:rPr>
              <w:t>未在安全出口、疏散通道、疏散门设置禁止锁闭、堵塞、占用等标识</w:t>
            </w:r>
            <w:r w:rsidRPr="00ED7D5E">
              <w:rPr>
                <w:rFonts w:eastAsia="方正仿宋_GBK" w:hint="eastAsia"/>
                <w:color w:val="000000" w:themeColor="text1"/>
                <w:spacing w:val="-6"/>
                <w:sz w:val="18"/>
                <w:szCs w:val="18"/>
                <w:vertAlign w:val="superscript"/>
              </w:rPr>
              <w:t>[4]</w:t>
            </w:r>
            <w:r w:rsidRPr="00ED7D5E">
              <w:rPr>
                <w:rFonts w:eastAsia="方正仿宋_GBK"/>
                <w:color w:val="000000" w:themeColor="text1"/>
                <w:spacing w:val="-6"/>
                <w:sz w:val="18"/>
                <w:szCs w:val="18"/>
              </w:rPr>
              <w:t>的，</w:t>
            </w:r>
            <w:r w:rsidRPr="00ED7D5E">
              <w:rPr>
                <w:rFonts w:eastAsia="方正仿宋_GBK" w:hint="eastAsia"/>
                <w:color w:val="000000" w:themeColor="text1"/>
                <w:spacing w:val="-6"/>
                <w:sz w:val="18"/>
                <w:szCs w:val="18"/>
              </w:rPr>
              <w:t>每有一例扣</w:t>
            </w:r>
            <w:r w:rsidRPr="00ED7D5E">
              <w:rPr>
                <w:rFonts w:eastAsia="方正仿宋_GBK" w:hint="eastAsia"/>
                <w:color w:val="000000" w:themeColor="text1"/>
                <w:spacing w:val="-6"/>
                <w:sz w:val="18"/>
                <w:szCs w:val="18"/>
              </w:rPr>
              <w:t>0.</w:t>
            </w:r>
            <w:r w:rsidRPr="00ED7D5E">
              <w:rPr>
                <w:rFonts w:eastAsia="方正仿宋_GBK"/>
                <w:color w:val="000000" w:themeColor="text1"/>
                <w:spacing w:val="-6"/>
                <w:sz w:val="18"/>
                <w:szCs w:val="18"/>
              </w:rPr>
              <w:t>1</w:t>
            </w:r>
            <w:r w:rsidRPr="00ED7D5E">
              <w:rPr>
                <w:rFonts w:eastAsia="方正仿宋_GBK" w:hint="eastAsia"/>
                <w:color w:val="000000" w:themeColor="text1"/>
                <w:spacing w:val="-6"/>
                <w:sz w:val="18"/>
                <w:szCs w:val="18"/>
              </w:rPr>
              <w:t>分</w:t>
            </w:r>
            <w:r w:rsidRPr="00ED7D5E">
              <w:rPr>
                <w:rFonts w:eastAsia="方正仿宋_GBK"/>
                <w:color w:val="000000" w:themeColor="text1"/>
                <w:spacing w:val="-6"/>
                <w:sz w:val="18"/>
                <w:szCs w:val="18"/>
              </w:rPr>
              <w:t>，</w:t>
            </w:r>
            <w:r w:rsidRPr="00ED7D5E">
              <w:rPr>
                <w:rFonts w:eastAsia="方正仿宋_GBK" w:hint="eastAsia"/>
                <w:color w:val="000000" w:themeColor="text1"/>
                <w:spacing w:val="-6"/>
                <w:sz w:val="18"/>
                <w:szCs w:val="18"/>
              </w:rPr>
              <w:t>最多扣</w:t>
            </w:r>
            <w:r w:rsidRPr="00ED7D5E">
              <w:rPr>
                <w:rFonts w:eastAsia="方正仿宋_GBK" w:hint="eastAsia"/>
                <w:color w:val="000000" w:themeColor="text1"/>
                <w:spacing w:val="-6"/>
                <w:sz w:val="18"/>
                <w:szCs w:val="18"/>
              </w:rPr>
              <w:t>1</w:t>
            </w:r>
            <w:r w:rsidRPr="00ED7D5E">
              <w:rPr>
                <w:rFonts w:eastAsia="方正仿宋_GBK" w:hint="eastAsia"/>
                <w:color w:val="000000" w:themeColor="text1"/>
                <w:spacing w:val="-6"/>
                <w:sz w:val="18"/>
                <w:szCs w:val="18"/>
              </w:rPr>
              <w:t>分。</w:t>
            </w:r>
          </w:p>
        </w:tc>
        <w:tc>
          <w:tcPr>
            <w:tcW w:w="1916" w:type="dxa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6" w:type="dxa"/>
            <w:gridSpan w:val="3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color w:val="000000" w:themeColor="text1"/>
                <w:szCs w:val="21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color w:val="000000" w:themeColor="text1"/>
                <w:szCs w:val="21"/>
              </w:rPr>
            </w:pPr>
          </w:p>
        </w:tc>
      </w:tr>
      <w:tr w:rsidR="00486DFF" w:rsidTr="001E3259">
        <w:trPr>
          <w:gridBefore w:val="1"/>
          <w:wBefore w:w="23" w:type="dxa"/>
          <w:trHeight w:val="340"/>
          <w:jc w:val="center"/>
        </w:trPr>
        <w:tc>
          <w:tcPr>
            <w:tcW w:w="1142" w:type="dxa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lef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疏散通道、安全出口、楼梯间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被占用、堵塞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的，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每一项扣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0.5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分；存在严重堵塞或封闭情形，无法供人员有效疏散的，扣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3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分。</w:t>
            </w:r>
          </w:p>
        </w:tc>
        <w:tc>
          <w:tcPr>
            <w:tcW w:w="1916" w:type="dxa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6" w:type="dxa"/>
            <w:gridSpan w:val="3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color w:val="000000" w:themeColor="text1"/>
                <w:szCs w:val="21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color w:val="000000" w:themeColor="text1"/>
                <w:szCs w:val="21"/>
              </w:rPr>
            </w:pPr>
          </w:p>
        </w:tc>
      </w:tr>
      <w:tr w:rsidR="00486DFF" w:rsidTr="001E3259">
        <w:trPr>
          <w:gridBefore w:val="1"/>
          <w:wBefore w:w="23" w:type="dxa"/>
          <w:trHeight w:val="340"/>
          <w:jc w:val="center"/>
        </w:trPr>
        <w:tc>
          <w:tcPr>
            <w:tcW w:w="1142" w:type="dxa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lef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常闭式防火门未保持常闭，闭门器、顺序器未保持完好有效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，或常开式防火门在火灾时无法自行关闭、信号无法反馈至消防控制室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的，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每有一例扣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0.2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分，最多扣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1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分。</w:t>
            </w:r>
          </w:p>
        </w:tc>
        <w:tc>
          <w:tcPr>
            <w:tcW w:w="1916" w:type="dxa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6" w:type="dxa"/>
            <w:gridSpan w:val="3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color w:val="000000" w:themeColor="text1"/>
                <w:szCs w:val="21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color w:val="000000" w:themeColor="text1"/>
                <w:szCs w:val="21"/>
              </w:rPr>
            </w:pPr>
          </w:p>
        </w:tc>
      </w:tr>
      <w:tr w:rsidR="00486DFF" w:rsidTr="001E3259">
        <w:trPr>
          <w:gridBefore w:val="1"/>
          <w:wBefore w:w="23" w:type="dxa"/>
          <w:trHeight w:val="340"/>
          <w:jc w:val="center"/>
        </w:trPr>
        <w:tc>
          <w:tcPr>
            <w:tcW w:w="1142" w:type="dxa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lef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应急照明灯、疏散指示标志、应急广播未保持完好有效或被遮挡，或采用蓄光型疏散指示标志的，每有一例扣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0.2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分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，最多扣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1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分。</w:t>
            </w:r>
          </w:p>
        </w:tc>
        <w:tc>
          <w:tcPr>
            <w:tcW w:w="1916" w:type="dxa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6" w:type="dxa"/>
            <w:gridSpan w:val="3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color w:val="000000" w:themeColor="text1"/>
                <w:szCs w:val="21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color w:val="000000" w:themeColor="text1"/>
                <w:szCs w:val="21"/>
              </w:rPr>
            </w:pPr>
          </w:p>
        </w:tc>
      </w:tr>
      <w:tr w:rsidR="00486DFF" w:rsidTr="001E3259">
        <w:trPr>
          <w:gridBefore w:val="1"/>
          <w:wBefore w:w="23" w:type="dxa"/>
          <w:trHeight w:val="340"/>
          <w:jc w:val="center"/>
        </w:trPr>
        <w:tc>
          <w:tcPr>
            <w:tcW w:w="1142" w:type="dxa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lef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未在各楼层明显位置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设置安全疏散指示图，标明疏散路线、安全出口和疏散门、人员所在位置和必要的文字说明的，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每有一例扣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0.2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分，最多扣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1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分。</w:t>
            </w:r>
          </w:p>
        </w:tc>
        <w:tc>
          <w:tcPr>
            <w:tcW w:w="1916" w:type="dxa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6" w:type="dxa"/>
            <w:gridSpan w:val="3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color w:val="000000" w:themeColor="text1"/>
                <w:szCs w:val="21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color w:val="000000" w:themeColor="text1"/>
                <w:szCs w:val="21"/>
              </w:rPr>
            </w:pPr>
          </w:p>
        </w:tc>
      </w:tr>
      <w:tr w:rsidR="00486DFF" w:rsidTr="001E3259">
        <w:trPr>
          <w:gridBefore w:val="1"/>
          <w:wBefore w:w="23" w:type="dxa"/>
          <w:trHeight w:val="340"/>
          <w:jc w:val="center"/>
        </w:trPr>
        <w:tc>
          <w:tcPr>
            <w:tcW w:w="1142" w:type="dxa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lef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在外墙窗口、阳台等部位设置影响疏散逃生和灭火救援的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障碍物（确需设置的，应能从内部易于开启）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，每有一例扣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0.5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分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，最多扣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1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分。</w:t>
            </w:r>
          </w:p>
        </w:tc>
        <w:tc>
          <w:tcPr>
            <w:tcW w:w="1916" w:type="dxa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6" w:type="dxa"/>
            <w:gridSpan w:val="3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color w:val="000000" w:themeColor="text1"/>
                <w:szCs w:val="21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color w:val="000000" w:themeColor="text1"/>
                <w:szCs w:val="21"/>
              </w:rPr>
            </w:pPr>
          </w:p>
        </w:tc>
      </w:tr>
      <w:tr w:rsidR="00486DFF" w:rsidTr="001E3259">
        <w:trPr>
          <w:gridBefore w:val="1"/>
          <w:wBefore w:w="23" w:type="dxa"/>
          <w:trHeight w:val="340"/>
          <w:jc w:val="center"/>
        </w:trPr>
        <w:tc>
          <w:tcPr>
            <w:tcW w:w="1142" w:type="dxa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未配备必要的轮椅、担架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等疏散工具，或层数大于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2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层的养老机构未按核定使用人数配备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自救呼吸器的，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每一项扣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0.5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。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按核定使用人数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配备化学氧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过滤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呼吸器的，加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1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分。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▲</w:t>
            </w:r>
          </w:p>
        </w:tc>
        <w:tc>
          <w:tcPr>
            <w:tcW w:w="1916" w:type="dxa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6" w:type="dxa"/>
            <w:gridSpan w:val="3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color w:val="000000" w:themeColor="text1"/>
                <w:szCs w:val="21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color w:val="000000" w:themeColor="text1"/>
                <w:szCs w:val="21"/>
              </w:rPr>
            </w:pPr>
          </w:p>
        </w:tc>
      </w:tr>
      <w:tr w:rsidR="00486DFF" w:rsidTr="001E3259">
        <w:trPr>
          <w:gridBefore w:val="1"/>
          <w:wBefore w:w="23" w:type="dxa"/>
          <w:trHeight w:val="340"/>
          <w:jc w:val="center"/>
        </w:trPr>
        <w:tc>
          <w:tcPr>
            <w:tcW w:w="1142" w:type="dxa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设置门禁系统的疏散门，无法保证火灾时能从内部易于打开，或未在显著位置设置醒目提示和使用标识的，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每有一例扣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0.2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分，最多扣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1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分。</w:t>
            </w:r>
          </w:p>
        </w:tc>
        <w:tc>
          <w:tcPr>
            <w:tcW w:w="1916" w:type="dxa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现场检查，模拟测试</w:t>
            </w:r>
          </w:p>
        </w:tc>
        <w:tc>
          <w:tcPr>
            <w:tcW w:w="866" w:type="dxa"/>
            <w:gridSpan w:val="3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color w:val="000000" w:themeColor="text1"/>
                <w:szCs w:val="24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color w:val="000000" w:themeColor="text1"/>
                <w:szCs w:val="24"/>
              </w:rPr>
            </w:pPr>
          </w:p>
        </w:tc>
      </w:tr>
      <w:tr w:rsidR="00486DFF" w:rsidTr="001E3259">
        <w:trPr>
          <w:gridBefore w:val="1"/>
          <w:wBefore w:w="23" w:type="dxa"/>
          <w:trHeight w:val="340"/>
          <w:jc w:val="center"/>
        </w:trPr>
        <w:tc>
          <w:tcPr>
            <w:tcW w:w="1142" w:type="dxa"/>
            <w:vMerge w:val="restart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护理人员、保安等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不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熟悉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负责区域建筑布局、人员分布、疏散通道和安全出口等情况，不熟练掌握组织引导人员疏散技能的，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每有一人扣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0.2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分，最多扣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1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分。</w:t>
            </w:r>
          </w:p>
        </w:tc>
        <w:tc>
          <w:tcPr>
            <w:tcW w:w="1916" w:type="dxa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rFonts w:eastAsia="方正仿宋_GBK"/>
                <w:color w:val="000000" w:themeColor="text1"/>
                <w:w w:val="90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w w:val="90"/>
                <w:sz w:val="18"/>
                <w:szCs w:val="18"/>
              </w:rPr>
              <w:t>随机抽查询问工作人员</w:t>
            </w:r>
          </w:p>
        </w:tc>
        <w:tc>
          <w:tcPr>
            <w:tcW w:w="866" w:type="dxa"/>
            <w:gridSpan w:val="3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color w:val="000000" w:themeColor="text1"/>
                <w:szCs w:val="21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color w:val="000000" w:themeColor="text1"/>
                <w:szCs w:val="21"/>
              </w:rPr>
            </w:pPr>
          </w:p>
        </w:tc>
      </w:tr>
      <w:tr w:rsidR="00486DFF" w:rsidTr="001E3259">
        <w:trPr>
          <w:gridBefore w:val="1"/>
          <w:wBefore w:w="23" w:type="dxa"/>
          <w:trHeight w:val="340"/>
          <w:jc w:val="center"/>
        </w:trPr>
        <w:tc>
          <w:tcPr>
            <w:tcW w:w="1142" w:type="dxa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按照规范要求建设避难间（室外避难场地）的，加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2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分。▲</w:t>
            </w:r>
          </w:p>
        </w:tc>
        <w:tc>
          <w:tcPr>
            <w:tcW w:w="1916" w:type="dxa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现场检查</w:t>
            </w:r>
          </w:p>
        </w:tc>
        <w:tc>
          <w:tcPr>
            <w:tcW w:w="866" w:type="dxa"/>
            <w:gridSpan w:val="3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-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color w:val="000000" w:themeColor="text1"/>
                <w:szCs w:val="24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40" w:lineRule="exact"/>
              <w:jc w:val="center"/>
              <w:rPr>
                <w:color w:val="000000" w:themeColor="text1"/>
                <w:szCs w:val="24"/>
              </w:rPr>
            </w:pPr>
          </w:p>
        </w:tc>
      </w:tr>
      <w:tr w:rsidR="00486DFF" w:rsidTr="001E3259">
        <w:trPr>
          <w:gridBefore w:val="1"/>
          <w:wBefore w:w="23" w:type="dxa"/>
          <w:trHeight w:val="454"/>
          <w:jc w:val="center"/>
        </w:trPr>
        <w:tc>
          <w:tcPr>
            <w:tcW w:w="1142" w:type="dxa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rPr>
                <w:rFonts w:eastAsia="方正黑体_GBK"/>
                <w:color w:val="000000" w:themeColor="text1"/>
                <w:szCs w:val="21"/>
              </w:rPr>
            </w:pPr>
            <w:r>
              <w:rPr>
                <w:rFonts w:eastAsia="方正黑体_GBK" w:hint="eastAsia"/>
                <w:color w:val="000000" w:themeColor="text1"/>
                <w:szCs w:val="21"/>
              </w:rPr>
              <w:lastRenderedPageBreak/>
              <w:t>类别</w:t>
            </w: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rPr>
                <w:rFonts w:eastAsia="方正黑体_GBK"/>
                <w:color w:val="000000" w:themeColor="text1"/>
                <w:szCs w:val="21"/>
              </w:rPr>
            </w:pPr>
            <w:r>
              <w:rPr>
                <w:rFonts w:eastAsia="方正黑体_GBK" w:hint="eastAsia"/>
                <w:color w:val="000000" w:themeColor="text1"/>
                <w:szCs w:val="21"/>
              </w:rPr>
              <w:t>评定标准</w:t>
            </w:r>
          </w:p>
        </w:tc>
        <w:tc>
          <w:tcPr>
            <w:tcW w:w="1916" w:type="dxa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rPr>
                <w:rFonts w:eastAsia="方正黑体_GBK"/>
                <w:color w:val="000000" w:themeColor="text1"/>
                <w:szCs w:val="21"/>
              </w:rPr>
            </w:pPr>
            <w:r>
              <w:rPr>
                <w:rFonts w:eastAsia="方正黑体_GBK" w:hint="eastAsia"/>
                <w:color w:val="000000" w:themeColor="text1"/>
                <w:szCs w:val="21"/>
              </w:rPr>
              <w:t>检查方法</w:t>
            </w:r>
          </w:p>
        </w:tc>
        <w:tc>
          <w:tcPr>
            <w:tcW w:w="866" w:type="dxa"/>
            <w:gridSpan w:val="3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rPr>
                <w:rFonts w:eastAsia="方正黑体_GBK"/>
                <w:color w:val="000000" w:themeColor="text1"/>
                <w:szCs w:val="21"/>
              </w:rPr>
            </w:pPr>
            <w:r>
              <w:rPr>
                <w:rFonts w:eastAsia="方正黑体_GBK" w:hint="eastAsia"/>
                <w:color w:val="000000" w:themeColor="text1"/>
                <w:szCs w:val="21"/>
              </w:rPr>
              <w:t>重要</w:t>
            </w:r>
          </w:p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rPr>
                <w:rFonts w:eastAsia="方正黑体_GBK"/>
                <w:color w:val="000000" w:themeColor="text1"/>
                <w:szCs w:val="21"/>
              </w:rPr>
            </w:pPr>
            <w:r>
              <w:rPr>
                <w:rFonts w:eastAsia="方正黑体_GBK" w:hint="eastAsia"/>
                <w:color w:val="000000" w:themeColor="text1"/>
                <w:szCs w:val="21"/>
              </w:rPr>
              <w:t>等级</w:t>
            </w:r>
          </w:p>
        </w:tc>
        <w:tc>
          <w:tcPr>
            <w:tcW w:w="1131" w:type="dxa"/>
            <w:gridSpan w:val="2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rPr>
                <w:rFonts w:eastAsia="方正黑体_GBK"/>
                <w:color w:val="000000" w:themeColor="text1"/>
                <w:szCs w:val="21"/>
              </w:rPr>
            </w:pPr>
            <w:r>
              <w:rPr>
                <w:rFonts w:eastAsia="方正黑体_GBK" w:hint="eastAsia"/>
                <w:color w:val="000000" w:themeColor="text1"/>
                <w:szCs w:val="21"/>
              </w:rPr>
              <w:t>扣（加）分情况</w:t>
            </w:r>
          </w:p>
        </w:tc>
        <w:tc>
          <w:tcPr>
            <w:tcW w:w="1062" w:type="dxa"/>
            <w:gridSpan w:val="2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rPr>
                <w:rFonts w:eastAsia="方正黑体_GBK"/>
                <w:color w:val="000000" w:themeColor="text1"/>
                <w:szCs w:val="21"/>
              </w:rPr>
            </w:pPr>
            <w:r>
              <w:rPr>
                <w:rFonts w:eastAsia="方正黑体_GBK" w:hint="eastAsia"/>
                <w:color w:val="000000" w:themeColor="text1"/>
                <w:szCs w:val="21"/>
              </w:rPr>
              <w:t>得分</w:t>
            </w:r>
          </w:p>
        </w:tc>
      </w:tr>
      <w:tr w:rsidR="00486DFF" w:rsidTr="001E3259">
        <w:trPr>
          <w:gridBefore w:val="1"/>
          <w:wBefore w:w="23" w:type="dxa"/>
          <w:trHeight w:val="454"/>
          <w:jc w:val="center"/>
        </w:trPr>
        <w:tc>
          <w:tcPr>
            <w:tcW w:w="1142" w:type="dxa"/>
            <w:vMerge w:val="restart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灭火、应急</w:t>
            </w:r>
          </w:p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救援设施</w:t>
            </w:r>
          </w:p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管理</w:t>
            </w:r>
          </w:p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（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5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分）</w:t>
            </w: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left"/>
              <w:rPr>
                <w:rFonts w:eastAsia="方正仿宋_GBK"/>
                <w:color w:val="000000" w:themeColor="text1"/>
                <w:sz w:val="18"/>
                <w:szCs w:val="18"/>
                <w:highlight w:val="yellow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消防车道净宽度和净空高度小于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4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米的，扣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1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分。</w:t>
            </w:r>
          </w:p>
        </w:tc>
        <w:tc>
          <w:tcPr>
            <w:tcW w:w="1916" w:type="dxa"/>
            <w:vMerge w:val="restart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现场检查</w:t>
            </w:r>
          </w:p>
        </w:tc>
        <w:tc>
          <w:tcPr>
            <w:tcW w:w="866" w:type="dxa"/>
            <w:gridSpan w:val="3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1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1"/>
              </w:rPr>
            </w:pPr>
          </w:p>
        </w:tc>
      </w:tr>
      <w:tr w:rsidR="00486DFF" w:rsidTr="001E3259">
        <w:trPr>
          <w:gridBefore w:val="1"/>
          <w:wBefore w:w="23" w:type="dxa"/>
          <w:trHeight w:val="454"/>
          <w:jc w:val="center"/>
        </w:trPr>
        <w:tc>
          <w:tcPr>
            <w:tcW w:w="1142" w:type="dxa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lef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消防车通道、消防车登高操作场地未施划标识、标线的，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每有一例扣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0.2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分，最多扣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1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分。</w:t>
            </w:r>
          </w:p>
        </w:tc>
        <w:tc>
          <w:tcPr>
            <w:tcW w:w="1916" w:type="dxa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6" w:type="dxa"/>
            <w:gridSpan w:val="3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1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1"/>
              </w:rPr>
            </w:pPr>
          </w:p>
        </w:tc>
      </w:tr>
      <w:tr w:rsidR="00486DFF" w:rsidTr="001E3259">
        <w:trPr>
          <w:gridBefore w:val="1"/>
          <w:wBefore w:w="23" w:type="dxa"/>
          <w:trHeight w:val="454"/>
          <w:jc w:val="center"/>
        </w:trPr>
        <w:tc>
          <w:tcPr>
            <w:tcW w:w="1142" w:type="dxa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left"/>
              <w:rPr>
                <w:rFonts w:eastAsia="方正仿宋_GBK"/>
                <w:color w:val="000000" w:themeColor="text1"/>
                <w:spacing w:val="-2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pacing w:val="-2"/>
                <w:sz w:val="18"/>
                <w:szCs w:val="18"/>
              </w:rPr>
              <w:t>消防车通道、消防车登高作业场地、防火间距等设置停车泊位、构筑物、固定隔离桩等障碍物的，消防车通道上方、登高操作面设置妨碍消防车作业的架空管线、广告牌、装饰物等障碍物的，每有一例扣</w:t>
            </w:r>
            <w:r>
              <w:rPr>
                <w:rFonts w:eastAsia="方正仿宋_GBK"/>
                <w:color w:val="000000" w:themeColor="text1"/>
                <w:spacing w:val="-2"/>
                <w:sz w:val="18"/>
                <w:szCs w:val="18"/>
              </w:rPr>
              <w:t>0.2</w:t>
            </w:r>
            <w:r>
              <w:rPr>
                <w:rFonts w:eastAsia="方正仿宋_GBK"/>
                <w:color w:val="000000" w:themeColor="text1"/>
                <w:spacing w:val="-2"/>
                <w:sz w:val="18"/>
                <w:szCs w:val="18"/>
              </w:rPr>
              <w:t>分</w:t>
            </w:r>
            <w:r>
              <w:rPr>
                <w:rFonts w:eastAsia="方正仿宋_GBK" w:hint="eastAsia"/>
                <w:color w:val="000000" w:themeColor="text1"/>
                <w:spacing w:val="-2"/>
                <w:sz w:val="18"/>
                <w:szCs w:val="18"/>
              </w:rPr>
              <w:t>，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最多扣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1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分。</w:t>
            </w:r>
          </w:p>
        </w:tc>
        <w:tc>
          <w:tcPr>
            <w:tcW w:w="1916" w:type="dxa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6" w:type="dxa"/>
            <w:gridSpan w:val="3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1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1"/>
              </w:rPr>
            </w:pPr>
          </w:p>
        </w:tc>
      </w:tr>
      <w:tr w:rsidR="00486DFF" w:rsidTr="001E3259">
        <w:trPr>
          <w:gridBefore w:val="1"/>
          <w:wBefore w:w="23" w:type="dxa"/>
          <w:trHeight w:val="454"/>
          <w:jc w:val="center"/>
        </w:trPr>
        <w:tc>
          <w:tcPr>
            <w:tcW w:w="1142" w:type="dxa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lef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建筑外墙上的灭火救援窗被遮挡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或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室内外相应位置未设置明显标识的，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每有一例扣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0.2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,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最多扣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1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分。</w:t>
            </w:r>
          </w:p>
        </w:tc>
        <w:tc>
          <w:tcPr>
            <w:tcW w:w="1916" w:type="dxa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6" w:type="dxa"/>
            <w:gridSpan w:val="3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1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1"/>
              </w:rPr>
            </w:pPr>
          </w:p>
        </w:tc>
      </w:tr>
      <w:tr w:rsidR="00486DFF" w:rsidTr="001E3259">
        <w:trPr>
          <w:gridBefore w:val="1"/>
          <w:wBefore w:w="23" w:type="dxa"/>
          <w:trHeight w:val="454"/>
          <w:jc w:val="center"/>
        </w:trPr>
        <w:tc>
          <w:tcPr>
            <w:tcW w:w="1142" w:type="dxa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lef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室外消火栓、消防水泵接合器被埋压、圈占、遮挡的，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每一处扣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0.2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分，最多扣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1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分。</w:t>
            </w:r>
          </w:p>
        </w:tc>
        <w:tc>
          <w:tcPr>
            <w:tcW w:w="1916" w:type="dxa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6" w:type="dxa"/>
            <w:gridSpan w:val="3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1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1"/>
              </w:rPr>
            </w:pPr>
          </w:p>
        </w:tc>
      </w:tr>
      <w:tr w:rsidR="00486DFF" w:rsidTr="001E3259">
        <w:trPr>
          <w:gridBefore w:val="1"/>
          <w:wBefore w:w="23" w:type="dxa"/>
          <w:trHeight w:val="454"/>
          <w:jc w:val="center"/>
        </w:trPr>
        <w:tc>
          <w:tcPr>
            <w:tcW w:w="1142" w:type="dxa"/>
            <w:vMerge w:val="restart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消防安全</w:t>
            </w:r>
          </w:p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重点部位</w:t>
            </w:r>
          </w:p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管理</w:t>
            </w:r>
          </w:p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  <w:highlight w:val="yellow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（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4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分）</w:t>
            </w: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未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按要求确定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消防安全重点部位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  <w:vertAlign w:val="superscript"/>
              </w:rPr>
              <w:t>[5]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，或消防安全重点部位未设置明显标识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  <w:vertAlign w:val="superscript"/>
              </w:rPr>
              <w:t>[4]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、落实特殊防范措施的，每一处扣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0.2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,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最多扣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1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分。</w:t>
            </w:r>
          </w:p>
        </w:tc>
        <w:tc>
          <w:tcPr>
            <w:tcW w:w="1916" w:type="dxa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lef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现场检查，查阅消防安全管理资料</w:t>
            </w:r>
          </w:p>
        </w:tc>
        <w:tc>
          <w:tcPr>
            <w:tcW w:w="866" w:type="dxa"/>
            <w:gridSpan w:val="3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4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4"/>
              </w:rPr>
            </w:pPr>
          </w:p>
        </w:tc>
      </w:tr>
      <w:tr w:rsidR="00486DFF" w:rsidTr="001E3259">
        <w:trPr>
          <w:gridBefore w:val="1"/>
          <w:wBefore w:w="23" w:type="dxa"/>
          <w:trHeight w:val="454"/>
          <w:jc w:val="center"/>
        </w:trPr>
        <w:tc>
          <w:tcPr>
            <w:tcW w:w="1142" w:type="dxa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药品库房、供（用）氧房等存放易燃易爆危险物品的场所，未划定禁火区域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、设置醒目安全警示标识，或未按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贮存性质分类存放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的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，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每有一例扣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0.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5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分，最多扣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1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分。</w:t>
            </w:r>
          </w:p>
        </w:tc>
        <w:tc>
          <w:tcPr>
            <w:tcW w:w="1916" w:type="dxa"/>
            <w:vMerge w:val="restart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现场检查</w:t>
            </w:r>
          </w:p>
        </w:tc>
        <w:tc>
          <w:tcPr>
            <w:tcW w:w="866" w:type="dxa"/>
            <w:gridSpan w:val="3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4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4"/>
              </w:rPr>
            </w:pPr>
          </w:p>
        </w:tc>
      </w:tr>
      <w:tr w:rsidR="00486DFF" w:rsidTr="001E3259">
        <w:trPr>
          <w:gridBefore w:val="1"/>
          <w:wBefore w:w="23" w:type="dxa"/>
          <w:trHeight w:val="454"/>
          <w:jc w:val="center"/>
        </w:trPr>
        <w:tc>
          <w:tcPr>
            <w:tcW w:w="1142" w:type="dxa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违规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存放汽油、烟花爆竹等易燃易爆危险品的，扣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1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分。</w:t>
            </w:r>
          </w:p>
        </w:tc>
        <w:tc>
          <w:tcPr>
            <w:tcW w:w="1916" w:type="dxa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6" w:type="dxa"/>
            <w:gridSpan w:val="3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4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4"/>
              </w:rPr>
            </w:pPr>
          </w:p>
        </w:tc>
      </w:tr>
      <w:tr w:rsidR="00486DFF" w:rsidTr="001E3259">
        <w:trPr>
          <w:gridBefore w:val="1"/>
          <w:wBefore w:w="23" w:type="dxa"/>
          <w:trHeight w:val="454"/>
          <w:jc w:val="center"/>
        </w:trPr>
        <w:tc>
          <w:tcPr>
            <w:tcW w:w="1142" w:type="dxa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设有中心供氧系统的养老机构，氧气干管上未设置手动紧急切断气源装置，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或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高压氧舱的排氧口未远离明火或火花散发地点的，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每有一例扣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0.2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分，最多扣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1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分。</w:t>
            </w:r>
          </w:p>
        </w:tc>
        <w:tc>
          <w:tcPr>
            <w:tcW w:w="1916" w:type="dxa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6" w:type="dxa"/>
            <w:gridSpan w:val="3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4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4"/>
              </w:rPr>
            </w:pPr>
          </w:p>
        </w:tc>
      </w:tr>
      <w:tr w:rsidR="00486DFF" w:rsidTr="001E3259">
        <w:trPr>
          <w:gridBefore w:val="1"/>
          <w:wBefore w:w="23" w:type="dxa"/>
          <w:trHeight w:val="454"/>
          <w:jc w:val="center"/>
        </w:trPr>
        <w:tc>
          <w:tcPr>
            <w:tcW w:w="1142" w:type="dxa"/>
            <w:vMerge w:val="restart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用火用电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用气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安全管理</w:t>
            </w:r>
          </w:p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（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12.5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分）</w:t>
            </w: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养老机构未配备专（兼）职电工，或未持有电工证的，扣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1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分；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电工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不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能正确区分消防配电和其他民用配电线路，熟练掌握消防电源正常工作的操作和切断非消防电源的技能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，扣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0.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2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分。</w:t>
            </w:r>
          </w:p>
        </w:tc>
        <w:tc>
          <w:tcPr>
            <w:tcW w:w="1916" w:type="dxa"/>
            <w:vMerge w:val="restart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lef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随机抽查询问工作人员，查阅消防安全管理资料</w:t>
            </w:r>
          </w:p>
        </w:tc>
        <w:tc>
          <w:tcPr>
            <w:tcW w:w="866" w:type="dxa"/>
            <w:gridSpan w:val="3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1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1"/>
              </w:rPr>
            </w:pPr>
          </w:p>
        </w:tc>
      </w:tr>
      <w:tr w:rsidR="00486DFF" w:rsidTr="001E3259">
        <w:trPr>
          <w:gridBefore w:val="1"/>
          <w:wBefore w:w="23" w:type="dxa"/>
          <w:trHeight w:val="454"/>
          <w:jc w:val="center"/>
        </w:trPr>
        <w:tc>
          <w:tcPr>
            <w:tcW w:w="1142" w:type="dxa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进行电、气焊等明火作业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未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按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规定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办理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动火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审批手续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、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落实现场监护人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、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清除动火区域的易燃可燃物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、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配置消防器材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的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，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0.5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。</w:t>
            </w:r>
          </w:p>
        </w:tc>
        <w:tc>
          <w:tcPr>
            <w:tcW w:w="1916" w:type="dxa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6" w:type="dxa"/>
            <w:gridSpan w:val="3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4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4"/>
              </w:rPr>
            </w:pPr>
          </w:p>
        </w:tc>
      </w:tr>
      <w:tr w:rsidR="00486DFF" w:rsidTr="001E3259">
        <w:trPr>
          <w:gridBefore w:val="1"/>
          <w:wBefore w:w="23" w:type="dxa"/>
          <w:trHeight w:val="454"/>
          <w:jc w:val="center"/>
        </w:trPr>
        <w:tc>
          <w:tcPr>
            <w:tcW w:w="1142" w:type="dxa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使用明火照明、取暖的，扣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0.5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分；在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起居室、活动室、疗养室、病房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等室内活动区域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吸烟、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烧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香的，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每有一例扣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0.2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分；艾灸、拔罐等中医疗法确需使用明火，未明确专人看护的，每有一例扣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0.2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分，最多扣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1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分。</w:t>
            </w:r>
          </w:p>
        </w:tc>
        <w:tc>
          <w:tcPr>
            <w:tcW w:w="1916" w:type="dxa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lef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现场检查，随机抽查询问人员</w:t>
            </w:r>
          </w:p>
        </w:tc>
        <w:tc>
          <w:tcPr>
            <w:tcW w:w="866" w:type="dxa"/>
            <w:gridSpan w:val="3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4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4"/>
              </w:rPr>
            </w:pPr>
          </w:p>
        </w:tc>
      </w:tr>
      <w:tr w:rsidR="00486DFF" w:rsidTr="001E3259">
        <w:trPr>
          <w:gridBefore w:val="1"/>
          <w:wBefore w:w="23" w:type="dxa"/>
          <w:trHeight w:val="454"/>
          <w:jc w:val="center"/>
        </w:trPr>
        <w:tc>
          <w:tcPr>
            <w:tcW w:w="1142" w:type="dxa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安装电气火灾监控设备强化电气火灾防控的，加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1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分。▲</w:t>
            </w:r>
          </w:p>
        </w:tc>
        <w:tc>
          <w:tcPr>
            <w:tcW w:w="1916" w:type="dxa"/>
            <w:vMerge w:val="restart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现场检查</w:t>
            </w:r>
          </w:p>
        </w:tc>
        <w:tc>
          <w:tcPr>
            <w:tcW w:w="866" w:type="dxa"/>
            <w:gridSpan w:val="3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-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4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4"/>
              </w:rPr>
            </w:pPr>
          </w:p>
        </w:tc>
      </w:tr>
      <w:tr w:rsidR="00486DFF" w:rsidTr="001E3259">
        <w:trPr>
          <w:gridBefore w:val="1"/>
          <w:wBefore w:w="23" w:type="dxa"/>
          <w:trHeight w:val="454"/>
          <w:jc w:val="center"/>
        </w:trPr>
        <w:tc>
          <w:tcPr>
            <w:tcW w:w="1142" w:type="dxa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存在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私拉乱接电气线路、擅自增加用电设备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、超负荷用电以及插座未接底线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的，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每一项扣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0.2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。</w:t>
            </w:r>
          </w:p>
        </w:tc>
        <w:tc>
          <w:tcPr>
            <w:tcW w:w="1916" w:type="dxa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6" w:type="dxa"/>
            <w:gridSpan w:val="3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1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1"/>
              </w:rPr>
            </w:pPr>
          </w:p>
        </w:tc>
      </w:tr>
      <w:tr w:rsidR="00486DFF" w:rsidTr="001E3259">
        <w:trPr>
          <w:gridBefore w:val="1"/>
          <w:wBefore w:w="23" w:type="dxa"/>
          <w:trHeight w:val="454"/>
          <w:jc w:val="center"/>
        </w:trPr>
        <w:tc>
          <w:tcPr>
            <w:tcW w:w="1142" w:type="dxa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电气线路未穿管保护，在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有可燃物的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闷顶、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封闭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吊顶内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明敷的配电线路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未采取穿金属导管或封闭式金属槽盒保护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，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电源插座、照明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开关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直接安装在可燃材料上的，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每有一例扣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0.2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分，最多扣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1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。</w:t>
            </w:r>
          </w:p>
        </w:tc>
        <w:tc>
          <w:tcPr>
            <w:tcW w:w="1916" w:type="dxa"/>
            <w:vMerge w:val="restart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6" w:type="dxa"/>
            <w:gridSpan w:val="3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1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1"/>
              </w:rPr>
            </w:pPr>
          </w:p>
        </w:tc>
      </w:tr>
      <w:tr w:rsidR="00486DFF" w:rsidTr="001E3259">
        <w:trPr>
          <w:gridBefore w:val="1"/>
          <w:wBefore w:w="23" w:type="dxa"/>
          <w:trHeight w:val="454"/>
          <w:jc w:val="center"/>
        </w:trPr>
        <w:tc>
          <w:tcPr>
            <w:tcW w:w="1142" w:type="dxa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电热器具（设备）及大功率电器未与可燃物保持安全距离或被可燃物覆盖的，每有一例扣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0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.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2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分，最多扣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1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分。</w:t>
            </w:r>
          </w:p>
        </w:tc>
        <w:tc>
          <w:tcPr>
            <w:tcW w:w="1916" w:type="dxa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6" w:type="dxa"/>
            <w:gridSpan w:val="3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1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1"/>
              </w:rPr>
            </w:pPr>
          </w:p>
        </w:tc>
      </w:tr>
      <w:tr w:rsidR="00486DFF" w:rsidTr="001E3259">
        <w:trPr>
          <w:gridAfter w:val="1"/>
          <w:wAfter w:w="23" w:type="dxa"/>
          <w:trHeight w:val="454"/>
          <w:jc w:val="center"/>
        </w:trPr>
        <w:tc>
          <w:tcPr>
            <w:tcW w:w="1165" w:type="dxa"/>
            <w:gridSpan w:val="2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rPr>
                <w:rFonts w:eastAsia="方正黑体_GBK"/>
                <w:color w:val="000000" w:themeColor="text1"/>
                <w:szCs w:val="21"/>
              </w:rPr>
            </w:pPr>
            <w:r>
              <w:rPr>
                <w:rFonts w:eastAsia="方正黑体_GBK" w:hint="eastAsia"/>
                <w:color w:val="000000" w:themeColor="text1"/>
                <w:szCs w:val="21"/>
              </w:rPr>
              <w:lastRenderedPageBreak/>
              <w:t>类别</w:t>
            </w: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rPr>
                <w:rFonts w:eastAsia="方正黑体_GBK"/>
                <w:color w:val="000000" w:themeColor="text1"/>
                <w:szCs w:val="21"/>
              </w:rPr>
            </w:pPr>
            <w:r>
              <w:rPr>
                <w:rFonts w:eastAsia="方正黑体_GBK" w:hint="eastAsia"/>
                <w:color w:val="000000" w:themeColor="text1"/>
                <w:szCs w:val="21"/>
              </w:rPr>
              <w:t>评定标准</w:t>
            </w:r>
          </w:p>
        </w:tc>
        <w:tc>
          <w:tcPr>
            <w:tcW w:w="1922" w:type="dxa"/>
            <w:gridSpan w:val="2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rPr>
                <w:rFonts w:eastAsia="方正黑体_GBK"/>
                <w:color w:val="000000" w:themeColor="text1"/>
                <w:szCs w:val="21"/>
              </w:rPr>
            </w:pPr>
            <w:r>
              <w:rPr>
                <w:rFonts w:eastAsia="方正黑体_GBK" w:hint="eastAsia"/>
                <w:color w:val="000000" w:themeColor="text1"/>
                <w:szCs w:val="21"/>
              </w:rPr>
              <w:t>检查方法</w:t>
            </w:r>
          </w:p>
        </w:tc>
        <w:tc>
          <w:tcPr>
            <w:tcW w:w="837" w:type="dxa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rPr>
                <w:rFonts w:eastAsia="方正黑体_GBK"/>
                <w:color w:val="000000" w:themeColor="text1"/>
                <w:szCs w:val="21"/>
              </w:rPr>
            </w:pPr>
            <w:r>
              <w:rPr>
                <w:rFonts w:eastAsia="方正黑体_GBK" w:hint="eastAsia"/>
                <w:color w:val="000000" w:themeColor="text1"/>
                <w:szCs w:val="21"/>
              </w:rPr>
              <w:t>重要</w:t>
            </w:r>
          </w:p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rPr>
                <w:rFonts w:eastAsia="方正黑体_GBK"/>
                <w:color w:val="000000" w:themeColor="text1"/>
                <w:szCs w:val="21"/>
              </w:rPr>
            </w:pPr>
            <w:r>
              <w:rPr>
                <w:rFonts w:eastAsia="方正黑体_GBK" w:hint="eastAsia"/>
                <w:color w:val="000000" w:themeColor="text1"/>
                <w:szCs w:val="21"/>
              </w:rPr>
              <w:t>等级</w:t>
            </w:r>
          </w:p>
        </w:tc>
        <w:tc>
          <w:tcPr>
            <w:tcW w:w="1131" w:type="dxa"/>
            <w:gridSpan w:val="2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rPr>
                <w:rFonts w:eastAsia="方正黑体_GBK"/>
                <w:color w:val="000000" w:themeColor="text1"/>
                <w:szCs w:val="21"/>
              </w:rPr>
            </w:pPr>
            <w:r>
              <w:rPr>
                <w:rFonts w:eastAsia="方正黑体_GBK" w:hint="eastAsia"/>
                <w:color w:val="000000" w:themeColor="text1"/>
                <w:szCs w:val="21"/>
              </w:rPr>
              <w:t>扣（加）分情况</w:t>
            </w:r>
          </w:p>
        </w:tc>
        <w:tc>
          <w:tcPr>
            <w:tcW w:w="1062" w:type="dxa"/>
            <w:gridSpan w:val="2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rPr>
                <w:rFonts w:eastAsia="方正黑体_GBK"/>
                <w:color w:val="000000" w:themeColor="text1"/>
                <w:szCs w:val="21"/>
              </w:rPr>
            </w:pPr>
            <w:r>
              <w:rPr>
                <w:rFonts w:eastAsia="方正黑体_GBK" w:hint="eastAsia"/>
                <w:color w:val="000000" w:themeColor="text1"/>
                <w:szCs w:val="21"/>
              </w:rPr>
              <w:t>得分</w:t>
            </w:r>
          </w:p>
        </w:tc>
      </w:tr>
      <w:tr w:rsidR="00486DFF" w:rsidTr="001E3259">
        <w:trPr>
          <w:gridAfter w:val="1"/>
          <w:wAfter w:w="23" w:type="dxa"/>
          <w:trHeight w:val="340"/>
          <w:jc w:val="center"/>
        </w:trPr>
        <w:tc>
          <w:tcPr>
            <w:tcW w:w="1165" w:type="dxa"/>
            <w:gridSpan w:val="2"/>
            <w:vMerge w:val="restart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老年人起居室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、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休息室内使用电热毯、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电炉、热得快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等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电器设备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的，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每一例扣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0.2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分，最多扣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1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。</w:t>
            </w:r>
          </w:p>
        </w:tc>
        <w:tc>
          <w:tcPr>
            <w:tcW w:w="1922" w:type="dxa"/>
            <w:gridSpan w:val="2"/>
            <w:vMerge w:val="restart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37" w:type="dxa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1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1"/>
              </w:rPr>
            </w:pPr>
          </w:p>
        </w:tc>
      </w:tr>
      <w:tr w:rsidR="00486DFF" w:rsidTr="001E3259">
        <w:trPr>
          <w:gridAfter w:val="1"/>
          <w:wAfter w:w="23" w:type="dxa"/>
          <w:trHeight w:val="340"/>
          <w:jc w:val="center"/>
        </w:trPr>
        <w:tc>
          <w:tcPr>
            <w:tcW w:w="1165" w:type="dxa"/>
            <w:gridSpan w:val="2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供氧站、氧气瓶间未使用防爆电气设备的，扣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0.5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分。</w:t>
            </w:r>
          </w:p>
        </w:tc>
        <w:tc>
          <w:tcPr>
            <w:tcW w:w="1922" w:type="dxa"/>
            <w:gridSpan w:val="2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37" w:type="dxa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1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1"/>
              </w:rPr>
            </w:pPr>
          </w:p>
        </w:tc>
      </w:tr>
      <w:tr w:rsidR="00486DFF" w:rsidTr="001E3259">
        <w:trPr>
          <w:gridAfter w:val="1"/>
          <w:wAfter w:w="23" w:type="dxa"/>
          <w:trHeight w:val="340"/>
          <w:jc w:val="center"/>
        </w:trPr>
        <w:tc>
          <w:tcPr>
            <w:tcW w:w="1165" w:type="dxa"/>
            <w:gridSpan w:val="2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电动自行车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、电动轮椅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及其蓄电池在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室内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、安全出口、疏散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通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道、楼梯间停放、充电的，私拉电线进行充电的，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每一处扣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0.5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分，最多扣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2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。</w:t>
            </w:r>
          </w:p>
        </w:tc>
        <w:tc>
          <w:tcPr>
            <w:tcW w:w="1922" w:type="dxa"/>
            <w:gridSpan w:val="2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37" w:type="dxa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1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1"/>
              </w:rPr>
            </w:pPr>
          </w:p>
        </w:tc>
      </w:tr>
      <w:tr w:rsidR="00486DFF" w:rsidTr="001E3259">
        <w:trPr>
          <w:gridAfter w:val="1"/>
          <w:wAfter w:w="23" w:type="dxa"/>
          <w:trHeight w:val="340"/>
          <w:jc w:val="center"/>
        </w:trPr>
        <w:tc>
          <w:tcPr>
            <w:tcW w:w="1165" w:type="dxa"/>
            <w:gridSpan w:val="2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设在地下室、半地下室和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高层建筑内的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厨房，违规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使用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瓶装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液化石油气的，扣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2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分。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其他场所使用液化石油气的，充装量大于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5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0KG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的钢瓶未设置在服务建筑外单层民用房间内的，扣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0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.5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分。</w:t>
            </w:r>
          </w:p>
        </w:tc>
        <w:tc>
          <w:tcPr>
            <w:tcW w:w="1922" w:type="dxa"/>
            <w:gridSpan w:val="2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37" w:type="dxa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1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1"/>
              </w:rPr>
            </w:pPr>
          </w:p>
        </w:tc>
      </w:tr>
      <w:tr w:rsidR="00486DFF" w:rsidTr="001E3259">
        <w:trPr>
          <w:gridAfter w:val="1"/>
          <w:wAfter w:w="23" w:type="dxa"/>
          <w:trHeight w:val="340"/>
          <w:jc w:val="center"/>
        </w:trPr>
        <w:tc>
          <w:tcPr>
            <w:tcW w:w="1165" w:type="dxa"/>
            <w:gridSpan w:val="2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厨房未与其他部位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进行防火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分隔的，扣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0.5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分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。</w:t>
            </w:r>
          </w:p>
        </w:tc>
        <w:tc>
          <w:tcPr>
            <w:tcW w:w="1922" w:type="dxa"/>
            <w:gridSpan w:val="2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37" w:type="dxa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1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1"/>
              </w:rPr>
            </w:pPr>
          </w:p>
        </w:tc>
      </w:tr>
      <w:tr w:rsidR="00486DFF" w:rsidTr="001E3259">
        <w:trPr>
          <w:gridAfter w:val="1"/>
          <w:wAfter w:w="23" w:type="dxa"/>
          <w:trHeight w:val="340"/>
          <w:jc w:val="center"/>
        </w:trPr>
        <w:tc>
          <w:tcPr>
            <w:tcW w:w="1165" w:type="dxa"/>
            <w:gridSpan w:val="2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安装厨房自动灭火装置的，加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0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.5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分。▲</w:t>
            </w:r>
          </w:p>
        </w:tc>
        <w:tc>
          <w:tcPr>
            <w:tcW w:w="1922" w:type="dxa"/>
            <w:gridSpan w:val="2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37" w:type="dxa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-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1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1"/>
              </w:rPr>
            </w:pPr>
          </w:p>
        </w:tc>
      </w:tr>
      <w:tr w:rsidR="00486DFF" w:rsidTr="001E3259">
        <w:trPr>
          <w:gridAfter w:val="1"/>
          <w:wAfter w:w="23" w:type="dxa"/>
          <w:trHeight w:val="340"/>
          <w:jc w:val="center"/>
        </w:trPr>
        <w:tc>
          <w:tcPr>
            <w:tcW w:w="1165" w:type="dxa"/>
            <w:gridSpan w:val="2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使用燃气的厨房，未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设置可燃气体探测报警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、自动切断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装置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以及未更换金属包覆管、未使用带熄火装置的燃气灶的，扣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1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分。</w:t>
            </w:r>
          </w:p>
        </w:tc>
        <w:tc>
          <w:tcPr>
            <w:tcW w:w="1922" w:type="dxa"/>
            <w:gridSpan w:val="2"/>
            <w:vMerge w:val="restart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lef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现场检查，查阅消防安全管理资料</w:t>
            </w:r>
          </w:p>
        </w:tc>
        <w:tc>
          <w:tcPr>
            <w:tcW w:w="837" w:type="dxa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1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1"/>
              </w:rPr>
            </w:pPr>
          </w:p>
        </w:tc>
      </w:tr>
      <w:tr w:rsidR="00486DFF" w:rsidTr="001E3259">
        <w:trPr>
          <w:gridAfter w:val="1"/>
          <w:wAfter w:w="23" w:type="dxa"/>
          <w:trHeight w:val="340"/>
          <w:jc w:val="center"/>
        </w:trPr>
        <w:tc>
          <w:tcPr>
            <w:tcW w:w="1165" w:type="dxa"/>
            <w:gridSpan w:val="2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未对厨房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灶具、油烟罩、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油烟管道等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至少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每季度清洗一次的，扣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0.5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分。</w:t>
            </w:r>
          </w:p>
        </w:tc>
        <w:tc>
          <w:tcPr>
            <w:tcW w:w="1922" w:type="dxa"/>
            <w:gridSpan w:val="2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37" w:type="dxa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1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1"/>
              </w:rPr>
            </w:pPr>
          </w:p>
        </w:tc>
      </w:tr>
      <w:tr w:rsidR="00486DFF" w:rsidTr="001E3259">
        <w:trPr>
          <w:gridAfter w:val="1"/>
          <w:wAfter w:w="23" w:type="dxa"/>
          <w:trHeight w:val="340"/>
          <w:jc w:val="center"/>
        </w:trPr>
        <w:tc>
          <w:tcPr>
            <w:tcW w:w="1165" w:type="dxa"/>
            <w:gridSpan w:val="2"/>
            <w:vMerge w:val="restart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值班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管理</w:t>
            </w:r>
          </w:p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（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3.5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分）</w:t>
            </w: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未落实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2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4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小时值班制度的，扣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1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分。</w:t>
            </w:r>
          </w:p>
        </w:tc>
        <w:tc>
          <w:tcPr>
            <w:tcW w:w="1922" w:type="dxa"/>
            <w:gridSpan w:val="2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w w:val="90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w w:val="90"/>
                <w:sz w:val="18"/>
                <w:szCs w:val="18"/>
              </w:rPr>
              <w:t>查阅消防安全管理资料</w:t>
            </w:r>
          </w:p>
        </w:tc>
        <w:tc>
          <w:tcPr>
            <w:tcW w:w="837" w:type="dxa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1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1"/>
              </w:rPr>
            </w:pPr>
          </w:p>
        </w:tc>
      </w:tr>
      <w:tr w:rsidR="00486DFF" w:rsidTr="001E3259">
        <w:trPr>
          <w:gridAfter w:val="1"/>
          <w:wAfter w:w="23" w:type="dxa"/>
          <w:trHeight w:val="340"/>
          <w:jc w:val="center"/>
        </w:trPr>
        <w:tc>
          <w:tcPr>
            <w:tcW w:w="1165" w:type="dxa"/>
            <w:gridSpan w:val="2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设有消防控制室的养老机构，消防控制室值班人员未持证上岗或未实行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24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小时双人值班的，每有一项扣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0.5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分，最多扣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1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分。</w:t>
            </w:r>
          </w:p>
        </w:tc>
        <w:tc>
          <w:tcPr>
            <w:tcW w:w="1922" w:type="dxa"/>
            <w:gridSpan w:val="2"/>
            <w:vMerge w:val="restart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lef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w w:val="90"/>
                <w:sz w:val="18"/>
                <w:szCs w:val="18"/>
              </w:rPr>
              <w:t>抽查提问值班人员，查阅消防控制室值班记录</w:t>
            </w:r>
          </w:p>
        </w:tc>
        <w:tc>
          <w:tcPr>
            <w:tcW w:w="837" w:type="dxa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1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1"/>
              </w:rPr>
            </w:pPr>
          </w:p>
        </w:tc>
      </w:tr>
      <w:tr w:rsidR="00486DFF" w:rsidTr="001E3259">
        <w:trPr>
          <w:gridAfter w:val="1"/>
          <w:wAfter w:w="23" w:type="dxa"/>
          <w:trHeight w:val="340"/>
          <w:jc w:val="center"/>
        </w:trPr>
        <w:tc>
          <w:tcPr>
            <w:tcW w:w="1165" w:type="dxa"/>
            <w:gridSpan w:val="2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值班人员不掌握建筑及消防设施设置情况，消防控制室设施设备操作规程，火警、故障应急处置程序和要求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，或未做好火警、故障信息处理情况和值班记录的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，每有一例扣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0.2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分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，最多扣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1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。</w:t>
            </w:r>
          </w:p>
        </w:tc>
        <w:tc>
          <w:tcPr>
            <w:tcW w:w="1922" w:type="dxa"/>
            <w:gridSpan w:val="2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left"/>
              <w:rPr>
                <w:rFonts w:eastAsia="方正仿宋_GBK"/>
                <w:color w:val="000000" w:themeColor="text1"/>
                <w:w w:val="90"/>
                <w:sz w:val="18"/>
                <w:szCs w:val="18"/>
              </w:rPr>
            </w:pPr>
          </w:p>
        </w:tc>
        <w:tc>
          <w:tcPr>
            <w:tcW w:w="837" w:type="dxa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1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1"/>
              </w:rPr>
            </w:pPr>
          </w:p>
        </w:tc>
      </w:tr>
      <w:tr w:rsidR="00486DFF" w:rsidTr="001E3259">
        <w:trPr>
          <w:gridAfter w:val="1"/>
          <w:wAfter w:w="23" w:type="dxa"/>
          <w:trHeight w:val="340"/>
          <w:jc w:val="center"/>
        </w:trPr>
        <w:tc>
          <w:tcPr>
            <w:tcW w:w="1165" w:type="dxa"/>
            <w:gridSpan w:val="2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对消防控制室报警控制设备的喇叭、蜂鸣器等声光报警器件进行遮蔽、堵塞、断线、旁路等操作的，每有一例扣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0.1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分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，最多扣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0.5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。</w:t>
            </w:r>
          </w:p>
        </w:tc>
        <w:tc>
          <w:tcPr>
            <w:tcW w:w="1922" w:type="dxa"/>
            <w:gridSpan w:val="2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现场检查</w:t>
            </w:r>
          </w:p>
        </w:tc>
        <w:tc>
          <w:tcPr>
            <w:tcW w:w="837" w:type="dxa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1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1"/>
              </w:rPr>
            </w:pPr>
          </w:p>
        </w:tc>
      </w:tr>
      <w:tr w:rsidR="00486DFF" w:rsidTr="001E3259">
        <w:trPr>
          <w:gridAfter w:val="1"/>
          <w:wAfter w:w="23" w:type="dxa"/>
          <w:trHeight w:val="340"/>
          <w:jc w:val="center"/>
        </w:trPr>
        <w:tc>
          <w:tcPr>
            <w:tcW w:w="1165" w:type="dxa"/>
            <w:gridSpan w:val="2"/>
            <w:vMerge w:val="restart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装修施工</w:t>
            </w:r>
          </w:p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管理</w:t>
            </w:r>
          </w:p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（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6.5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分）</w:t>
            </w: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内部装修、施工擅自改变防火分区、平面布局、消防设施的，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1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。</w:t>
            </w:r>
          </w:p>
        </w:tc>
        <w:tc>
          <w:tcPr>
            <w:tcW w:w="1922" w:type="dxa"/>
            <w:gridSpan w:val="2"/>
            <w:vMerge w:val="restart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lef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现场检查，查阅消防安全管理资料</w:t>
            </w:r>
          </w:p>
        </w:tc>
        <w:tc>
          <w:tcPr>
            <w:tcW w:w="837" w:type="dxa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1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1"/>
              </w:rPr>
            </w:pPr>
          </w:p>
        </w:tc>
      </w:tr>
      <w:tr w:rsidR="00486DFF" w:rsidTr="001E3259">
        <w:trPr>
          <w:gridAfter w:val="1"/>
          <w:wAfter w:w="23" w:type="dxa"/>
          <w:trHeight w:val="340"/>
          <w:jc w:val="center"/>
        </w:trPr>
        <w:tc>
          <w:tcPr>
            <w:tcW w:w="1165" w:type="dxa"/>
            <w:gridSpan w:val="2"/>
            <w:vMerge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lef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违规使用易燃可燃材料装修，或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使用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聚苯乙烯、聚氨酯泡沫等燃烧性能低于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A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级的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材料设置外墙、隔墙、吊顶、屋面或在屋面、室内等区域搭建临时用房的，扣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2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分。</w:t>
            </w:r>
          </w:p>
        </w:tc>
        <w:tc>
          <w:tcPr>
            <w:tcW w:w="1922" w:type="dxa"/>
            <w:gridSpan w:val="2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37" w:type="dxa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1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1"/>
              </w:rPr>
            </w:pPr>
          </w:p>
        </w:tc>
      </w:tr>
      <w:tr w:rsidR="00486DFF" w:rsidTr="001E3259">
        <w:trPr>
          <w:gridAfter w:val="1"/>
          <w:wAfter w:w="23" w:type="dxa"/>
          <w:trHeight w:val="340"/>
          <w:jc w:val="center"/>
        </w:trPr>
        <w:tc>
          <w:tcPr>
            <w:tcW w:w="1165" w:type="dxa"/>
            <w:gridSpan w:val="2"/>
            <w:vMerge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lef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防火墙、防火隔墙、防火窗、防火门、防火卷帘、防火阀、挡烟垂壁等防火、防烟分隔设施被破坏的，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每有一例扣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0.2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分，最多扣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1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。</w:t>
            </w:r>
          </w:p>
        </w:tc>
        <w:tc>
          <w:tcPr>
            <w:tcW w:w="1922" w:type="dxa"/>
            <w:gridSpan w:val="2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37" w:type="dxa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1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1"/>
              </w:rPr>
            </w:pPr>
          </w:p>
        </w:tc>
      </w:tr>
      <w:tr w:rsidR="00486DFF" w:rsidTr="001E3259">
        <w:trPr>
          <w:gridAfter w:val="1"/>
          <w:wAfter w:w="23" w:type="dxa"/>
          <w:trHeight w:val="340"/>
          <w:jc w:val="center"/>
        </w:trPr>
        <w:tc>
          <w:tcPr>
            <w:tcW w:w="1165" w:type="dxa"/>
            <w:gridSpan w:val="2"/>
            <w:vMerge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lef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穿越墙体处的孔洞、缝隙，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以及电缆井、管道井等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竖向管井未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进行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防火封堵，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或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电缆井、管道井内堆放杂物的，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每有一例扣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0.2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分，最多扣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1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。</w:t>
            </w:r>
          </w:p>
        </w:tc>
        <w:tc>
          <w:tcPr>
            <w:tcW w:w="1922" w:type="dxa"/>
            <w:gridSpan w:val="2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37" w:type="dxa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 xml:space="preserve">B 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1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1"/>
              </w:rPr>
            </w:pPr>
          </w:p>
        </w:tc>
      </w:tr>
      <w:tr w:rsidR="00486DFF" w:rsidTr="001E3259">
        <w:trPr>
          <w:gridAfter w:val="1"/>
          <w:wAfter w:w="23" w:type="dxa"/>
          <w:trHeight w:val="340"/>
          <w:jc w:val="center"/>
        </w:trPr>
        <w:tc>
          <w:tcPr>
            <w:tcW w:w="1165" w:type="dxa"/>
            <w:gridSpan w:val="2"/>
            <w:vMerge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lef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施工现场未明确现场消防安全责任人，并落实相关人员消防安全责任的，扣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0.5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分；施工人员未接受岗前消防安全培训的，每有一例扣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0.2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分；未制定灭火和应急疏散演练预案并开展演练的，扣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0.5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分；施工现场重点防火部位或区域未设置消防安全标志，配备消防器材并保持完好有效的，每有一例扣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0.2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分；施工部位与其他部位之间未采取防火分隔措施的，扣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0.5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分，最多扣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1.5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分。</w:t>
            </w:r>
          </w:p>
        </w:tc>
        <w:tc>
          <w:tcPr>
            <w:tcW w:w="1922" w:type="dxa"/>
            <w:gridSpan w:val="2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37" w:type="dxa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1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60" w:lineRule="exact"/>
              <w:jc w:val="center"/>
              <w:rPr>
                <w:color w:val="000000" w:themeColor="text1"/>
                <w:szCs w:val="21"/>
              </w:rPr>
            </w:pPr>
          </w:p>
        </w:tc>
      </w:tr>
      <w:tr w:rsidR="00486DFF" w:rsidTr="001E3259">
        <w:trPr>
          <w:gridAfter w:val="1"/>
          <w:wAfter w:w="23" w:type="dxa"/>
          <w:trHeight w:val="454"/>
          <w:jc w:val="center"/>
        </w:trPr>
        <w:tc>
          <w:tcPr>
            <w:tcW w:w="1165" w:type="dxa"/>
            <w:gridSpan w:val="2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rPr>
                <w:rFonts w:eastAsia="方正黑体_GBK"/>
                <w:color w:val="000000" w:themeColor="text1"/>
                <w:szCs w:val="21"/>
              </w:rPr>
            </w:pPr>
            <w:r>
              <w:rPr>
                <w:rFonts w:eastAsia="方正黑体_GBK" w:hint="eastAsia"/>
                <w:color w:val="000000" w:themeColor="text1"/>
                <w:szCs w:val="21"/>
              </w:rPr>
              <w:lastRenderedPageBreak/>
              <w:t>类别</w:t>
            </w: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rPr>
                <w:rFonts w:eastAsia="方正黑体_GBK"/>
                <w:color w:val="000000" w:themeColor="text1"/>
                <w:szCs w:val="21"/>
              </w:rPr>
            </w:pPr>
            <w:r>
              <w:rPr>
                <w:rFonts w:eastAsia="方正黑体_GBK" w:hint="eastAsia"/>
                <w:color w:val="000000" w:themeColor="text1"/>
                <w:szCs w:val="21"/>
              </w:rPr>
              <w:t>评定标准</w:t>
            </w:r>
          </w:p>
        </w:tc>
        <w:tc>
          <w:tcPr>
            <w:tcW w:w="1922" w:type="dxa"/>
            <w:gridSpan w:val="2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rPr>
                <w:rFonts w:eastAsia="方正黑体_GBK"/>
                <w:color w:val="000000" w:themeColor="text1"/>
                <w:szCs w:val="21"/>
              </w:rPr>
            </w:pPr>
            <w:r>
              <w:rPr>
                <w:rFonts w:eastAsia="方正黑体_GBK" w:hint="eastAsia"/>
                <w:color w:val="000000" w:themeColor="text1"/>
                <w:szCs w:val="21"/>
              </w:rPr>
              <w:t>检查方法</w:t>
            </w:r>
          </w:p>
        </w:tc>
        <w:tc>
          <w:tcPr>
            <w:tcW w:w="837" w:type="dxa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rPr>
                <w:rFonts w:eastAsia="方正黑体_GBK"/>
                <w:color w:val="000000" w:themeColor="text1"/>
                <w:szCs w:val="21"/>
              </w:rPr>
            </w:pPr>
            <w:r>
              <w:rPr>
                <w:rFonts w:eastAsia="方正黑体_GBK" w:hint="eastAsia"/>
                <w:color w:val="000000" w:themeColor="text1"/>
                <w:szCs w:val="21"/>
              </w:rPr>
              <w:t>重要</w:t>
            </w:r>
          </w:p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rPr>
                <w:rFonts w:eastAsia="方正黑体_GBK"/>
                <w:color w:val="000000" w:themeColor="text1"/>
                <w:szCs w:val="21"/>
              </w:rPr>
            </w:pPr>
            <w:r>
              <w:rPr>
                <w:rFonts w:eastAsia="方正黑体_GBK" w:hint="eastAsia"/>
                <w:color w:val="000000" w:themeColor="text1"/>
                <w:szCs w:val="21"/>
              </w:rPr>
              <w:t>等级</w:t>
            </w:r>
          </w:p>
        </w:tc>
        <w:tc>
          <w:tcPr>
            <w:tcW w:w="1131" w:type="dxa"/>
            <w:gridSpan w:val="2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rPr>
                <w:rFonts w:eastAsia="方正黑体_GBK"/>
                <w:color w:val="000000" w:themeColor="text1"/>
                <w:szCs w:val="21"/>
              </w:rPr>
            </w:pPr>
            <w:r>
              <w:rPr>
                <w:rFonts w:eastAsia="方正黑体_GBK" w:hint="eastAsia"/>
                <w:color w:val="000000" w:themeColor="text1"/>
                <w:szCs w:val="21"/>
              </w:rPr>
              <w:t>扣（加）分情况</w:t>
            </w:r>
          </w:p>
        </w:tc>
        <w:tc>
          <w:tcPr>
            <w:tcW w:w="1062" w:type="dxa"/>
            <w:gridSpan w:val="2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rPr>
                <w:rFonts w:eastAsia="方正黑体_GBK"/>
                <w:color w:val="000000" w:themeColor="text1"/>
                <w:szCs w:val="21"/>
              </w:rPr>
            </w:pPr>
            <w:r>
              <w:rPr>
                <w:rFonts w:eastAsia="方正黑体_GBK" w:hint="eastAsia"/>
                <w:color w:val="000000" w:themeColor="text1"/>
                <w:szCs w:val="21"/>
              </w:rPr>
              <w:t>得分</w:t>
            </w:r>
          </w:p>
        </w:tc>
      </w:tr>
      <w:tr w:rsidR="00486DFF" w:rsidTr="001E3259">
        <w:trPr>
          <w:gridAfter w:val="1"/>
          <w:wAfter w:w="23" w:type="dxa"/>
          <w:trHeight w:val="454"/>
          <w:jc w:val="center"/>
        </w:trPr>
        <w:tc>
          <w:tcPr>
            <w:tcW w:w="1165" w:type="dxa"/>
            <w:gridSpan w:val="2"/>
            <w:vMerge w:val="restart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防火巡查</w:t>
            </w:r>
          </w:p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检查、火灾</w:t>
            </w:r>
          </w:p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隐患整改</w:t>
            </w:r>
          </w:p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（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5.5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分）</w:t>
            </w: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未确定防火巡查检查人员的，扣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0.5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分。</w:t>
            </w:r>
          </w:p>
        </w:tc>
        <w:tc>
          <w:tcPr>
            <w:tcW w:w="1922" w:type="dxa"/>
            <w:gridSpan w:val="2"/>
            <w:vMerge w:val="restart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lef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查阅消防安全管理资料，询问防火巡查检查人员</w:t>
            </w:r>
          </w:p>
        </w:tc>
        <w:tc>
          <w:tcPr>
            <w:tcW w:w="837" w:type="dxa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color w:val="000000" w:themeColor="text1"/>
                <w:szCs w:val="21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color w:val="000000" w:themeColor="text1"/>
                <w:szCs w:val="21"/>
              </w:rPr>
            </w:pPr>
          </w:p>
        </w:tc>
      </w:tr>
      <w:tr w:rsidR="00486DFF" w:rsidTr="001E3259">
        <w:trPr>
          <w:gridAfter w:val="1"/>
          <w:wAfter w:w="23" w:type="dxa"/>
          <w:trHeight w:val="454"/>
          <w:jc w:val="center"/>
        </w:trPr>
        <w:tc>
          <w:tcPr>
            <w:tcW w:w="1165" w:type="dxa"/>
            <w:gridSpan w:val="2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未每日开展防火巡查，老年人居室、公共活动用房、厨房等重点部位白天巡查少于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2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次，夜间防火巡查未至少每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2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小时开展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1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次的，每有一例扣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0.2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分，最多扣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1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分。</w:t>
            </w:r>
          </w:p>
        </w:tc>
        <w:tc>
          <w:tcPr>
            <w:tcW w:w="1922" w:type="dxa"/>
            <w:gridSpan w:val="2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37" w:type="dxa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color w:val="000000" w:themeColor="text1"/>
                <w:szCs w:val="21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color w:val="000000" w:themeColor="text1"/>
                <w:szCs w:val="21"/>
              </w:rPr>
            </w:pPr>
          </w:p>
        </w:tc>
      </w:tr>
      <w:tr w:rsidR="00486DFF" w:rsidTr="001E3259">
        <w:trPr>
          <w:gridAfter w:val="1"/>
          <w:wAfter w:w="23" w:type="dxa"/>
          <w:trHeight w:val="454"/>
          <w:jc w:val="center"/>
        </w:trPr>
        <w:tc>
          <w:tcPr>
            <w:tcW w:w="1165" w:type="dxa"/>
            <w:gridSpan w:val="2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未每月至少进行一次防火检查，设置在高层公共建筑内的养老机构未每半个月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至少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进行一次防火检查的，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每有一例扣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0.2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，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最多扣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1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分。</w:t>
            </w:r>
          </w:p>
        </w:tc>
        <w:tc>
          <w:tcPr>
            <w:tcW w:w="1922" w:type="dxa"/>
            <w:gridSpan w:val="2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37" w:type="dxa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color w:val="000000" w:themeColor="text1"/>
                <w:szCs w:val="21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color w:val="000000" w:themeColor="text1"/>
                <w:szCs w:val="21"/>
              </w:rPr>
            </w:pPr>
          </w:p>
        </w:tc>
      </w:tr>
      <w:tr w:rsidR="00486DFF" w:rsidTr="001E3259">
        <w:trPr>
          <w:gridAfter w:val="1"/>
          <w:wAfter w:w="23" w:type="dxa"/>
          <w:trHeight w:val="454"/>
          <w:jc w:val="center"/>
        </w:trPr>
        <w:tc>
          <w:tcPr>
            <w:tcW w:w="1165" w:type="dxa"/>
            <w:gridSpan w:val="2"/>
            <w:vMerge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未建立防火巡查、检查记录的，扣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1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分。巡查检查内容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  <w:vertAlign w:val="superscript"/>
              </w:rPr>
              <w:t>[6]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不全面的，扣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0.5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分；巡查、检查人员、消防安全管理人未签名的，每有一例扣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0.1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分。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巡查检查记录弄虚作假的，扣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1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分，最多扣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2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分。</w:t>
            </w:r>
          </w:p>
        </w:tc>
        <w:tc>
          <w:tcPr>
            <w:tcW w:w="1922" w:type="dxa"/>
            <w:gridSpan w:val="2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37" w:type="dxa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color w:val="000000" w:themeColor="text1"/>
                <w:szCs w:val="21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color w:val="000000" w:themeColor="text1"/>
                <w:szCs w:val="21"/>
              </w:rPr>
            </w:pPr>
          </w:p>
        </w:tc>
      </w:tr>
      <w:tr w:rsidR="00486DFF" w:rsidTr="001E3259">
        <w:trPr>
          <w:gridAfter w:val="1"/>
          <w:wAfter w:w="23" w:type="dxa"/>
          <w:trHeight w:val="454"/>
          <w:jc w:val="center"/>
        </w:trPr>
        <w:tc>
          <w:tcPr>
            <w:tcW w:w="1165" w:type="dxa"/>
            <w:gridSpan w:val="2"/>
            <w:vMerge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对发现的火灾隐患，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未报告消防安全管理人、未落实防范措施、整改后未及时确认的，每有一例扣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0.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2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分，最多扣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1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分。</w:t>
            </w:r>
          </w:p>
        </w:tc>
        <w:tc>
          <w:tcPr>
            <w:tcW w:w="1922" w:type="dxa"/>
            <w:gridSpan w:val="2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37" w:type="dxa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color w:val="000000" w:themeColor="text1"/>
                <w:szCs w:val="21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color w:val="000000" w:themeColor="text1"/>
                <w:szCs w:val="21"/>
              </w:rPr>
            </w:pPr>
          </w:p>
        </w:tc>
      </w:tr>
      <w:tr w:rsidR="00486DFF" w:rsidTr="001E3259">
        <w:trPr>
          <w:gridAfter w:val="1"/>
          <w:wAfter w:w="23" w:type="dxa"/>
          <w:trHeight w:val="454"/>
          <w:jc w:val="center"/>
        </w:trPr>
        <w:tc>
          <w:tcPr>
            <w:tcW w:w="1165" w:type="dxa"/>
            <w:gridSpan w:val="2"/>
            <w:vMerge w:val="restart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消防宣传</w:t>
            </w:r>
          </w:p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教育培训</w:t>
            </w:r>
          </w:p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（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5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分）</w:t>
            </w: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未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对入住老年人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宣传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消防安全常识的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，扣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1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分。</w:t>
            </w:r>
          </w:p>
        </w:tc>
        <w:tc>
          <w:tcPr>
            <w:tcW w:w="1922" w:type="dxa"/>
            <w:gridSpan w:val="2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color w:val="000000" w:themeColor="text1"/>
                <w:w w:val="90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w w:val="90"/>
                <w:sz w:val="18"/>
                <w:szCs w:val="18"/>
              </w:rPr>
              <w:t>随机抽查询问入住人员</w:t>
            </w:r>
          </w:p>
        </w:tc>
        <w:tc>
          <w:tcPr>
            <w:tcW w:w="837" w:type="dxa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color w:val="000000" w:themeColor="text1"/>
                <w:szCs w:val="21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color w:val="000000" w:themeColor="text1"/>
                <w:szCs w:val="21"/>
              </w:rPr>
            </w:pPr>
          </w:p>
        </w:tc>
      </w:tr>
      <w:tr w:rsidR="00486DFF" w:rsidTr="001E3259">
        <w:trPr>
          <w:gridAfter w:val="1"/>
          <w:wAfter w:w="23" w:type="dxa"/>
          <w:trHeight w:val="454"/>
          <w:jc w:val="center"/>
        </w:trPr>
        <w:tc>
          <w:tcPr>
            <w:tcW w:w="1165" w:type="dxa"/>
            <w:gridSpan w:val="2"/>
            <w:vMerge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未对护理人员、保安、厨师、电工等重点岗位人员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每半年至少进行一次消防安全培训，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新入职或转岗员工以及劳务派遣、外包单位、协作单位、临时务工人员未进行岗前消防安全培训，每有一例扣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0.2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，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最多扣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2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分。</w:t>
            </w:r>
          </w:p>
        </w:tc>
        <w:tc>
          <w:tcPr>
            <w:tcW w:w="1922" w:type="dxa"/>
            <w:gridSpan w:val="2"/>
            <w:vMerge w:val="restart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left"/>
              <w:rPr>
                <w:rFonts w:eastAsia="方正仿宋_GBK"/>
                <w:color w:val="000000" w:themeColor="text1"/>
                <w:w w:val="90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w w:val="90"/>
                <w:sz w:val="18"/>
                <w:szCs w:val="18"/>
              </w:rPr>
              <w:t>查阅消防安全管理资料，询问相关人员</w:t>
            </w:r>
          </w:p>
        </w:tc>
        <w:tc>
          <w:tcPr>
            <w:tcW w:w="837" w:type="dxa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color w:val="000000" w:themeColor="text1"/>
                <w:szCs w:val="21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color w:val="000000" w:themeColor="text1"/>
                <w:szCs w:val="21"/>
              </w:rPr>
            </w:pPr>
          </w:p>
        </w:tc>
      </w:tr>
      <w:tr w:rsidR="00486DFF" w:rsidTr="001E3259">
        <w:trPr>
          <w:gridAfter w:val="1"/>
          <w:wAfter w:w="23" w:type="dxa"/>
          <w:trHeight w:val="454"/>
          <w:jc w:val="center"/>
        </w:trPr>
        <w:tc>
          <w:tcPr>
            <w:tcW w:w="1165" w:type="dxa"/>
            <w:gridSpan w:val="2"/>
            <w:vMerge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工作人员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不能熟练掌握</w:t>
            </w:r>
            <w:r>
              <w:rPr>
                <w:rFonts w:eastAsia="方正仿宋_GBK" w:cs="方正仿宋_GBK" w:hint="eastAsia"/>
                <w:color w:val="000000" w:themeColor="text1"/>
                <w:sz w:val="18"/>
                <w:szCs w:val="18"/>
              </w:rPr>
              <w:t>“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一懂三会</w:t>
            </w:r>
            <w:r>
              <w:rPr>
                <w:rFonts w:eastAsia="方正仿宋_GBK" w:cs="方正仿宋_GBK" w:hint="eastAsia"/>
                <w:color w:val="000000" w:themeColor="text1"/>
                <w:sz w:val="18"/>
                <w:szCs w:val="18"/>
              </w:rPr>
              <w:t>”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（懂得所在场所火灾危险性、会报警、会逃生、会扑救初起火灾）的，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每有一例扣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0.2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，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最多扣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2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分。</w:t>
            </w:r>
          </w:p>
        </w:tc>
        <w:tc>
          <w:tcPr>
            <w:tcW w:w="1922" w:type="dxa"/>
            <w:gridSpan w:val="2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37" w:type="dxa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color w:val="000000" w:themeColor="text1"/>
                <w:szCs w:val="21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color w:val="000000" w:themeColor="text1"/>
                <w:szCs w:val="21"/>
              </w:rPr>
            </w:pPr>
          </w:p>
        </w:tc>
      </w:tr>
      <w:tr w:rsidR="00486DFF" w:rsidTr="001E3259">
        <w:trPr>
          <w:gridAfter w:val="1"/>
          <w:wAfter w:w="23" w:type="dxa"/>
          <w:trHeight w:val="454"/>
          <w:jc w:val="center"/>
        </w:trPr>
        <w:tc>
          <w:tcPr>
            <w:tcW w:w="1165" w:type="dxa"/>
            <w:gridSpan w:val="2"/>
            <w:vMerge w:val="restart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w w:val="95"/>
                <w:sz w:val="18"/>
                <w:szCs w:val="18"/>
              </w:rPr>
              <w:t>灭火和应急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疏散预案</w:t>
            </w:r>
          </w:p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color w:val="000000" w:themeColor="text1"/>
                <w:w w:val="95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w w:val="95"/>
                <w:sz w:val="18"/>
                <w:szCs w:val="18"/>
              </w:rPr>
              <w:t>编制和演练</w:t>
            </w:r>
          </w:p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（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8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分）</w:t>
            </w: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未区分白天、夜间分类制定针对性的灭火和应急疏散预案，扣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2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分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；对失能失智老年人，未明确专门的疏散和安置措施，或未逐一明确负责疏散工作人员的，每有一例扣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0.2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分，最多扣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1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分。</w:t>
            </w:r>
          </w:p>
        </w:tc>
        <w:tc>
          <w:tcPr>
            <w:tcW w:w="1922" w:type="dxa"/>
            <w:gridSpan w:val="2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left"/>
              <w:rPr>
                <w:rFonts w:eastAsia="方正仿宋_GBK"/>
                <w:color w:val="000000" w:themeColor="text1"/>
                <w:w w:val="90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w w:val="90"/>
                <w:sz w:val="18"/>
                <w:szCs w:val="18"/>
              </w:rPr>
              <w:t>查阅消防安全管理资料，询问相关人员</w:t>
            </w:r>
          </w:p>
        </w:tc>
        <w:tc>
          <w:tcPr>
            <w:tcW w:w="837" w:type="dxa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color w:val="000000" w:themeColor="text1"/>
                <w:szCs w:val="24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color w:val="000000" w:themeColor="text1"/>
                <w:szCs w:val="24"/>
              </w:rPr>
            </w:pPr>
          </w:p>
        </w:tc>
      </w:tr>
      <w:tr w:rsidR="00486DFF" w:rsidTr="001E3259">
        <w:trPr>
          <w:gridAfter w:val="1"/>
          <w:wAfter w:w="23" w:type="dxa"/>
          <w:trHeight w:val="454"/>
          <w:jc w:val="center"/>
        </w:trPr>
        <w:tc>
          <w:tcPr>
            <w:tcW w:w="1165" w:type="dxa"/>
            <w:gridSpan w:val="2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预案存在组织机构不健全、员工职责不明确、内容不完整、处置程序不合理、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处置要求不明确等情况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的，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每有一项扣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0.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2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。</w:t>
            </w:r>
          </w:p>
        </w:tc>
        <w:tc>
          <w:tcPr>
            <w:tcW w:w="1922" w:type="dxa"/>
            <w:gridSpan w:val="2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left"/>
              <w:rPr>
                <w:rFonts w:eastAsia="方正仿宋_GBK"/>
                <w:color w:val="000000" w:themeColor="text1"/>
                <w:spacing w:val="-6"/>
                <w:w w:val="90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pacing w:val="-6"/>
                <w:w w:val="90"/>
                <w:sz w:val="18"/>
                <w:szCs w:val="18"/>
              </w:rPr>
              <w:t>查阅灭火和应急疏散预案</w:t>
            </w:r>
          </w:p>
        </w:tc>
        <w:tc>
          <w:tcPr>
            <w:tcW w:w="837" w:type="dxa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color w:val="000000" w:themeColor="text1"/>
                <w:szCs w:val="24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color w:val="000000" w:themeColor="text1"/>
                <w:szCs w:val="24"/>
              </w:rPr>
            </w:pPr>
          </w:p>
        </w:tc>
      </w:tr>
      <w:tr w:rsidR="00486DFF" w:rsidTr="001E3259">
        <w:trPr>
          <w:gridAfter w:val="1"/>
          <w:wAfter w:w="23" w:type="dxa"/>
          <w:trHeight w:val="454"/>
          <w:jc w:val="center"/>
        </w:trPr>
        <w:tc>
          <w:tcPr>
            <w:tcW w:w="1165" w:type="dxa"/>
            <w:gridSpan w:val="2"/>
            <w:vMerge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未定期组织承担相应任务的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工作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人员培训，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或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员工不熟悉自身职责或处置程序的，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0.5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/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人，最多扣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2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。</w:t>
            </w:r>
          </w:p>
        </w:tc>
        <w:tc>
          <w:tcPr>
            <w:tcW w:w="1922" w:type="dxa"/>
            <w:gridSpan w:val="2"/>
            <w:vMerge w:val="restart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left"/>
              <w:rPr>
                <w:rFonts w:eastAsia="方正仿宋_GBK"/>
                <w:color w:val="000000" w:themeColor="text1"/>
                <w:w w:val="90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w w:val="90"/>
                <w:sz w:val="18"/>
                <w:szCs w:val="18"/>
              </w:rPr>
              <w:t>查阅消防安全管理资料，询问相关人员</w:t>
            </w:r>
          </w:p>
        </w:tc>
        <w:tc>
          <w:tcPr>
            <w:tcW w:w="837" w:type="dxa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color w:val="000000" w:themeColor="text1"/>
                <w:szCs w:val="24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color w:val="000000" w:themeColor="text1"/>
                <w:szCs w:val="24"/>
              </w:rPr>
            </w:pPr>
          </w:p>
        </w:tc>
      </w:tr>
      <w:tr w:rsidR="00486DFF" w:rsidTr="001E3259">
        <w:trPr>
          <w:gridAfter w:val="1"/>
          <w:wAfter w:w="23" w:type="dxa"/>
          <w:trHeight w:val="454"/>
          <w:jc w:val="center"/>
        </w:trPr>
        <w:tc>
          <w:tcPr>
            <w:tcW w:w="1165" w:type="dxa"/>
            <w:gridSpan w:val="2"/>
            <w:vMerge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未按照灭火和应急疏散预案，每半年至少组织一次包括服务对象在内的消防演练的，扣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2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分。</w:t>
            </w:r>
          </w:p>
        </w:tc>
        <w:tc>
          <w:tcPr>
            <w:tcW w:w="1922" w:type="dxa"/>
            <w:gridSpan w:val="2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37" w:type="dxa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color w:val="000000" w:themeColor="text1"/>
                <w:szCs w:val="24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color w:val="000000" w:themeColor="text1"/>
                <w:szCs w:val="24"/>
              </w:rPr>
            </w:pPr>
          </w:p>
        </w:tc>
      </w:tr>
      <w:tr w:rsidR="00486DFF" w:rsidTr="001E3259">
        <w:trPr>
          <w:gridAfter w:val="1"/>
          <w:wAfter w:w="23" w:type="dxa"/>
          <w:trHeight w:val="454"/>
          <w:jc w:val="center"/>
        </w:trPr>
        <w:tc>
          <w:tcPr>
            <w:tcW w:w="1165" w:type="dxa"/>
            <w:gridSpan w:val="2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rPr>
                <w:rFonts w:eastAsia="方正黑体_GBK"/>
                <w:color w:val="000000" w:themeColor="text1"/>
                <w:szCs w:val="21"/>
              </w:rPr>
            </w:pPr>
            <w:r>
              <w:rPr>
                <w:rFonts w:eastAsia="方正黑体_GBK" w:hint="eastAsia"/>
                <w:color w:val="000000" w:themeColor="text1"/>
                <w:szCs w:val="21"/>
              </w:rPr>
              <w:lastRenderedPageBreak/>
              <w:t>类别</w:t>
            </w: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rPr>
                <w:rFonts w:eastAsia="方正黑体_GBK"/>
                <w:color w:val="000000" w:themeColor="text1"/>
                <w:szCs w:val="21"/>
              </w:rPr>
            </w:pPr>
            <w:r>
              <w:rPr>
                <w:rFonts w:eastAsia="方正黑体_GBK" w:hint="eastAsia"/>
                <w:color w:val="000000" w:themeColor="text1"/>
                <w:szCs w:val="21"/>
              </w:rPr>
              <w:t>评定标准</w:t>
            </w:r>
          </w:p>
        </w:tc>
        <w:tc>
          <w:tcPr>
            <w:tcW w:w="1922" w:type="dxa"/>
            <w:gridSpan w:val="2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rPr>
                <w:rFonts w:eastAsia="方正黑体_GBK"/>
                <w:color w:val="000000" w:themeColor="text1"/>
                <w:szCs w:val="21"/>
              </w:rPr>
            </w:pPr>
            <w:r>
              <w:rPr>
                <w:rFonts w:eastAsia="方正黑体_GBK" w:hint="eastAsia"/>
                <w:color w:val="000000" w:themeColor="text1"/>
                <w:szCs w:val="21"/>
              </w:rPr>
              <w:t>检查方法</w:t>
            </w:r>
          </w:p>
        </w:tc>
        <w:tc>
          <w:tcPr>
            <w:tcW w:w="837" w:type="dxa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rPr>
                <w:rFonts w:eastAsia="方正黑体_GBK"/>
                <w:color w:val="000000" w:themeColor="text1"/>
                <w:szCs w:val="21"/>
              </w:rPr>
            </w:pPr>
            <w:r>
              <w:rPr>
                <w:rFonts w:eastAsia="方正黑体_GBK" w:hint="eastAsia"/>
                <w:color w:val="000000" w:themeColor="text1"/>
                <w:szCs w:val="21"/>
              </w:rPr>
              <w:t>重要</w:t>
            </w:r>
          </w:p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rPr>
                <w:rFonts w:eastAsia="方正黑体_GBK"/>
                <w:color w:val="000000" w:themeColor="text1"/>
                <w:szCs w:val="21"/>
              </w:rPr>
            </w:pPr>
            <w:r>
              <w:rPr>
                <w:rFonts w:eastAsia="方正黑体_GBK" w:hint="eastAsia"/>
                <w:color w:val="000000" w:themeColor="text1"/>
                <w:szCs w:val="21"/>
              </w:rPr>
              <w:t>等级</w:t>
            </w:r>
          </w:p>
        </w:tc>
        <w:tc>
          <w:tcPr>
            <w:tcW w:w="1131" w:type="dxa"/>
            <w:gridSpan w:val="2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rPr>
                <w:rFonts w:eastAsia="方正黑体_GBK"/>
                <w:color w:val="000000" w:themeColor="text1"/>
                <w:szCs w:val="21"/>
              </w:rPr>
            </w:pPr>
            <w:r>
              <w:rPr>
                <w:rFonts w:eastAsia="方正黑体_GBK" w:hint="eastAsia"/>
                <w:color w:val="000000" w:themeColor="text1"/>
                <w:szCs w:val="21"/>
              </w:rPr>
              <w:t>扣（加）分情况</w:t>
            </w:r>
          </w:p>
        </w:tc>
        <w:tc>
          <w:tcPr>
            <w:tcW w:w="1062" w:type="dxa"/>
            <w:gridSpan w:val="2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80" w:lineRule="exact"/>
              <w:jc w:val="center"/>
              <w:rPr>
                <w:rFonts w:eastAsia="方正黑体_GBK"/>
                <w:color w:val="000000" w:themeColor="text1"/>
                <w:szCs w:val="21"/>
              </w:rPr>
            </w:pPr>
            <w:r>
              <w:rPr>
                <w:rFonts w:eastAsia="方正黑体_GBK" w:hint="eastAsia"/>
                <w:color w:val="000000" w:themeColor="text1"/>
                <w:szCs w:val="21"/>
              </w:rPr>
              <w:t>得分</w:t>
            </w:r>
          </w:p>
        </w:tc>
      </w:tr>
      <w:tr w:rsidR="00486DFF" w:rsidTr="001E3259">
        <w:trPr>
          <w:gridAfter w:val="1"/>
          <w:wAfter w:w="23" w:type="dxa"/>
          <w:trHeight w:val="397"/>
          <w:jc w:val="center"/>
        </w:trPr>
        <w:tc>
          <w:tcPr>
            <w:tcW w:w="1165" w:type="dxa"/>
            <w:gridSpan w:val="2"/>
            <w:vMerge w:val="restart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灭火力量</w:t>
            </w:r>
          </w:p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建设运行</w:t>
            </w:r>
          </w:p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（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10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分）</w:t>
            </w: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属于消防安全重点单位的养老机构，未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按照标准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建设微型消防站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  <w:vertAlign w:val="superscript"/>
              </w:rPr>
              <w:t>[7]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的，扣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3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分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。</w:t>
            </w:r>
          </w:p>
        </w:tc>
        <w:tc>
          <w:tcPr>
            <w:tcW w:w="1922" w:type="dxa"/>
            <w:gridSpan w:val="2"/>
            <w:vMerge w:val="restart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现场检查</w:t>
            </w:r>
          </w:p>
        </w:tc>
        <w:tc>
          <w:tcPr>
            <w:tcW w:w="837" w:type="dxa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jc w:val="center"/>
              <w:rPr>
                <w:color w:val="000000" w:themeColor="text1"/>
                <w:szCs w:val="21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jc w:val="center"/>
              <w:rPr>
                <w:color w:val="000000" w:themeColor="text1"/>
                <w:szCs w:val="21"/>
              </w:rPr>
            </w:pPr>
          </w:p>
        </w:tc>
      </w:tr>
      <w:tr w:rsidR="00486DFF" w:rsidTr="001E3259">
        <w:trPr>
          <w:gridAfter w:val="1"/>
          <w:wAfter w:w="23" w:type="dxa"/>
          <w:trHeight w:val="397"/>
          <w:jc w:val="center"/>
        </w:trPr>
        <w:tc>
          <w:tcPr>
            <w:tcW w:w="1165" w:type="dxa"/>
            <w:gridSpan w:val="2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其他机构未建立志愿消防队的，扣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1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。</w:t>
            </w:r>
          </w:p>
        </w:tc>
        <w:tc>
          <w:tcPr>
            <w:tcW w:w="1922" w:type="dxa"/>
            <w:gridSpan w:val="2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37" w:type="dxa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jc w:val="center"/>
              <w:rPr>
                <w:color w:val="000000" w:themeColor="text1"/>
                <w:szCs w:val="21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jc w:val="center"/>
              <w:rPr>
                <w:color w:val="000000" w:themeColor="text1"/>
                <w:szCs w:val="21"/>
              </w:rPr>
            </w:pPr>
          </w:p>
        </w:tc>
      </w:tr>
      <w:tr w:rsidR="00486DFF" w:rsidTr="001E3259">
        <w:trPr>
          <w:gridAfter w:val="1"/>
          <w:wAfter w:w="23" w:type="dxa"/>
          <w:trHeight w:val="397"/>
          <w:jc w:val="center"/>
        </w:trPr>
        <w:tc>
          <w:tcPr>
            <w:tcW w:w="1165" w:type="dxa"/>
            <w:gridSpan w:val="2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微型消防站或志愿消防队未根据本单位火灾危险性，配备灭火、通信、个人防护等消防器材装备的，扣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0.5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分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/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类，最多扣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2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分。</w:t>
            </w:r>
          </w:p>
        </w:tc>
        <w:tc>
          <w:tcPr>
            <w:tcW w:w="1922" w:type="dxa"/>
            <w:gridSpan w:val="2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37" w:type="dxa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jc w:val="center"/>
              <w:rPr>
                <w:color w:val="000000" w:themeColor="text1"/>
                <w:szCs w:val="21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jc w:val="center"/>
              <w:rPr>
                <w:color w:val="000000" w:themeColor="text1"/>
                <w:szCs w:val="21"/>
              </w:rPr>
            </w:pPr>
          </w:p>
        </w:tc>
      </w:tr>
      <w:tr w:rsidR="00486DFF" w:rsidTr="001E3259">
        <w:trPr>
          <w:gridAfter w:val="1"/>
          <w:wAfter w:w="23" w:type="dxa"/>
          <w:trHeight w:val="397"/>
          <w:jc w:val="center"/>
        </w:trPr>
        <w:tc>
          <w:tcPr>
            <w:tcW w:w="1165" w:type="dxa"/>
            <w:gridSpan w:val="2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微型消防站未按规定配齐队员的，扣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1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分。未结合实际分班编组值守，落实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2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4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小时执勤制度的，每有一例扣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0.2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分，最多扣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1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分。</w:t>
            </w:r>
          </w:p>
        </w:tc>
        <w:tc>
          <w:tcPr>
            <w:tcW w:w="1922" w:type="dxa"/>
            <w:gridSpan w:val="2"/>
            <w:vMerge w:val="restart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jc w:val="left"/>
              <w:rPr>
                <w:rFonts w:eastAsia="方正仿宋_GBK"/>
                <w:color w:val="000000" w:themeColor="text1"/>
                <w:spacing w:val="-6"/>
                <w:w w:val="90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现场检查，查阅消防安全管理资料，随机抽查询问微型消防站队员</w:t>
            </w:r>
          </w:p>
        </w:tc>
        <w:tc>
          <w:tcPr>
            <w:tcW w:w="837" w:type="dxa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jc w:val="center"/>
              <w:rPr>
                <w:color w:val="000000" w:themeColor="text1"/>
                <w:szCs w:val="21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jc w:val="center"/>
              <w:rPr>
                <w:color w:val="000000" w:themeColor="text1"/>
                <w:szCs w:val="21"/>
              </w:rPr>
            </w:pPr>
          </w:p>
        </w:tc>
      </w:tr>
      <w:tr w:rsidR="00486DFF" w:rsidTr="001E3259">
        <w:trPr>
          <w:gridAfter w:val="1"/>
          <w:wAfter w:w="23" w:type="dxa"/>
          <w:trHeight w:val="397"/>
          <w:jc w:val="center"/>
        </w:trPr>
        <w:tc>
          <w:tcPr>
            <w:tcW w:w="1165" w:type="dxa"/>
            <w:gridSpan w:val="2"/>
            <w:vMerge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微型消防站队员未定期参加业务培训、技能训练，队员不能掌握常见火灾及其他灾害事故特点、处置流程、防护措施的，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每有一例扣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0.2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，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最多扣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1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分。</w:t>
            </w:r>
          </w:p>
        </w:tc>
        <w:tc>
          <w:tcPr>
            <w:tcW w:w="1922" w:type="dxa"/>
            <w:gridSpan w:val="2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37" w:type="dxa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jc w:val="center"/>
              <w:rPr>
                <w:color w:val="000000" w:themeColor="text1"/>
                <w:szCs w:val="21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jc w:val="center"/>
              <w:rPr>
                <w:color w:val="000000" w:themeColor="text1"/>
                <w:szCs w:val="21"/>
              </w:rPr>
            </w:pPr>
          </w:p>
        </w:tc>
      </w:tr>
      <w:tr w:rsidR="00486DFF" w:rsidTr="001E3259">
        <w:trPr>
          <w:gridAfter w:val="1"/>
          <w:wAfter w:w="23" w:type="dxa"/>
          <w:trHeight w:val="397"/>
          <w:jc w:val="center"/>
        </w:trPr>
        <w:tc>
          <w:tcPr>
            <w:tcW w:w="1165" w:type="dxa"/>
            <w:gridSpan w:val="2"/>
            <w:vMerge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rPr>
                <w:rFonts w:eastAsia="方正仿宋_GBK"/>
                <w:b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现场模拟火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情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，附近员工不能按照</w:t>
            </w:r>
            <w:r>
              <w:rPr>
                <w:rFonts w:eastAsia="方正仿宋_GBK" w:cs="方正仿宋_GBK" w:hint="eastAsia"/>
                <w:color w:val="000000" w:themeColor="text1"/>
                <w:sz w:val="18"/>
                <w:szCs w:val="18"/>
              </w:rPr>
              <w:t>“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1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分钟</w:t>
            </w:r>
            <w:r>
              <w:rPr>
                <w:rFonts w:eastAsia="方正仿宋_GBK" w:cs="方正仿宋_GBK" w:hint="eastAsia"/>
                <w:color w:val="000000" w:themeColor="text1"/>
                <w:sz w:val="18"/>
                <w:szCs w:val="18"/>
              </w:rPr>
              <w:t>”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现场处置、微型消防站或志愿消防队队员不能按照</w:t>
            </w:r>
            <w:r>
              <w:rPr>
                <w:rFonts w:eastAsia="方正仿宋_GBK" w:cs="方正仿宋_GBK" w:hint="eastAsia"/>
                <w:color w:val="000000" w:themeColor="text1"/>
                <w:sz w:val="18"/>
                <w:szCs w:val="18"/>
              </w:rPr>
              <w:t>“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3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分钟</w:t>
            </w:r>
            <w:r>
              <w:rPr>
                <w:rFonts w:eastAsia="方正仿宋_GBK" w:cs="方正仿宋_GBK" w:hint="eastAsia"/>
                <w:color w:val="000000" w:themeColor="text1"/>
                <w:sz w:val="18"/>
                <w:szCs w:val="18"/>
              </w:rPr>
              <w:t>”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到场处置要求的，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每有一例扣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0.2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，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最多扣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1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分。</w:t>
            </w:r>
          </w:p>
        </w:tc>
        <w:tc>
          <w:tcPr>
            <w:tcW w:w="1922" w:type="dxa"/>
            <w:gridSpan w:val="2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现场拉动测试</w:t>
            </w:r>
          </w:p>
        </w:tc>
        <w:tc>
          <w:tcPr>
            <w:tcW w:w="837" w:type="dxa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jc w:val="center"/>
              <w:rPr>
                <w:color w:val="000000" w:themeColor="text1"/>
                <w:szCs w:val="21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jc w:val="center"/>
              <w:rPr>
                <w:color w:val="000000" w:themeColor="text1"/>
                <w:szCs w:val="21"/>
              </w:rPr>
            </w:pPr>
          </w:p>
        </w:tc>
      </w:tr>
      <w:tr w:rsidR="00486DFF" w:rsidTr="001E3259">
        <w:trPr>
          <w:gridAfter w:val="1"/>
          <w:wAfter w:w="23" w:type="dxa"/>
          <w:trHeight w:val="397"/>
          <w:jc w:val="center"/>
        </w:trPr>
        <w:tc>
          <w:tcPr>
            <w:tcW w:w="1165" w:type="dxa"/>
            <w:gridSpan w:val="2"/>
            <w:vMerge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与当地国家综合性消防救援队伍或政府专职消防队开展联合演练，加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1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分。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▲</w:t>
            </w:r>
          </w:p>
        </w:tc>
        <w:tc>
          <w:tcPr>
            <w:tcW w:w="1922" w:type="dxa"/>
            <w:gridSpan w:val="2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jc w:val="lef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w w:val="90"/>
                <w:sz w:val="18"/>
                <w:szCs w:val="18"/>
              </w:rPr>
              <w:t>查阅消防安全管理资料</w:t>
            </w:r>
          </w:p>
        </w:tc>
        <w:tc>
          <w:tcPr>
            <w:tcW w:w="837" w:type="dxa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-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jc w:val="center"/>
              <w:rPr>
                <w:color w:val="000000" w:themeColor="text1"/>
                <w:szCs w:val="21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jc w:val="center"/>
              <w:rPr>
                <w:color w:val="000000" w:themeColor="text1"/>
                <w:szCs w:val="21"/>
              </w:rPr>
            </w:pPr>
          </w:p>
        </w:tc>
      </w:tr>
      <w:tr w:rsidR="00486DFF" w:rsidTr="001E3259">
        <w:trPr>
          <w:gridAfter w:val="1"/>
          <w:wAfter w:w="23" w:type="dxa"/>
          <w:trHeight w:val="397"/>
          <w:jc w:val="center"/>
        </w:trPr>
        <w:tc>
          <w:tcPr>
            <w:tcW w:w="1165" w:type="dxa"/>
            <w:gridSpan w:val="2"/>
            <w:vMerge w:val="restart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信息系统</w:t>
            </w:r>
          </w:p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应用</w:t>
            </w:r>
          </w:p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（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3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分）</w:t>
            </w: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设有消防控制室的养老机构，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接入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消防设施联网监测系统监测中心的，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加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1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分。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▲</w:t>
            </w:r>
          </w:p>
        </w:tc>
        <w:tc>
          <w:tcPr>
            <w:tcW w:w="1922" w:type="dxa"/>
            <w:gridSpan w:val="2"/>
            <w:vMerge w:val="restart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现场检查，网上核查</w:t>
            </w:r>
          </w:p>
        </w:tc>
        <w:tc>
          <w:tcPr>
            <w:tcW w:w="837" w:type="dxa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-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jc w:val="center"/>
              <w:rPr>
                <w:color w:val="000000" w:themeColor="text1"/>
                <w:szCs w:val="24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jc w:val="center"/>
              <w:rPr>
                <w:color w:val="000000" w:themeColor="text1"/>
                <w:szCs w:val="24"/>
              </w:rPr>
            </w:pPr>
          </w:p>
        </w:tc>
      </w:tr>
      <w:tr w:rsidR="00486DFF" w:rsidTr="001E3259">
        <w:trPr>
          <w:gridAfter w:val="1"/>
          <w:wAfter w:w="23" w:type="dxa"/>
          <w:trHeight w:val="397"/>
          <w:jc w:val="center"/>
        </w:trPr>
        <w:tc>
          <w:tcPr>
            <w:tcW w:w="1165" w:type="dxa"/>
            <w:gridSpan w:val="2"/>
            <w:vMerge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属于消防安全重点单位的养老机构，未应用单位消防安全管理系统的，扣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2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分。未依托系统录入基础信息、日常消防安全管理工作开展情况的，每有一例扣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0.1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分，最多扣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1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分。</w:t>
            </w:r>
          </w:p>
        </w:tc>
        <w:tc>
          <w:tcPr>
            <w:tcW w:w="1922" w:type="dxa"/>
            <w:gridSpan w:val="2"/>
            <w:vMerge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</w:p>
        </w:tc>
        <w:tc>
          <w:tcPr>
            <w:tcW w:w="837" w:type="dxa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jc w:val="center"/>
              <w:rPr>
                <w:color w:val="000000" w:themeColor="text1"/>
                <w:szCs w:val="24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jc w:val="center"/>
              <w:rPr>
                <w:color w:val="000000" w:themeColor="text1"/>
                <w:szCs w:val="24"/>
              </w:rPr>
            </w:pPr>
          </w:p>
        </w:tc>
      </w:tr>
      <w:tr w:rsidR="00486DFF" w:rsidTr="001E3259">
        <w:trPr>
          <w:gridAfter w:val="1"/>
          <w:wAfter w:w="23" w:type="dxa"/>
          <w:trHeight w:val="397"/>
          <w:jc w:val="center"/>
        </w:trPr>
        <w:tc>
          <w:tcPr>
            <w:tcW w:w="1165" w:type="dxa"/>
            <w:gridSpan w:val="2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消防档案</w:t>
            </w:r>
          </w:p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管理</w:t>
            </w:r>
          </w:p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（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2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分）</w:t>
            </w: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属于消防安全重点单位的养老机构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，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未建立消防档案（运用单位消防安全管理系统等建立电子档案并实时录入、更新且保证数据长期保存的，可不建立纸质消防档案）的，扣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1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分。档案种类或内容不全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  <w:vertAlign w:val="superscript"/>
              </w:rPr>
              <w:t>[8]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的，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每有一例扣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0.1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分，最多扣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1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分。</w:t>
            </w:r>
          </w:p>
        </w:tc>
        <w:tc>
          <w:tcPr>
            <w:tcW w:w="1922" w:type="dxa"/>
            <w:gridSpan w:val="2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w w:val="90"/>
                <w:sz w:val="18"/>
                <w:szCs w:val="18"/>
              </w:rPr>
              <w:t>查阅消防安全管理资料</w:t>
            </w:r>
          </w:p>
        </w:tc>
        <w:tc>
          <w:tcPr>
            <w:tcW w:w="837" w:type="dxa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jc w:val="center"/>
              <w:rPr>
                <w:color w:val="000000" w:themeColor="text1"/>
                <w:szCs w:val="24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jc w:val="center"/>
              <w:rPr>
                <w:color w:val="000000" w:themeColor="text1"/>
                <w:szCs w:val="24"/>
              </w:rPr>
            </w:pPr>
          </w:p>
        </w:tc>
      </w:tr>
      <w:tr w:rsidR="00486DFF" w:rsidTr="001E3259">
        <w:trPr>
          <w:gridAfter w:val="1"/>
          <w:wAfter w:w="23" w:type="dxa"/>
          <w:trHeight w:val="397"/>
          <w:jc w:val="center"/>
        </w:trPr>
        <w:tc>
          <w:tcPr>
            <w:tcW w:w="1165" w:type="dxa"/>
            <w:gridSpan w:val="2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其他消防安全要求</w:t>
            </w:r>
          </w:p>
        </w:tc>
        <w:tc>
          <w:tcPr>
            <w:tcW w:w="8692" w:type="dxa"/>
            <w:gridSpan w:val="6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1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、未依法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通过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消防验收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（备案）或相关部门联合签字确认的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；</w:t>
            </w:r>
          </w:p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2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、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养老机构设置在非法建筑以及生产储存经营易燃易爆危险品场所、厂房和仓库、大型商场市场等建筑内或与工业建筑组合建造的；</w:t>
            </w:r>
          </w:p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3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、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存在重大火灾隐患尚未整改销案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，或对负有消防监督管理职责的部门、民政部门检查发现的火灾隐患拒不整改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的；</w:t>
            </w:r>
          </w:p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4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、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年内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发生亡人或有影响火灾事故的。</w:t>
            </w:r>
          </w:p>
        </w:tc>
        <w:tc>
          <w:tcPr>
            <w:tcW w:w="1922" w:type="dxa"/>
            <w:gridSpan w:val="2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jc w:val="left"/>
              <w:rPr>
                <w:rFonts w:eastAsia="方正仿宋_GBK"/>
                <w:color w:val="000000" w:themeColor="text1"/>
                <w:w w:val="90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w w:val="90"/>
                <w:sz w:val="18"/>
                <w:szCs w:val="18"/>
              </w:rPr>
              <w:t>查阅消防安全管理资料，现场检查</w:t>
            </w:r>
          </w:p>
        </w:tc>
        <w:tc>
          <w:tcPr>
            <w:tcW w:w="837" w:type="dxa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jc w:val="center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1131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jc w:val="center"/>
              <w:rPr>
                <w:color w:val="000000" w:themeColor="text1"/>
                <w:szCs w:val="24"/>
              </w:rPr>
            </w:pPr>
          </w:p>
        </w:tc>
        <w:tc>
          <w:tcPr>
            <w:tcW w:w="1062" w:type="dxa"/>
            <w:gridSpan w:val="2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jc w:val="center"/>
              <w:rPr>
                <w:color w:val="000000" w:themeColor="text1"/>
                <w:szCs w:val="24"/>
              </w:rPr>
            </w:pPr>
          </w:p>
        </w:tc>
      </w:tr>
      <w:tr w:rsidR="00486DFF" w:rsidTr="001E3259">
        <w:trPr>
          <w:gridAfter w:val="1"/>
          <w:wAfter w:w="23" w:type="dxa"/>
          <w:trHeight w:val="397"/>
          <w:jc w:val="center"/>
        </w:trPr>
        <w:tc>
          <w:tcPr>
            <w:tcW w:w="14809" w:type="dxa"/>
            <w:gridSpan w:val="15"/>
            <w:vAlign w:val="center"/>
          </w:tcPr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jc w:val="left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备注：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1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、各项目扣分总值不超过本项分值；</w:t>
            </w:r>
          </w:p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ind w:firstLineChars="300" w:firstLine="540"/>
              <w:rPr>
                <w:rFonts w:eastAsia="方正仿宋_GBK"/>
                <w:color w:val="000000" w:themeColor="text1"/>
                <w:sz w:val="18"/>
                <w:szCs w:val="18"/>
              </w:rPr>
            </w:pPr>
            <w:r>
              <w:rPr>
                <w:rFonts w:eastAsia="方正仿宋_GBK"/>
                <w:color w:val="000000" w:themeColor="text1"/>
                <w:sz w:val="18"/>
                <w:szCs w:val="18"/>
              </w:rPr>
              <w:t>2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、消防安全标准化管理达标建设结果分为达标、不达标两个等级；评定要素分为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A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（严重缺陷）、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B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（重缺陷）、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C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（轻缺陷）三类，机构有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1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个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A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类项目的即为不达标；综合评定</w:t>
            </w:r>
          </w:p>
          <w:p w:rsidR="00486DFF" w:rsidRDefault="00486DFF" w:rsidP="001E3259">
            <w:pPr>
              <w:overflowPunct w:val="0"/>
              <w:topLinePunct/>
              <w:adjustRightInd w:val="0"/>
              <w:snapToGrid w:val="0"/>
              <w:spacing w:line="290" w:lineRule="exact"/>
              <w:ind w:firstLineChars="450" w:firstLine="810"/>
              <w:rPr>
                <w:color w:val="000000" w:themeColor="text1"/>
                <w:szCs w:val="24"/>
              </w:rPr>
            </w:pP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lastRenderedPageBreak/>
              <w:t>得分在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90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分以上，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B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类缺陷不超过</w:t>
            </w:r>
            <w:r>
              <w:rPr>
                <w:rFonts w:eastAsia="方正仿宋_GBK"/>
                <w:color w:val="000000" w:themeColor="text1"/>
                <w:sz w:val="18"/>
                <w:szCs w:val="18"/>
              </w:rPr>
              <w:t>5</w:t>
            </w:r>
            <w:r>
              <w:rPr>
                <w:rFonts w:eastAsia="方正仿宋_GBK" w:hint="eastAsia"/>
                <w:color w:val="000000" w:themeColor="text1"/>
                <w:sz w:val="18"/>
                <w:szCs w:val="18"/>
              </w:rPr>
              <w:t>个的为达标。</w:t>
            </w:r>
          </w:p>
        </w:tc>
      </w:tr>
    </w:tbl>
    <w:p w:rsidR="00486DFF" w:rsidRDefault="00486DFF" w:rsidP="00486DFF">
      <w:pPr>
        <w:overflowPunct w:val="0"/>
        <w:topLinePunct/>
        <w:adjustRightInd w:val="0"/>
        <w:snapToGrid w:val="0"/>
        <w:spacing w:line="2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  <w:sectPr w:rsidR="00486DFF">
          <w:pgSz w:w="16838" w:h="11906" w:orient="landscape"/>
          <w:pgMar w:top="1531" w:right="1134" w:bottom="1417" w:left="1134" w:header="851" w:footer="1134" w:gutter="0"/>
          <w:cols w:space="0"/>
          <w:docGrid w:linePitch="312"/>
        </w:sectPr>
      </w:pPr>
    </w:p>
    <w:p w:rsidR="00386F87" w:rsidRPr="00486DFF" w:rsidRDefault="00386F87">
      <w:bookmarkStart w:id="0" w:name="_GoBack"/>
      <w:bookmarkEnd w:id="0"/>
    </w:p>
    <w:sectPr w:rsidR="00386F87" w:rsidRPr="00486DFF" w:rsidSect="00486DFF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72A8E" w:rsidRDefault="00772A8E" w:rsidP="00486DFF">
      <w:r>
        <w:separator/>
      </w:r>
    </w:p>
  </w:endnote>
  <w:endnote w:type="continuationSeparator" w:id="0">
    <w:p w:rsidR="00772A8E" w:rsidRDefault="00772A8E" w:rsidP="00486D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72A8E" w:rsidRDefault="00772A8E" w:rsidP="00486DFF">
      <w:r>
        <w:separator/>
      </w:r>
    </w:p>
  </w:footnote>
  <w:footnote w:type="continuationSeparator" w:id="0">
    <w:p w:rsidR="00772A8E" w:rsidRDefault="00772A8E" w:rsidP="00486DF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2AE0"/>
    <w:rsid w:val="00162AE0"/>
    <w:rsid w:val="00386F87"/>
    <w:rsid w:val="00486DFF"/>
    <w:rsid w:val="00772A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96FE956E-810B-491C-86CF-F035B9E4D6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86DF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86DF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486DFF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486DF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486DFF"/>
    <w:rPr>
      <w:sz w:val="18"/>
      <w:szCs w:val="18"/>
    </w:rPr>
  </w:style>
  <w:style w:type="table" w:styleId="a7">
    <w:name w:val="Table Grid"/>
    <w:basedOn w:val="a1"/>
    <w:qFormat/>
    <w:rsid w:val="00486DFF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1015</Words>
  <Characters>5789</Characters>
  <Application>Microsoft Office Word</Application>
  <DocSecurity>0</DocSecurity>
  <Lines>48</Lines>
  <Paragraphs>13</Paragraphs>
  <ScaleCrop>false</ScaleCrop>
  <Company/>
  <LinksUpToDate>false</LinksUpToDate>
  <CharactersWithSpaces>6791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2023-08-29T07:11:00Z</dcterms:created>
  <dcterms:modified xsi:type="dcterms:W3CDTF">2023-08-29T07:11:00Z</dcterms:modified>
</cp:coreProperties>
</file>