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4"/>
        <w:tblW w:w="1040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54" w:hRule="atLeast"/>
        </w:trPr>
        <w:tc>
          <w:tcPr>
            <w:tcW w:w="10402" w:type="dxa"/>
            <w:tcBorders>
              <w:top w:val="nil"/>
              <w:left w:val="nil"/>
              <w:bottom w:val="nil"/>
              <w:right w:val="nil"/>
            </w:tcBorders>
          </w:tcPr>
          <w:p>
            <w:pPr>
              <w:pStyle w:val="8"/>
              <w:spacing w:line="550" w:lineRule="exact"/>
              <w:rPr>
                <w:rFonts w:hint="eastAsia" w:ascii="仿宋" w:hAnsi="仿宋" w:eastAsia="仿宋" w:cs="仿宋"/>
                <w:b/>
                <w:bCs/>
                <w:color w:val="FF0000"/>
                <w:sz w:val="22"/>
                <w:szCs w:val="22"/>
                <w:vertAlign w:val="baseline"/>
              </w:rPr>
            </w:pP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45" w:hRule="atLeast"/>
        </w:trPr>
        <w:tc>
          <w:tcPr>
            <w:tcW w:w="10402" w:type="dxa"/>
            <w:tcBorders>
              <w:top w:val="nil"/>
              <w:left w:val="nil"/>
              <w:bottom w:val="nil"/>
              <w:right w:val="nil"/>
            </w:tcBorders>
            <w:vAlign w:val="center"/>
          </w:tcPr>
          <w:p>
            <w:pPr>
              <w:ind w:right="284" w:rightChars="129"/>
              <w:jc w:val="center"/>
              <w:rPr>
                <w:rFonts w:hint="eastAsia" w:ascii="仿宋" w:hAnsi="仿宋" w:eastAsia="仿宋" w:cs="仿宋"/>
                <w:b/>
                <w:bCs/>
                <w:color w:val="FF0000"/>
                <w:sz w:val="22"/>
                <w:szCs w:val="22"/>
                <w:vertAlign w:val="baseline"/>
              </w:rPr>
            </w:pPr>
            <w:r>
              <w:rPr>
                <w:rFonts w:ascii="宋体" w:hAnsi="宋体" w:eastAsia="宋体" w:cs="宋体"/>
                <w:b/>
                <w:sz w:val="52"/>
              </w:rPr>
              <w:t>2020年度</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江苏省民政干部学校</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单位决算公开</w:t>
            </w:r>
          </w:p>
        </w:tc>
      </w:tr>
    </w:tbl>
    <w:p>
      <w:pPr>
        <w:ind w:right="284" w:rightChars="129"/>
        <w:jc w:val="both"/>
        <w:rPr>
          <w:rFonts w:hint="eastAsia" w:ascii="宋体" w:hAnsi="宋体" w:eastAsia="宋体" w:cs="宋体"/>
          <w:b/>
          <w:bCs/>
          <w:sz w:val="52"/>
          <w:szCs w:val="52"/>
        </w:rPr>
        <w:sectPr>
          <w:headerReference r:id="rId4" w:type="first"/>
          <w:headerReference r:id="rId3"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tabs>
          <w:tab w:val="left" w:pos="880"/>
        </w:tabs>
        <w:spacing w:line="718" w:lineRule="exact"/>
        <w:ind w:right="313" w:firstLine="0"/>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spacing w:before="7" w:after="0"/>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b/>
          <w:bCs/>
        </w:rPr>
        <w:t xml:space="preserve">第一部分 </w:t>
      </w:r>
      <w:r>
        <w:rPr>
          <w:rFonts w:hint="eastAsia" w:ascii="仿宋" w:hAnsi="仿宋" w:eastAsia="仿宋" w:cs="仿宋"/>
          <w:b/>
          <w:bCs/>
          <w:lang w:val="en-US" w:eastAsia="zh-CN"/>
        </w:rPr>
        <w:t>单位</w:t>
      </w:r>
      <w:r>
        <w:rPr>
          <w:rFonts w:hint="eastAsia" w:ascii="仿宋" w:hAnsi="仿宋" w:eastAsia="仿宋" w:cs="仿宋"/>
          <w:b/>
          <w:bCs/>
        </w:rPr>
        <w:t>概况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机构设置及决算单位构成情况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三、2020年度主要工作完成情况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b/>
          <w:bCs/>
        </w:rPr>
      </w:pPr>
      <w:r>
        <w:rPr>
          <w:rFonts w:hint="eastAsia" w:ascii="仿宋" w:hAnsi="仿宋" w:eastAsia="仿宋" w:cs="仿宋"/>
          <w:b/>
          <w:bCs/>
          <w:lang w:val="en-US" w:eastAsia="zh-CN"/>
        </w:rPr>
        <w:t xml:space="preserve">第二部分 </w:t>
      </w:r>
      <w:r>
        <w:rPr>
          <w:rFonts w:hint="eastAsia" w:ascii="仿宋" w:hAnsi="仿宋" w:eastAsia="仿宋" w:cs="仿宋"/>
          <w:b/>
          <w:bCs/>
          <w:color w:val="000000"/>
          <w:sz w:val="30"/>
          <w:szCs w:val="30"/>
          <w:lang w:val="en-US" w:eastAsia="zh-CN" w:bidi="ar"/>
        </w:rPr>
        <w:t>2020</w:t>
      </w:r>
      <w:r>
        <w:rPr>
          <w:rFonts w:hint="eastAsia" w:ascii="仿宋" w:hAnsi="仿宋" w:eastAsia="仿宋" w:cs="仿宋"/>
          <w:b/>
          <w:bCs/>
          <w:lang w:val="en-US" w:eastAsia="zh-CN"/>
        </w:rPr>
        <w:t>年度</w:t>
      </w:r>
      <w:r>
        <w:rPr>
          <w:rFonts w:ascii="仿宋" w:hAnsi="仿宋" w:eastAsia="仿宋" w:cs="仿宋"/>
          <w:b/>
        </w:rPr>
        <w:t>单位决算表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spacing w:val="-2"/>
        </w:rPr>
        <w:t>一、收入支出决算总表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rPr>
        <w:t>二、收入决算表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w w:val="95"/>
        </w:rPr>
        <w:t>三、支出决算表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六、财政拨款基本支出决算表（经济科目） 七、一般公共预算支出决算表（功能科目）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八、一般公共预算基本支出决算表（经济科目）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十、政府性基金预算收入支出决算表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十一、一般公共预算机关运行经费支出决算表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十二、政府采购支出决算表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b/>
          <w:bCs/>
          <w:color w:val="000000"/>
          <w:sz w:val="30"/>
          <w:szCs w:val="30"/>
          <w:lang w:val="en-US" w:bidi="ar"/>
        </w:rPr>
      </w:pPr>
      <w:r>
        <w:rPr>
          <w:rFonts w:hint="eastAsia" w:ascii="仿宋" w:hAnsi="仿宋" w:eastAsia="仿宋" w:cs="仿宋"/>
          <w:b/>
          <w:bCs/>
          <w:lang w:val="en-US"/>
        </w:rPr>
        <w:t xml:space="preserve">第三部分 </w:t>
      </w:r>
      <w:r>
        <w:rPr>
          <w:rFonts w:hint="eastAsia" w:ascii="仿宋" w:hAnsi="仿宋" w:eastAsia="仿宋" w:cs="仿宋"/>
          <w:b/>
          <w:bCs/>
          <w:color w:val="000000"/>
          <w:sz w:val="30"/>
          <w:szCs w:val="30"/>
          <w:lang w:val="en-US" w:bidi="ar"/>
        </w:rPr>
        <w:t>2020年度</w:t>
      </w:r>
      <w:r>
        <w:rPr>
          <w:rFonts w:ascii="仿宋" w:hAnsi="仿宋" w:eastAsia="仿宋" w:cs="仿宋"/>
          <w:b/>
          <w:color w:val="000000"/>
          <w:sz w:val="30"/>
        </w:rPr>
        <w:t>单位</w:t>
      </w:r>
      <w:r>
        <w:rPr>
          <w:rFonts w:hint="eastAsia" w:ascii="仿宋" w:hAnsi="仿宋" w:eastAsia="仿宋" w:cs="仿宋"/>
          <w:b/>
          <w:bCs/>
          <w:color w:val="000000"/>
          <w:sz w:val="30"/>
          <w:szCs w:val="30"/>
          <w:lang w:val="en-US" w:bidi="ar"/>
        </w:rPr>
        <w:t>决算情况说明</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default" w:ascii="仿宋" w:hAnsi="仿宋" w:eastAsia="仿宋" w:cs="仿宋"/>
          <w:b/>
          <w:bCs/>
          <w:color w:val="000000"/>
          <w:sz w:val="30"/>
          <w:szCs w:val="30"/>
          <w:lang w:val="en-US" w:eastAsia="zh-CN" w:bidi="ar"/>
        </w:rPr>
      </w:pPr>
      <w:r>
        <w:rPr>
          <w:rFonts w:hint="eastAsia" w:ascii="仿宋" w:hAnsi="仿宋" w:eastAsia="仿宋" w:cs="仿宋"/>
          <w:b/>
          <w:bCs/>
          <w:lang w:val="en-US"/>
        </w:rPr>
        <w:t>第</w:t>
      </w:r>
      <w:r>
        <w:rPr>
          <w:rFonts w:hint="eastAsia" w:ascii="仿宋" w:hAnsi="仿宋" w:eastAsia="仿宋" w:cs="仿宋"/>
          <w:b/>
          <w:bCs/>
          <w:lang w:val="en-US" w:eastAsia="zh-CN"/>
        </w:rPr>
        <w:t>四</w:t>
      </w:r>
      <w:r>
        <w:rPr>
          <w:rFonts w:hint="eastAsia" w:ascii="仿宋" w:hAnsi="仿宋" w:eastAsia="仿宋" w:cs="仿宋"/>
          <w:b/>
          <w:bCs/>
          <w:lang w:val="en-US"/>
        </w:rPr>
        <w:t xml:space="preserve">部分 </w:t>
      </w:r>
      <w:r>
        <w:rPr>
          <w:rFonts w:hint="eastAsia" w:ascii="仿宋" w:hAnsi="仿宋" w:eastAsia="仿宋" w:cs="仿宋"/>
          <w:b/>
          <w:bCs/>
          <w:lang w:val="en-US" w:eastAsia="zh-CN"/>
        </w:rPr>
        <w:t>名词解释</w:t>
      </w:r>
    </w:p>
    <w:p>
      <w:pPr>
        <w:pStyle w:val="8"/>
        <w:spacing w:line="235" w:lineRule="auto"/>
        <w:ind w:left="669" w:leftChars="300" w:right="2414" w:hanging="9" w:firstLineChars="0"/>
        <w:jc w:val="both"/>
        <w:rPr>
          <w:rFonts w:hint="eastAsia" w:ascii="仿宋" w:hAnsi="仿宋" w:eastAsia="仿宋" w:cs="仿宋"/>
        </w:rPr>
        <w:sectPr>
          <w:footerReference r:id="rId5"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rPr>
          <w:rFonts w:hint="eastAsia" w:ascii="仿宋" w:hAnsi="仿宋" w:eastAsia="仿宋" w:cs="仿宋"/>
          <w:b/>
          <w:bCs/>
        </w:rPr>
      </w:pPr>
      <w:r>
        <w:rPr>
          <w:rFonts w:hint="eastAsia" w:ascii="仿宋" w:hAnsi="仿宋" w:eastAsia="仿宋" w:cs="仿宋"/>
          <w:b/>
          <w:bCs/>
        </w:rPr>
        <w:t>第一部分</w:t>
      </w:r>
      <w:r>
        <w:rPr>
          <w:rFonts w:hint="eastAsia" w:ascii="仿宋" w:hAnsi="仿宋" w:eastAsia="仿宋" w:cs="仿宋"/>
          <w:b/>
          <w:bCs/>
          <w:lang w:val="en-US" w:eastAsia="zh-CN"/>
        </w:rPr>
        <w:t xml:space="preserve"> </w:t>
      </w:r>
      <w:r>
        <w:rPr>
          <w:rFonts w:hint="eastAsia" w:ascii="仿宋" w:hAnsi="仿宋" w:eastAsia="仿宋" w:cs="仿宋"/>
          <w:b/>
          <w:bCs/>
        </w:rPr>
        <w:t>单位概况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为民政系统干部提供培训服务，系统内在职干部培训。</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二、</w:t>
      </w:r>
      <w:r>
        <w:rPr>
          <w:rFonts w:ascii="仿宋" w:hAnsi="仿宋" w:eastAsia="仿宋" w:cs="仿宋"/>
          <w:b/>
        </w:rPr>
        <w:t>单位</w:t>
      </w:r>
      <w:r>
        <w:rPr>
          <w:rFonts w:hint="eastAsia" w:ascii="仿宋" w:hAnsi="仿宋" w:eastAsia="仿宋" w:cs="仿宋"/>
          <w:b/>
          <w:bCs/>
        </w:rPr>
        <w:t>机构设置及决算单位构成情况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1.</w:t>
      </w: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职责分工，本</w:t>
      </w:r>
      <w:r>
        <w:rPr>
          <w:rFonts w:hint="eastAsia" w:ascii="仿宋" w:hAnsi="仿宋" w:eastAsia="仿宋" w:cs="仿宋"/>
          <w:lang w:val="en-US" w:eastAsia="zh-CN"/>
        </w:rPr>
        <w:t>单位</w:t>
      </w:r>
      <w:r>
        <w:rPr>
          <w:rFonts w:hint="eastAsia" w:ascii="仿宋" w:hAnsi="仿宋" w:eastAsia="仿宋" w:cs="仿宋"/>
        </w:rPr>
        <w:t>内设机构包括</w:t>
      </w:r>
      <w:r>
        <w:rPr>
          <w:rFonts w:hint="eastAsia" w:ascii="仿宋" w:hAnsi="仿宋" w:eastAsia="仿宋" w:cs="仿宋"/>
          <w:lang w:eastAsia="zh-CN"/>
        </w:rPr>
        <w:t>：</w:t>
      </w:r>
      <w:r>
        <w:rPr>
          <w:rFonts w:ascii="仿宋" w:hAnsi="仿宋" w:eastAsia="仿宋" w:cs="仿宋"/>
        </w:rPr>
        <w:t>省民政干校为江苏省民政厅直属事业单位，全额拨款，负责全省民政系统领导干部职工的业务培训工作。内设校长室、办公室、培训科、社工科、人事科、财务科。年末在职人员14人，退休人员15人，聘用人员1人。本单位无下属单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2.</w:t>
      </w:r>
      <w:r>
        <w:rPr>
          <w:rFonts w:hint="eastAsia" w:ascii="仿宋" w:hAnsi="仿宋" w:eastAsia="仿宋" w:cs="仿宋"/>
        </w:rPr>
        <w:t>从决算单位构成看，纳入本</w:t>
      </w:r>
      <w:r>
        <w:rPr>
          <w:rFonts w:hint="eastAsia" w:ascii="仿宋" w:hAnsi="仿宋" w:eastAsia="仿宋" w:cs="仿宋"/>
          <w:lang w:val="en-US" w:eastAsia="zh-CN"/>
        </w:rPr>
        <w:t>单位</w:t>
      </w:r>
      <w:r>
        <w:rPr>
          <w:rFonts w:hint="eastAsia" w:ascii="仿宋" w:hAnsi="仿宋" w:eastAsia="仿宋" w:cs="仿宋"/>
        </w:rPr>
        <w:t>2020年</w:t>
      </w:r>
      <w:r>
        <w:rPr>
          <w:rFonts w:hint="eastAsia" w:ascii="仿宋" w:hAnsi="仿宋" w:eastAsia="仿宋" w:cs="仿宋"/>
          <w:lang w:val="en-US" w:eastAsia="zh-CN"/>
        </w:rPr>
        <w:t>单位</w:t>
      </w:r>
      <w:r>
        <w:rPr>
          <w:rFonts w:hint="eastAsia" w:ascii="仿宋" w:hAnsi="仿宋" w:eastAsia="仿宋" w:cs="仿宋"/>
        </w:rPr>
        <w:t>汇总决算编制范围的预算单位共计</w:t>
      </w:r>
      <w:r>
        <w:rPr>
          <w:rFonts w:ascii="仿宋" w:hAnsi="仿宋" w:eastAsia="仿宋" w:cs="仿宋"/>
        </w:rPr>
        <w:t>1</w:t>
      </w:r>
      <w:r>
        <w:rPr>
          <w:rFonts w:hint="eastAsia" w:ascii="仿宋" w:hAnsi="仿宋" w:eastAsia="仿宋" w:cs="仿宋"/>
        </w:rPr>
        <w:t>家，具体包括：</w:t>
      </w:r>
      <w:r>
        <w:rPr>
          <w:rFonts w:ascii="仿宋" w:hAnsi="仿宋" w:eastAsia="仿宋" w:cs="仿宋"/>
        </w:rPr>
        <w:t>江苏省民政干部学校。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三、2020年度主要工作完成情况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受新冠肺炎疫情影响，今年我校培训业务开展受阻，一是根据全国疫情防控形势、江苏省教育培训工作开展政策和实际培训需求变化，直至今年8月我校才逐步恢复培训工作；二是培训班开办数量明显缩减，全年共举办系统内培训5期，服务1046人次，其中完成组织或人事部门下达的培训4期，培训496人次，全年完成创收任务88.42万元（账面77.16万元）。虽然受到疫情局限较大，但我校在厅党组的领导下及时转变工作思路，主动担当、积极作为、化危为机，业务开展有局限也有突破，传统班次减少的同时，创新班次不断落地。</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是首次探索与浙江大学继续教育学院合作开办民政干部专题培训，进一步积累了与高校深度合作的经验。二是在与高校合作开办社会工作者考前辅导的基础上，首次尝试引进网络教学、线上互动等方式，开办能同时服务500人以上的大规模社会工作培训班，解决了此类培训场地缺乏、教学资源分布不均、学习时间难以统一的问题。同时，我校领导班子团结干事，干部职工不断提高责任意识，努力在下半年推进培训工作，提高会务保障能力，今年平均单次培训人数为200人左右，创历史新高。</w:t>
      </w:r>
    </w:p>
    <w:p>
      <w:pPr>
        <w:pStyle w:val="8"/>
        <w:spacing w:line="235" w:lineRule="auto"/>
        <w:ind w:left="669" w:leftChars="300" w:right="2414" w:hanging="9" w:firstLineChars="0"/>
        <w:jc w:val="both"/>
        <w:rPr>
          <w:rFonts w:hint="eastAsia" w:ascii="仿宋" w:hAnsi="仿宋" w:eastAsia="仿宋" w:cs="仿宋"/>
        </w:rPr>
        <w:sectPr>
          <w:footerReference r:id="rId6"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第二部分</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u w:val="none"/>
        </w:rPr>
        <w:t>江苏省民政干部学校</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2020年度</w:t>
      </w:r>
    </w:p>
    <w:p>
      <w:pPr>
        <w:pStyle w:val="21"/>
        <w:widowControl w:val="0"/>
        <w:tabs>
          <w:tab w:val="left" w:pos="1609"/>
        </w:tabs>
        <w:suppressAutoHyphens/>
        <w:bidi w:val="0"/>
        <w:spacing w:before="12" w:after="0" w:line="300" w:lineRule="auto"/>
        <w:ind w:left="340" w:right="567" w:firstLine="0"/>
        <w:jc w:val="center"/>
        <w:rPr>
          <w:rFonts w:ascii="宋体" w:hAnsi="宋体" w:eastAsia="宋体" w:cs="仿宋"/>
          <w:b/>
          <w:bCs/>
          <w:sz w:val="44"/>
          <w:szCs w:val="44"/>
        </w:rPr>
      </w:pPr>
      <w:r>
        <w:rPr>
          <w:rFonts w:hint="eastAsia" w:ascii="仿宋" w:hAnsi="仿宋" w:eastAsia="仿宋" w:cs="仿宋"/>
          <w:b/>
          <w:bCs/>
          <w:sz w:val="44"/>
          <w:szCs w:val="44"/>
          <w:lang w:val="en-US" w:eastAsia="zh-CN"/>
        </w:rPr>
        <w:t>单位</w:t>
      </w:r>
      <w:r>
        <w:rPr>
          <w:rFonts w:ascii="仿宋" w:hAnsi="仿宋" w:eastAsia="仿宋" w:cs="仿宋"/>
          <w:b/>
          <w:sz w:val="44"/>
        </w:rPr>
        <w:t>决算表</w:t>
      </w:r>
    </w:p>
    <w:tbl>
      <w:tblPr>
        <w:tblStyle w:val="13"/>
        <w:tblW w:w="11331" w:type="dxa"/>
        <w:jc w:val="center"/>
        <w:tblInd w:w="0" w:type="dxa"/>
        <w:tblLayout w:type="fixed"/>
        <w:tblCellMar>
          <w:top w:w="0" w:type="dxa"/>
          <w:left w:w="108" w:type="dxa"/>
          <w:bottom w:w="0" w:type="dxa"/>
          <w:right w:w="108" w:type="dxa"/>
        </w:tblCellMar>
      </w:tblPr>
      <w:tblGrid>
        <w:gridCol w:w="3908"/>
        <w:gridCol w:w="1869"/>
        <w:gridCol w:w="3704"/>
        <w:gridCol w:w="67"/>
        <w:gridCol w:w="1781"/>
        <w:gridCol w:w="2"/>
      </w:tblGrid>
      <w:tr>
        <w:tblPrEx>
          <w:tblLayout w:type="fixed"/>
          <w:tblCellMar>
            <w:top w:w="0" w:type="dxa"/>
            <w:left w:w="108" w:type="dxa"/>
            <w:bottom w:w="0" w:type="dxa"/>
            <w:right w:w="108" w:type="dxa"/>
          </w:tblCellMar>
        </w:tblPrEx>
        <w:trPr>
          <w:trHeight w:val="544" w:hRule="atLeast"/>
          <w:jc w:val="center"/>
        </w:trPr>
        <w:tc>
          <w:tcPr>
            <w:tcW w:w="11329" w:type="dxa"/>
            <w:gridSpan w:val="5"/>
          </w:tcPr>
          <w:p>
            <w:pPr>
              <w:pageBreakBefore/>
              <w:widowControl w:val="0"/>
              <w:ind w:left="0" w:right="0" w:firstLine="0"/>
              <w:jc w:val="center"/>
              <w:textAlignment w:val="auto"/>
              <w:rPr>
                <w:rFonts w:hint="eastAsia" w:ascii="仿宋" w:hAnsi="仿宋" w:eastAsia="仿宋" w:cs="仿宋"/>
                <w:b/>
                <w:bCs/>
                <w:color w:val="000000"/>
              </w:rPr>
            </w:pPr>
            <w:r>
              <w:rPr>
                <w:rFonts w:hint="eastAsia" w:ascii="仿宋" w:hAnsi="仿宋" w:eastAsia="仿宋" w:cs="仿宋"/>
                <w:b/>
                <w:bCs/>
                <w:color w:val="000000"/>
                <w:sz w:val="44"/>
                <w:szCs w:val="44"/>
                <w:lang w:eastAsia="ar-SA"/>
              </w:rPr>
              <w:t>收入支出决算总表</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8" w:hRule="atLeast"/>
          <w:jc w:val="center"/>
        </w:trPr>
        <w:tc>
          <w:tcPr>
            <w:tcW w:w="3908" w:type="dxa"/>
          </w:tcPr>
          <w:p>
            <w:pPr>
              <w:widowControl w:val="0"/>
              <w:ind w:left="0" w:right="0" w:firstLine="0"/>
              <w:jc w:val="left"/>
              <w:textAlignment w:val="auto"/>
              <w:rPr>
                <w:rFonts w:hint="eastAsia" w:ascii="仿宋" w:hAnsi="仿宋" w:eastAsia="仿宋" w:cs="仿宋"/>
                <w:color w:val="000000"/>
                <w:sz w:val="20"/>
              </w:rPr>
            </w:pPr>
          </w:p>
        </w:tc>
        <w:tc>
          <w:tcPr>
            <w:tcW w:w="1869" w:type="dxa"/>
          </w:tcPr>
          <w:p>
            <w:pPr>
              <w:widowControl w:val="0"/>
              <w:ind w:left="0" w:right="0" w:firstLine="0"/>
              <w:jc w:val="left"/>
              <w:textAlignment w:val="auto"/>
              <w:rPr>
                <w:rFonts w:hint="eastAsia" w:ascii="仿宋" w:hAnsi="仿宋" w:eastAsia="仿宋" w:cs="仿宋"/>
                <w:color w:val="000000"/>
                <w:sz w:val="20"/>
              </w:rPr>
            </w:pPr>
          </w:p>
        </w:tc>
        <w:tc>
          <w:tcPr>
            <w:tcW w:w="5552" w:type="dxa"/>
            <w:gridSpan w:val="3"/>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ar-SA"/>
              </w:rPr>
              <w:t>公开01表</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33" w:hRule="atLeast"/>
          <w:jc w:val="center"/>
        </w:trPr>
        <w:tc>
          <w:tcPr>
            <w:tcW w:w="9481"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color w:val="000000"/>
                <w:sz w:val="22"/>
                <w:szCs w:val="22"/>
                <w:lang w:eastAsia="ar-SA"/>
              </w:rPr>
              <w:t>江苏省民政干部学校</w:t>
            </w:r>
          </w:p>
        </w:tc>
        <w:tc>
          <w:tcPr>
            <w:tcW w:w="1848"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rPr>
              <w:t>金额单位：万元</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50" w:hRule="atLeast"/>
          <w:jc w:val="center"/>
        </w:trPr>
        <w:tc>
          <w:tcPr>
            <w:tcW w:w="5777"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收入</w:t>
            </w:r>
          </w:p>
        </w:tc>
        <w:tc>
          <w:tcPr>
            <w:tcW w:w="555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支出</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9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ascii="仿宋" w:hAnsi="仿宋" w:eastAsia="仿宋" w:cs="仿宋"/>
                <w:color w:val="000000"/>
                <w:sz w:val="22"/>
              </w:rPr>
              <w:t>项目</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按功能分类</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386.12</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四、上级补助收入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77.16</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六、经营收入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七、附属单位上缴收入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八、其他收入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382.97</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九、卫生健康支出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十、节能环保支出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十一、城乡社区支出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十二、农林水支出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十三、交通运输支出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十四、资源勘探工业信息等支出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十五、商业服务业等支出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十六、金融支出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十七、援助其他地区支出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十八、自然资源海洋气象等支出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十九、住房保障支出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148.45</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二十、粮油物资储备支出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二十一、国有资本经营预算支出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二十二、灾害防治及应急管理支出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二十三、其他支出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二十四、债务还本支出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二十五、债务付息支出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二十六、抗疫特别国债安排的支出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54"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463.28</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本年支出合计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531.42</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13"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使用非财政拨款结余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68.14</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结余分配</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13"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年初结转和结余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年末结转和结余</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83" w:hRule="atLeast"/>
          <w:jc w:val="center"/>
        </w:trPr>
        <w:tc>
          <w:tcPr>
            <w:tcW w:w="3908"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869"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3771" w:type="dxa"/>
            <w:gridSpan w:val="2"/>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781"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cantSplit/>
          <w:trHeight w:val="454"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531.42</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531.42</w:t>
            </w:r>
          </w:p>
        </w:tc>
        <w:tc>
          <w:tcPr>
            <w:tcW w:w="2" w:type="dxa"/>
          </w:tcPr>
          <w:p>
            <w:pPr>
              <w:widowControl w:val="0"/>
              <w:jc w:val="left"/>
              <w:rPr>
                <w:rFonts w:hint="eastAsia" w:ascii="仿宋" w:hAnsi="仿宋" w:eastAsia="仿宋" w:cs="仿宋"/>
                <w:sz w:val="20"/>
              </w:rPr>
            </w:pPr>
          </w:p>
        </w:tc>
      </w:tr>
    </w:tbl>
    <w:p>
      <w:pPr>
        <w:widowControl w:val="0"/>
        <w:suppressAutoHyphens/>
        <w:bidi w:val="0"/>
        <w:spacing w:before="66" w:after="0"/>
        <w:ind w:left="-440" w:leftChars="-200" w:right="0" w:firstLine="0" w:firstLineChars="0"/>
        <w:jc w:val="left"/>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注：1.本表金额转换为万元时，因四舍五入可能存在尾差。</w:t>
      </w:r>
    </w:p>
    <w:p>
      <w:pPr>
        <w:widowControl w:val="0"/>
        <w:suppressAutoHyphens/>
        <w:bidi w:val="0"/>
        <w:spacing w:before="66" w:after="0"/>
        <w:ind w:right="0"/>
        <w:jc w:val="left"/>
        <w:rPr>
          <w:rFonts w:hint="eastAsia" w:ascii="仿宋" w:hAnsi="仿宋" w:eastAsia="仿宋" w:cs="仿宋"/>
          <w:b/>
          <w:bCs/>
          <w:color w:val="000000"/>
          <w:sz w:val="22"/>
          <w:szCs w:val="22"/>
        </w:rPr>
        <w:sectPr>
          <w:footerReference r:id="rId7"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6121" w:type="dxa"/>
        <w:jc w:val="center"/>
        <w:tblInd w:w="0" w:type="dxa"/>
        <w:tblLayout w:type="fixed"/>
        <w:tblCellMar>
          <w:top w:w="0" w:type="dxa"/>
          <w:left w:w="108" w:type="dxa"/>
          <w:bottom w:w="0" w:type="dxa"/>
          <w:right w:w="108" w:type="dxa"/>
        </w:tblCellMar>
      </w:tblPr>
      <w:tblGrid>
        <w:gridCol w:w="1599"/>
        <w:gridCol w:w="2236"/>
        <w:gridCol w:w="1680"/>
        <w:gridCol w:w="1646"/>
        <w:gridCol w:w="1354"/>
        <w:gridCol w:w="1646"/>
        <w:gridCol w:w="1543"/>
        <w:gridCol w:w="1457"/>
        <w:gridCol w:w="1509"/>
        <w:gridCol w:w="1451"/>
      </w:tblGrid>
      <w:tr>
        <w:tblPrEx>
          <w:tblLayout w:type="fixed"/>
          <w:tblCellMar>
            <w:top w:w="0" w:type="dxa"/>
            <w:left w:w="108" w:type="dxa"/>
            <w:bottom w:w="0" w:type="dxa"/>
            <w:right w:w="108" w:type="dxa"/>
          </w:tblCellMar>
        </w:tblPrEx>
        <w:trPr>
          <w:trHeight w:val="627" w:hRule="atLeast"/>
          <w:jc w:val="center"/>
        </w:trPr>
        <w:tc>
          <w:tcPr>
            <w:tcW w:w="16121" w:type="dxa"/>
            <w:gridSpan w:val="10"/>
            <w:vAlign w:val="center"/>
          </w:tcPr>
          <w:p>
            <w:pPr>
              <w:pStyle w:val="5"/>
              <w:widowControl w:val="0"/>
              <w:rPr>
                <w:rFonts w:hint="eastAsia" w:ascii="仿宋" w:hAnsi="仿宋" w:eastAsia="仿宋" w:cs="仿宋"/>
                <w:b/>
                <w:bCs/>
                <w:sz w:val="44"/>
                <w:szCs w:val="44"/>
                <w:lang w:val="en-US" w:eastAsia="zh-CN"/>
              </w:rPr>
            </w:pPr>
            <w:r>
              <w:rPr>
                <w:rFonts w:hint="eastAsia" w:ascii="仿宋" w:hAnsi="仿宋" w:eastAsia="仿宋" w:cs="仿宋"/>
                <w:b/>
                <w:bCs/>
                <w:sz w:val="44"/>
                <w:szCs w:val="44"/>
              </w:rPr>
              <w:t>收入决算表</w:t>
            </w:r>
          </w:p>
        </w:tc>
      </w:tr>
      <w:tr>
        <w:tblPrEx>
          <w:tblLayout w:type="fixed"/>
          <w:tblCellMar>
            <w:top w:w="0" w:type="dxa"/>
            <w:left w:w="108" w:type="dxa"/>
            <w:bottom w:w="0" w:type="dxa"/>
            <w:right w:w="108" w:type="dxa"/>
          </w:tblCellMar>
        </w:tblPrEx>
        <w:trPr>
          <w:trHeight w:val="314" w:hRule="atLeast"/>
          <w:jc w:val="center"/>
        </w:trPr>
        <w:tc>
          <w:tcPr>
            <w:tcW w:w="3835" w:type="dxa"/>
            <w:gridSpan w:val="2"/>
            <w:vAlign w:val="center"/>
          </w:tcPr>
          <w:p>
            <w:pPr>
              <w:pStyle w:val="22"/>
              <w:widowControl w:val="0"/>
              <w:jc w:val="center"/>
              <w:rPr>
                <w:rFonts w:hint="eastAsia" w:ascii="仿宋" w:hAnsi="仿宋" w:eastAsia="仿宋" w:cs="仿宋"/>
              </w:rPr>
            </w:pPr>
          </w:p>
        </w:tc>
        <w:tc>
          <w:tcPr>
            <w:tcW w:w="1680" w:type="dxa"/>
            <w:vAlign w:val="center"/>
          </w:tcPr>
          <w:p>
            <w:pPr>
              <w:pStyle w:val="22"/>
              <w:widowControl w:val="0"/>
              <w:jc w:val="center"/>
              <w:rPr>
                <w:rFonts w:hint="eastAsia" w:ascii="仿宋" w:hAnsi="仿宋" w:eastAsia="仿宋" w:cs="仿宋"/>
              </w:rPr>
            </w:pPr>
          </w:p>
        </w:tc>
        <w:tc>
          <w:tcPr>
            <w:tcW w:w="1646" w:type="dxa"/>
            <w:vAlign w:val="center"/>
          </w:tcPr>
          <w:p>
            <w:pPr>
              <w:pStyle w:val="22"/>
              <w:widowControl w:val="0"/>
              <w:jc w:val="center"/>
              <w:rPr>
                <w:rFonts w:hint="eastAsia" w:ascii="仿宋" w:hAnsi="仿宋" w:eastAsia="仿宋" w:cs="仿宋"/>
              </w:rPr>
            </w:pPr>
          </w:p>
        </w:tc>
        <w:tc>
          <w:tcPr>
            <w:tcW w:w="1354" w:type="dxa"/>
            <w:vAlign w:val="center"/>
          </w:tcPr>
          <w:p>
            <w:pPr>
              <w:pStyle w:val="22"/>
              <w:widowControl w:val="0"/>
              <w:jc w:val="center"/>
              <w:rPr>
                <w:rFonts w:hint="eastAsia" w:ascii="仿宋" w:hAnsi="仿宋" w:eastAsia="仿宋" w:cs="仿宋"/>
              </w:rPr>
            </w:pPr>
          </w:p>
        </w:tc>
        <w:tc>
          <w:tcPr>
            <w:tcW w:w="3189" w:type="dxa"/>
            <w:gridSpan w:val="2"/>
            <w:vAlign w:val="center"/>
          </w:tcPr>
          <w:p>
            <w:pPr>
              <w:pStyle w:val="22"/>
              <w:widowControl w:val="0"/>
              <w:jc w:val="center"/>
              <w:rPr>
                <w:rFonts w:hint="eastAsia" w:ascii="仿宋" w:hAnsi="仿宋" w:eastAsia="仿宋" w:cs="仿宋"/>
              </w:rPr>
            </w:pPr>
          </w:p>
        </w:tc>
        <w:tc>
          <w:tcPr>
            <w:tcW w:w="1457" w:type="dxa"/>
            <w:vAlign w:val="center"/>
          </w:tcPr>
          <w:p>
            <w:pPr>
              <w:pStyle w:val="22"/>
              <w:widowControl w:val="0"/>
              <w:jc w:val="center"/>
              <w:rPr>
                <w:rFonts w:hint="eastAsia" w:ascii="仿宋" w:hAnsi="仿宋" w:eastAsia="仿宋" w:cs="仿宋"/>
              </w:rPr>
            </w:pPr>
          </w:p>
        </w:tc>
        <w:tc>
          <w:tcPr>
            <w:tcW w:w="296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公开02表</w:t>
            </w:r>
          </w:p>
        </w:tc>
      </w:tr>
      <w:tr>
        <w:tblPrEx>
          <w:tblLayout w:type="fixed"/>
          <w:tblCellMar>
            <w:top w:w="0" w:type="dxa"/>
            <w:left w:w="108" w:type="dxa"/>
            <w:bottom w:w="0" w:type="dxa"/>
            <w:right w:w="108" w:type="dxa"/>
          </w:tblCellMar>
        </w:tblPrEx>
        <w:trPr>
          <w:trHeight w:val="376" w:hRule="atLeast"/>
          <w:jc w:val="center"/>
        </w:trPr>
        <w:tc>
          <w:tcPr>
            <w:tcW w:w="13161" w:type="dxa"/>
            <w:gridSpan w:val="8"/>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江苏省民政干部学校</w:t>
            </w:r>
          </w:p>
        </w:tc>
        <w:tc>
          <w:tcPr>
            <w:tcW w:w="296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Layout w:type="fixed"/>
          <w:tblCellMar>
            <w:top w:w="0" w:type="dxa"/>
            <w:left w:w="108" w:type="dxa"/>
            <w:bottom w:w="0" w:type="dxa"/>
            <w:right w:w="108" w:type="dxa"/>
          </w:tblCellMar>
        </w:tblPrEx>
        <w:trPr>
          <w:cantSplit/>
          <w:trHeight w:val="312" w:hRule="atLeast"/>
          <w:jc w:val="center"/>
        </w:trPr>
        <w:tc>
          <w:tcPr>
            <w:tcW w:w="3835"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w:t>
            </w:r>
          </w:p>
        </w:tc>
        <w:tc>
          <w:tcPr>
            <w:tcW w:w="1680"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本年收入合计</w:t>
            </w:r>
          </w:p>
        </w:tc>
        <w:tc>
          <w:tcPr>
            <w:tcW w:w="1646"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财政拨款收入</w:t>
            </w:r>
          </w:p>
        </w:tc>
        <w:tc>
          <w:tcPr>
            <w:tcW w:w="1354"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上级补助收入</w:t>
            </w:r>
          </w:p>
        </w:tc>
        <w:tc>
          <w:tcPr>
            <w:tcW w:w="318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事业收入</w:t>
            </w:r>
          </w:p>
        </w:tc>
        <w:tc>
          <w:tcPr>
            <w:tcW w:w="145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经营收入</w:t>
            </w:r>
          </w:p>
        </w:tc>
        <w:tc>
          <w:tcPr>
            <w:tcW w:w="1509"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附属单位上缴收入</w:t>
            </w:r>
          </w:p>
        </w:tc>
        <w:tc>
          <w:tcPr>
            <w:tcW w:w="1451"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其他收入</w:t>
            </w:r>
          </w:p>
        </w:tc>
      </w:tr>
      <w:tr>
        <w:tblPrEx>
          <w:tblLayout w:type="fixed"/>
          <w:tblCellMar>
            <w:top w:w="0" w:type="dxa"/>
            <w:left w:w="108" w:type="dxa"/>
            <w:bottom w:w="0" w:type="dxa"/>
            <w:right w:w="108" w:type="dxa"/>
          </w:tblCellMar>
        </w:tblPrEx>
        <w:trPr>
          <w:cantSplit/>
          <w:trHeight w:val="935" w:hRule="atLeast"/>
          <w:jc w:val="center"/>
        </w:trPr>
        <w:tc>
          <w:tcPr>
            <w:tcW w:w="159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23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680"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46"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354"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小计</w:t>
            </w:r>
          </w:p>
        </w:tc>
        <w:tc>
          <w:tcPr>
            <w:tcW w:w="1543"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其中：教育收费</w:t>
            </w:r>
          </w:p>
        </w:tc>
        <w:tc>
          <w:tcPr>
            <w:tcW w:w="1457"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509"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451"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32" w:hRule="exact"/>
          <w:jc w:val="center"/>
        </w:trPr>
        <w:tc>
          <w:tcPr>
            <w:tcW w:w="383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68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463.28</w:t>
            </w:r>
          </w:p>
        </w:tc>
        <w:tc>
          <w:tcPr>
            <w:tcW w:w="164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386.12</w:t>
            </w:r>
          </w:p>
        </w:tc>
        <w:tc>
          <w:tcPr>
            <w:tcW w:w="135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77.16</w:t>
            </w:r>
          </w:p>
        </w:tc>
        <w:tc>
          <w:tcPr>
            <w:tcW w:w="1543"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5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0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51"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316.26</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239.10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77.16</w:t>
            </w: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行政事业单位养老支出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17.09</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17.09</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2080505</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机关事业单位基本养老保险缴费支出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6.77</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6.77</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2080506</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机关事业单位职业年金缴费支出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10.32</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10.32</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20899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299.17</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222.01</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77.16</w:t>
            </w: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2089901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299.17</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222.01</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77.16</w:t>
            </w: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住房保障支出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147.02</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147.02</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22102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住房改革支出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147.02</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147.02</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2210201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住房公积金</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33.12</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33.12</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2210202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提租补贴</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113.90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113.90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suppressAutoHyphens/>
        <w:bidi w:val="0"/>
        <w:spacing w:before="66" w:after="0"/>
        <w:ind w:left="-220" w:leftChars="0" w:right="0" w:firstLine="0" w:firstLineChars="0"/>
        <w:jc w:val="left"/>
        <w:rPr>
          <w:rFonts w:hint="eastAsia" w:ascii="仿宋" w:hAnsi="仿宋" w:eastAsia="仿宋" w:cs="仿宋"/>
          <w:b/>
          <w:bCs/>
          <w:sz w:val="22"/>
          <w:szCs w:val="22"/>
        </w:rPr>
      </w:pPr>
      <w:r>
        <w:rPr>
          <w:rFonts w:hint="eastAsia" w:ascii="仿宋" w:hAnsi="仿宋" w:eastAsia="仿宋" w:cs="仿宋"/>
          <w:b/>
          <w:bCs/>
          <w:color w:val="000000"/>
          <w:sz w:val="22"/>
          <w:szCs w:val="22"/>
        </w:rPr>
        <w:t>注：</w:t>
      </w:r>
      <w:r>
        <w:rPr>
          <w:rFonts w:hint="eastAsia" w:ascii="仿宋" w:hAnsi="仿宋" w:eastAsia="仿宋" w:cs="仿宋"/>
          <w:b/>
          <w:bCs/>
          <w:color w:val="000000"/>
          <w:sz w:val="22"/>
          <w:szCs w:val="22"/>
          <w:lang w:val="en-US" w:eastAsia="zh-CN"/>
        </w:rPr>
        <w:t>1.</w:t>
      </w:r>
      <w:r>
        <w:rPr>
          <w:rFonts w:hint="eastAsia" w:ascii="仿宋" w:hAnsi="仿宋" w:eastAsia="仿宋" w:cs="仿宋"/>
          <w:b/>
          <w:bCs/>
          <w:sz w:val="22"/>
          <w:szCs w:val="22"/>
        </w:rPr>
        <w:t>本表金额转换为万元时，因四舍五入可能存在尾差。</w:t>
      </w:r>
    </w:p>
    <w:p>
      <w:pPr>
        <w:widowControl w:val="0"/>
        <w:suppressAutoHyphens/>
        <w:bidi w:val="0"/>
        <w:spacing w:before="66" w:after="0"/>
        <w:ind w:left="57" w:right="0" w:firstLine="221" w:firstLineChars="100"/>
        <w:jc w:val="left"/>
        <w:rPr>
          <w:rFonts w:hint="eastAsia" w:ascii="仿宋" w:hAnsi="仿宋" w:eastAsia="仿宋" w:cs="仿宋"/>
          <w:b/>
          <w:bCs/>
          <w:sz w:val="22"/>
          <w:szCs w:val="22"/>
        </w:rPr>
        <w:sectPr>
          <w:footerReference r:id="rId8" w:type="default"/>
          <w:pgSz w:w="16838" w:h="11906" w:orient="landscape"/>
          <w:pgMar w:top="720" w:right="720" w:bottom="720" w:left="50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347" w:type="dxa"/>
        <w:tblInd w:w="96" w:type="dxa"/>
        <w:tblLayout w:type="fixed"/>
        <w:tblCellMar>
          <w:top w:w="55" w:type="dxa"/>
          <w:left w:w="55" w:type="dxa"/>
          <w:bottom w:w="55" w:type="dxa"/>
          <w:right w:w="55" w:type="dxa"/>
        </w:tblCellMar>
      </w:tblPr>
      <w:tblGrid>
        <w:gridCol w:w="1556"/>
        <w:gridCol w:w="3223"/>
        <w:gridCol w:w="1920"/>
        <w:gridCol w:w="1714"/>
        <w:gridCol w:w="1749"/>
        <w:gridCol w:w="1868"/>
        <w:gridCol w:w="1680"/>
        <w:gridCol w:w="1637"/>
      </w:tblGrid>
      <w:tr>
        <w:tblPrEx>
          <w:tblLayout w:type="fixed"/>
          <w:tblCellMar>
            <w:top w:w="55" w:type="dxa"/>
            <w:left w:w="55" w:type="dxa"/>
            <w:bottom w:w="55" w:type="dxa"/>
            <w:right w:w="55" w:type="dxa"/>
          </w:tblCellMar>
        </w:tblPrEx>
        <w:trPr>
          <w:trHeight w:val="341" w:hRule="atLeast"/>
        </w:trPr>
        <w:tc>
          <w:tcPr>
            <w:tcW w:w="15347" w:type="dxa"/>
            <w:gridSpan w:val="8"/>
            <w:vAlign w:val="center"/>
          </w:tcPr>
          <w:p>
            <w:pPr>
              <w:pStyle w:val="5"/>
              <w:widowControl w:val="0"/>
              <w:rPr>
                <w:rFonts w:hint="eastAsia" w:ascii="仿宋" w:hAnsi="仿宋" w:eastAsia="仿宋" w:cs="仿宋"/>
                <w:b/>
                <w:bCs/>
                <w:sz w:val="44"/>
                <w:szCs w:val="44"/>
              </w:rPr>
            </w:pPr>
            <w:r>
              <w:rPr>
                <w:rFonts w:hint="eastAsia" w:ascii="仿宋" w:hAnsi="仿宋" w:eastAsia="仿宋" w:cs="仿宋"/>
                <w:b/>
                <w:bCs/>
                <w:sz w:val="44"/>
                <w:szCs w:val="44"/>
              </w:rPr>
              <w:t>支出决算表</w:t>
            </w:r>
          </w:p>
        </w:tc>
      </w:tr>
      <w:tr>
        <w:tblPrEx>
          <w:tblLayout w:type="fixed"/>
          <w:tblCellMar>
            <w:top w:w="55" w:type="dxa"/>
            <w:left w:w="55" w:type="dxa"/>
            <w:bottom w:w="55" w:type="dxa"/>
            <w:right w:w="55" w:type="dxa"/>
          </w:tblCellMar>
        </w:tblPrEx>
        <w:trPr>
          <w:trHeight w:val="321" w:hRule="atLeast"/>
        </w:trPr>
        <w:tc>
          <w:tcPr>
            <w:tcW w:w="4779" w:type="dxa"/>
            <w:gridSpan w:val="2"/>
            <w:vAlign w:val="center"/>
          </w:tcPr>
          <w:p>
            <w:pPr>
              <w:pStyle w:val="22"/>
              <w:widowControl w:val="0"/>
              <w:jc w:val="center"/>
              <w:rPr>
                <w:rFonts w:hint="eastAsia" w:ascii="仿宋" w:hAnsi="仿宋" w:eastAsia="仿宋" w:cs="仿宋"/>
              </w:rPr>
            </w:pPr>
          </w:p>
        </w:tc>
        <w:tc>
          <w:tcPr>
            <w:tcW w:w="1920" w:type="dxa"/>
            <w:vAlign w:val="center"/>
          </w:tcPr>
          <w:p>
            <w:pPr>
              <w:pStyle w:val="22"/>
              <w:widowControl w:val="0"/>
              <w:spacing w:before="0" w:after="0"/>
              <w:ind w:firstLine="0"/>
              <w:jc w:val="center"/>
              <w:rPr>
                <w:rFonts w:hint="eastAsia" w:ascii="仿宋" w:hAnsi="仿宋" w:eastAsia="仿宋" w:cs="仿宋"/>
                <w:sz w:val="20"/>
              </w:rPr>
            </w:pPr>
          </w:p>
        </w:tc>
        <w:tc>
          <w:tcPr>
            <w:tcW w:w="1714" w:type="dxa"/>
            <w:vAlign w:val="center"/>
          </w:tcPr>
          <w:p>
            <w:pPr>
              <w:pStyle w:val="22"/>
              <w:widowControl w:val="0"/>
              <w:spacing w:before="0" w:after="0"/>
              <w:ind w:firstLine="0"/>
              <w:jc w:val="center"/>
              <w:rPr>
                <w:rFonts w:hint="eastAsia" w:ascii="仿宋" w:hAnsi="仿宋" w:eastAsia="仿宋" w:cs="仿宋"/>
                <w:sz w:val="20"/>
              </w:rPr>
            </w:pPr>
          </w:p>
        </w:tc>
        <w:tc>
          <w:tcPr>
            <w:tcW w:w="1749" w:type="dxa"/>
            <w:vAlign w:val="center"/>
          </w:tcPr>
          <w:p>
            <w:pPr>
              <w:pStyle w:val="22"/>
              <w:widowControl w:val="0"/>
              <w:spacing w:before="0" w:after="0"/>
              <w:ind w:firstLine="0"/>
              <w:jc w:val="center"/>
              <w:rPr>
                <w:rFonts w:hint="eastAsia" w:ascii="仿宋" w:hAnsi="仿宋" w:eastAsia="仿宋" w:cs="仿宋"/>
                <w:sz w:val="20"/>
              </w:rPr>
            </w:pPr>
          </w:p>
        </w:tc>
        <w:tc>
          <w:tcPr>
            <w:tcW w:w="1868" w:type="dxa"/>
            <w:vAlign w:val="center"/>
          </w:tcPr>
          <w:p>
            <w:pPr>
              <w:pStyle w:val="22"/>
              <w:widowControl w:val="0"/>
              <w:spacing w:before="0" w:after="0"/>
              <w:ind w:firstLine="0"/>
              <w:jc w:val="center"/>
              <w:rPr>
                <w:rFonts w:hint="eastAsia" w:ascii="仿宋" w:hAnsi="仿宋" w:eastAsia="仿宋" w:cs="仿宋"/>
                <w:sz w:val="20"/>
              </w:rPr>
            </w:pPr>
          </w:p>
        </w:tc>
        <w:tc>
          <w:tcPr>
            <w:tcW w:w="3317"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公开03表</w:t>
            </w:r>
          </w:p>
        </w:tc>
      </w:tr>
      <w:tr>
        <w:tblPrEx>
          <w:tblLayout w:type="fixed"/>
          <w:tblCellMar>
            <w:top w:w="55" w:type="dxa"/>
            <w:left w:w="55" w:type="dxa"/>
            <w:bottom w:w="55" w:type="dxa"/>
            <w:right w:w="55" w:type="dxa"/>
          </w:tblCellMar>
        </w:tblPrEx>
        <w:trPr>
          <w:trHeight w:val="321" w:hRule="atLeast"/>
        </w:trPr>
        <w:tc>
          <w:tcPr>
            <w:tcW w:w="12030" w:type="dxa"/>
            <w:gridSpan w:val="6"/>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江苏省民政干部学校</w:t>
            </w:r>
          </w:p>
        </w:tc>
        <w:tc>
          <w:tcPr>
            <w:tcW w:w="3317"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Layout w:type="fixed"/>
          <w:tblCellMar>
            <w:top w:w="55" w:type="dxa"/>
            <w:left w:w="55" w:type="dxa"/>
            <w:bottom w:w="55" w:type="dxa"/>
            <w:right w:w="55" w:type="dxa"/>
          </w:tblCellMar>
        </w:tblPrEx>
        <w:trPr>
          <w:trHeight w:val="321" w:hRule="atLeast"/>
        </w:trPr>
        <w:tc>
          <w:tcPr>
            <w:tcW w:w="477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kern w:val="0"/>
                <w:sz w:val="22"/>
                <w:szCs w:val="22"/>
              </w:rPr>
              <w:t>项目</w:t>
            </w:r>
          </w:p>
        </w:tc>
        <w:tc>
          <w:tcPr>
            <w:tcW w:w="1920"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本年支出合计</w:t>
            </w:r>
          </w:p>
        </w:tc>
        <w:tc>
          <w:tcPr>
            <w:tcW w:w="1714"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49"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868"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80"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经营支出</w:t>
            </w:r>
          </w:p>
        </w:tc>
        <w:tc>
          <w:tcPr>
            <w:tcW w:w="1637"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Layout w:type="fixed"/>
          <w:tblCellMar>
            <w:top w:w="55" w:type="dxa"/>
            <w:left w:w="55" w:type="dxa"/>
            <w:bottom w:w="55" w:type="dxa"/>
            <w:right w:w="55" w:type="dxa"/>
          </w:tblCellMar>
        </w:tblPrEx>
        <w:trPr>
          <w:trHeight w:val="640" w:hRule="atLeast"/>
        </w:trPr>
        <w:tc>
          <w:tcPr>
            <w:tcW w:w="1556"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kern w:val="0"/>
                <w:sz w:val="22"/>
                <w:szCs w:val="22"/>
              </w:rPr>
            </w:pPr>
            <w:r>
              <w:rPr>
                <w:rFonts w:hint="eastAsia" w:ascii="仿宋" w:hAnsi="仿宋" w:eastAsia="仿宋" w:cs="仿宋"/>
                <w:kern w:val="0"/>
                <w:sz w:val="22"/>
                <w:szCs w:val="22"/>
              </w:rPr>
              <w:t>功能分类</w:t>
            </w:r>
          </w:p>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223"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科目名称</w:t>
            </w:r>
          </w:p>
        </w:tc>
        <w:tc>
          <w:tcPr>
            <w:tcW w:w="1920"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14"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49"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868"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80"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37" w:type="dxa"/>
            <w:vMerge w:val="continue"/>
            <w:tcBorders>
              <w:left w:val="single" w:color="000000" w:sz="4" w:space="0"/>
              <w:bottom w:val="single" w:color="000000" w:sz="4" w:space="0"/>
              <w:right w:val="single" w:color="000000" w:sz="4" w:space="0"/>
            </w:tcBorders>
          </w:tcPr>
          <w:p>
            <w:pPr>
              <w:widowControl w:val="0"/>
              <w:spacing w:before="0" w:after="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403" w:hRule="exact"/>
        </w:trPr>
        <w:tc>
          <w:tcPr>
            <w:tcW w:w="4779"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92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531.42</w:t>
            </w:r>
          </w:p>
        </w:tc>
        <w:tc>
          <w:tcPr>
            <w:tcW w:w="171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459.71</w:t>
            </w:r>
          </w:p>
        </w:tc>
        <w:tc>
          <w:tcPr>
            <w:tcW w:w="174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71.71</w:t>
            </w:r>
          </w:p>
        </w:tc>
        <w:tc>
          <w:tcPr>
            <w:tcW w:w="186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8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37"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382.97</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311.26</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71.71</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行政事业单位养老支出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30.95</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30.95</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机关事业单位基本养老保险缴费支出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20.63</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20.63</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2080506</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机关事业单位职业年金缴费支出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10.32</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10.32</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352.02</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280.31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71.71</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2089901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352.02</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280.31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71.71</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住房保障支出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148.45</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148.45</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22102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住房改革支出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148.45</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148.45</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2210201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住房公积金</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33.12</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33.12</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2210202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提租补贴</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115.33</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115.33</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bl>
    <w:p>
      <w:pPr>
        <w:widowControl w:val="0"/>
        <w:suppressAutoHyphens/>
        <w:bidi w:val="0"/>
        <w:spacing w:before="59" w:after="0"/>
        <w:ind w:left="57" w:right="0" w:firstLine="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本表金额转换为万元时，因四舍五入可能存在尾差。</w:t>
      </w:r>
    </w:p>
    <w:p>
      <w:pPr>
        <w:widowControl w:val="0"/>
        <w:suppressAutoHyphens/>
        <w:bidi w:val="0"/>
        <w:spacing w:before="59" w:after="0"/>
        <w:ind w:left="57" w:right="0" w:firstLine="0"/>
        <w:jc w:val="left"/>
        <w:rPr>
          <w:rFonts w:hint="eastAsia" w:ascii="仿宋" w:hAnsi="仿宋" w:eastAsia="仿宋" w:cs="仿宋"/>
          <w:b/>
          <w:bCs/>
          <w:sz w:val="22"/>
          <w:szCs w:val="22"/>
        </w:rPr>
        <w:sectPr>
          <w:footerReference r:id="rId9"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789" w:type="dxa"/>
        <w:tblInd w:w="-123" w:type="dxa"/>
        <w:tblLayout w:type="fixed"/>
        <w:tblCellMar>
          <w:top w:w="55" w:type="dxa"/>
          <w:left w:w="55" w:type="dxa"/>
          <w:bottom w:w="55" w:type="dxa"/>
          <w:right w:w="55" w:type="dxa"/>
        </w:tblCellMar>
      </w:tblPr>
      <w:tblGrid>
        <w:gridCol w:w="3669"/>
        <w:gridCol w:w="2091"/>
        <w:gridCol w:w="847"/>
        <w:gridCol w:w="1913"/>
        <w:gridCol w:w="754"/>
        <w:gridCol w:w="1800"/>
        <w:gridCol w:w="1275"/>
        <w:gridCol w:w="320"/>
        <w:gridCol w:w="1474"/>
        <w:gridCol w:w="1646"/>
      </w:tblGrid>
      <w:tr>
        <w:tblPrEx>
          <w:tblLayout w:type="fixed"/>
          <w:tblCellMar>
            <w:top w:w="55" w:type="dxa"/>
            <w:left w:w="55" w:type="dxa"/>
            <w:bottom w:w="55" w:type="dxa"/>
            <w:right w:w="55" w:type="dxa"/>
          </w:tblCellMar>
        </w:tblPrEx>
        <w:trPr>
          <w:trHeight w:val="319" w:hRule="atLeast"/>
        </w:trPr>
        <w:tc>
          <w:tcPr>
            <w:tcW w:w="15789" w:type="dxa"/>
            <w:gridSpan w:val="10"/>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财政拨款收入支出决算总表</w:t>
            </w:r>
          </w:p>
        </w:tc>
      </w:tr>
      <w:tr>
        <w:tblPrEx>
          <w:tblLayout w:type="fixed"/>
          <w:tblCellMar>
            <w:top w:w="55" w:type="dxa"/>
            <w:left w:w="55" w:type="dxa"/>
            <w:bottom w:w="55" w:type="dxa"/>
            <w:right w:w="55" w:type="dxa"/>
          </w:tblCellMar>
        </w:tblPrEx>
        <w:trPr>
          <w:trHeight w:val="319" w:hRule="atLeast"/>
        </w:trPr>
        <w:tc>
          <w:tcPr>
            <w:tcW w:w="5760" w:type="dxa"/>
            <w:gridSpan w:val="2"/>
          </w:tcPr>
          <w:p>
            <w:pPr>
              <w:pStyle w:val="22"/>
              <w:widowControl w:val="0"/>
              <w:rPr>
                <w:rFonts w:hint="eastAsia" w:ascii="仿宋" w:hAnsi="仿宋" w:eastAsia="仿宋" w:cs="仿宋"/>
                <w:sz w:val="20"/>
              </w:rPr>
            </w:pPr>
          </w:p>
        </w:tc>
        <w:tc>
          <w:tcPr>
            <w:tcW w:w="847" w:type="dxa"/>
          </w:tcPr>
          <w:p>
            <w:pPr>
              <w:pStyle w:val="22"/>
              <w:widowControl w:val="0"/>
              <w:rPr>
                <w:rFonts w:hint="eastAsia" w:ascii="仿宋" w:hAnsi="仿宋" w:eastAsia="仿宋" w:cs="仿宋"/>
                <w:sz w:val="20"/>
              </w:rPr>
            </w:pPr>
          </w:p>
        </w:tc>
        <w:tc>
          <w:tcPr>
            <w:tcW w:w="1913" w:type="dxa"/>
          </w:tcPr>
          <w:p>
            <w:pPr>
              <w:pStyle w:val="22"/>
              <w:widowControl w:val="0"/>
              <w:rPr>
                <w:rFonts w:hint="eastAsia" w:ascii="仿宋" w:hAnsi="仿宋" w:eastAsia="仿宋" w:cs="仿宋"/>
                <w:sz w:val="20"/>
              </w:rPr>
            </w:pPr>
          </w:p>
        </w:tc>
        <w:tc>
          <w:tcPr>
            <w:tcW w:w="2554" w:type="dxa"/>
            <w:gridSpan w:val="2"/>
          </w:tcPr>
          <w:p>
            <w:pPr>
              <w:pStyle w:val="22"/>
              <w:widowControl w:val="0"/>
              <w:rPr>
                <w:rFonts w:hint="eastAsia" w:ascii="仿宋" w:hAnsi="仿宋" w:eastAsia="仿宋" w:cs="仿宋"/>
                <w:sz w:val="20"/>
              </w:rPr>
            </w:pPr>
          </w:p>
        </w:tc>
        <w:tc>
          <w:tcPr>
            <w:tcW w:w="1275" w:type="dxa"/>
          </w:tcPr>
          <w:p>
            <w:pPr>
              <w:pStyle w:val="22"/>
              <w:widowControl w:val="0"/>
              <w:rPr>
                <w:rFonts w:hint="eastAsia" w:ascii="仿宋" w:hAnsi="仿宋" w:eastAsia="仿宋" w:cs="仿宋"/>
                <w:sz w:val="20"/>
              </w:rPr>
            </w:pPr>
          </w:p>
        </w:tc>
        <w:tc>
          <w:tcPr>
            <w:tcW w:w="3440"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公开04表</w:t>
            </w:r>
          </w:p>
        </w:tc>
      </w:tr>
      <w:tr>
        <w:tblPrEx>
          <w:tblLayout w:type="fixed"/>
          <w:tblCellMar>
            <w:top w:w="55" w:type="dxa"/>
            <w:left w:w="55" w:type="dxa"/>
            <w:bottom w:w="55" w:type="dxa"/>
            <w:right w:w="55" w:type="dxa"/>
          </w:tblCellMar>
        </w:tblPrEx>
        <w:trPr>
          <w:trHeight w:val="319" w:hRule="atLeast"/>
        </w:trPr>
        <w:tc>
          <w:tcPr>
            <w:tcW w:w="12349" w:type="dxa"/>
            <w:gridSpan w:val="7"/>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江苏省民政干部学校</w:t>
            </w:r>
          </w:p>
        </w:tc>
        <w:tc>
          <w:tcPr>
            <w:tcW w:w="3440"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Layout w:type="fixed"/>
          <w:tblCellMar>
            <w:top w:w="55" w:type="dxa"/>
            <w:left w:w="55" w:type="dxa"/>
            <w:bottom w:w="55" w:type="dxa"/>
            <w:right w:w="55" w:type="dxa"/>
          </w:tblCellMar>
        </w:tblPrEx>
        <w:trPr>
          <w:trHeight w:val="319" w:hRule="atLeast"/>
        </w:trPr>
        <w:tc>
          <w:tcPr>
            <w:tcW w:w="5760"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收</w:t>
            </w:r>
            <w:r>
              <w:rPr>
                <w:rFonts w:hint="eastAsia" w:ascii="仿宋" w:hAnsi="仿宋" w:eastAsia="仿宋" w:cs="仿宋"/>
                <w:sz w:val="22"/>
                <w:szCs w:val="22"/>
              </w:rPr>
              <w:tab/>
            </w:r>
            <w:r>
              <w:rPr>
                <w:rFonts w:hint="eastAsia" w:ascii="仿宋" w:hAnsi="仿宋" w:eastAsia="仿宋" w:cs="仿宋"/>
                <w:sz w:val="22"/>
                <w:szCs w:val="22"/>
              </w:rPr>
              <w:t>入</w:t>
            </w:r>
          </w:p>
        </w:tc>
        <w:tc>
          <w:tcPr>
            <w:tcW w:w="10029" w:type="dxa"/>
            <w:gridSpan w:val="8"/>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支</w:t>
            </w:r>
            <w:r>
              <w:rPr>
                <w:rFonts w:hint="eastAsia" w:ascii="仿宋" w:hAnsi="仿宋" w:eastAsia="仿宋" w:cs="仿宋"/>
                <w:sz w:val="22"/>
                <w:szCs w:val="22"/>
              </w:rPr>
              <w:tab/>
            </w:r>
            <w:r>
              <w:rPr>
                <w:rFonts w:hint="eastAsia" w:ascii="仿宋" w:hAnsi="仿宋" w:eastAsia="仿宋" w:cs="仿宋"/>
                <w:sz w:val="22"/>
                <w:szCs w:val="22"/>
              </w:rPr>
              <w:t>出</w:t>
            </w:r>
          </w:p>
        </w:tc>
      </w:tr>
      <w:tr>
        <w:tblPrEx>
          <w:tblLayout w:type="fixed"/>
          <w:tblCellMar>
            <w:top w:w="55" w:type="dxa"/>
            <w:left w:w="55" w:type="dxa"/>
            <w:bottom w:w="55" w:type="dxa"/>
            <w:right w:w="55" w:type="dxa"/>
          </w:tblCellMar>
        </w:tblPrEx>
        <w:trPr>
          <w:trHeight w:val="159" w:hRule="atLeast"/>
        </w:trPr>
        <w:tc>
          <w:tcPr>
            <w:tcW w:w="3669"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2091"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c>
          <w:tcPr>
            <w:tcW w:w="3514" w:type="dxa"/>
            <w:gridSpan w:val="3"/>
            <w:vMerge w:val="restart"/>
            <w:tcBorders>
              <w:left w:val="single" w:color="000000" w:sz="4" w:space="0"/>
              <w:bottom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按功能分类</w:t>
            </w:r>
          </w:p>
        </w:tc>
        <w:tc>
          <w:tcPr>
            <w:tcW w:w="6515" w:type="dxa"/>
            <w:gridSpan w:val="5"/>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r>
      <w:tr>
        <w:tblPrEx>
          <w:tblLayout w:type="fixed"/>
          <w:tblCellMar>
            <w:top w:w="55" w:type="dxa"/>
            <w:left w:w="55" w:type="dxa"/>
            <w:bottom w:w="55" w:type="dxa"/>
            <w:right w:w="55" w:type="dxa"/>
          </w:tblCellMar>
        </w:tblPrEx>
        <w:trPr>
          <w:trHeight w:val="635" w:hRule="atLeast"/>
        </w:trPr>
        <w:tc>
          <w:tcPr>
            <w:tcW w:w="3669"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2091"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3514" w:type="dxa"/>
            <w:gridSpan w:val="3"/>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小计</w:t>
            </w:r>
          </w:p>
        </w:tc>
        <w:tc>
          <w:tcPr>
            <w:tcW w:w="159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一般公共预算财政拨款</w:t>
            </w:r>
          </w:p>
        </w:tc>
        <w:tc>
          <w:tcPr>
            <w:tcW w:w="147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政府性基金预算财政拨款</w:t>
            </w:r>
          </w:p>
        </w:tc>
        <w:tc>
          <w:tcPr>
            <w:tcW w:w="1646"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国有资本经营预算财政拨款</w:t>
            </w: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386.12</w:t>
            </w: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239.10</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239.10</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九、卫生健康支出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十、节能环保支出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十一、城乡社区支出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十二、农林水支出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十三、交通运输支出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十四、资源勘探工业信息等支出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十五、商业服务业等支出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十六、金融支出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十七、援助其他地区支出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十八、自然资源海洋气象等支出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十九、住房保障支出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147.02</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147.02</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二十、粮油物资储备支出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二十一、国有资本经营预算支出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二十二、灾害防治及应急管理支出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二十三、其他支出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二十四、债务还本支出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二十五、债务付息支出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二十六、抗疫特别国债安排的支出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567" w:hRule="exact"/>
        </w:trPr>
        <w:tc>
          <w:tcPr>
            <w:tcW w:w="3669" w:type="dxa"/>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本年收入合计</w:t>
            </w:r>
          </w:p>
        </w:tc>
        <w:tc>
          <w:tcPr>
            <w:tcW w:w="2091"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386.12</w:t>
            </w:r>
          </w:p>
        </w:tc>
        <w:tc>
          <w:tcPr>
            <w:tcW w:w="3514"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1800"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386.12</w:t>
            </w:r>
          </w:p>
        </w:tc>
        <w:tc>
          <w:tcPr>
            <w:tcW w:w="1595" w:type="dxa"/>
            <w:gridSpan w:val="2"/>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386.12</w:t>
            </w:r>
          </w:p>
        </w:tc>
        <w:tc>
          <w:tcPr>
            <w:tcW w:w="1474"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年初财政拨款结转和结余</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年末财政拨款结转和结余</w:t>
            </w: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567" w:hRule="exact"/>
        </w:trPr>
        <w:tc>
          <w:tcPr>
            <w:tcW w:w="36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总计</w:t>
            </w:r>
          </w:p>
        </w:tc>
        <w:tc>
          <w:tcPr>
            <w:tcW w:w="2091"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386.12</w:t>
            </w:r>
          </w:p>
        </w:tc>
        <w:tc>
          <w:tcPr>
            <w:tcW w:w="3514"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总计</w:t>
            </w:r>
          </w:p>
        </w:tc>
        <w:tc>
          <w:tcPr>
            <w:tcW w:w="180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386.12</w:t>
            </w:r>
          </w:p>
        </w:tc>
        <w:tc>
          <w:tcPr>
            <w:tcW w:w="1595" w:type="dxa"/>
            <w:gridSpan w:val="2"/>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386.12</w:t>
            </w:r>
          </w:p>
        </w:tc>
        <w:tc>
          <w:tcPr>
            <w:tcW w:w="147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rPr>
          <w:rFonts w:hint="eastAsia" w:ascii="仿宋" w:hAnsi="仿宋" w:eastAsia="仿宋" w:cs="仿宋"/>
          <w:b/>
          <w:bCs/>
        </w:rPr>
      </w:pPr>
      <w:r>
        <w:rPr>
          <w:rFonts w:hint="eastAsia" w:ascii="仿宋" w:hAnsi="仿宋" w:eastAsia="仿宋" w:cs="仿宋"/>
          <w:b/>
          <w:bCs/>
          <w:lang w:val="en-US" w:eastAsia="zh-CN"/>
        </w:rPr>
        <w:t>注：1.</w:t>
      </w:r>
      <w:r>
        <w:rPr>
          <w:rFonts w:hint="eastAsia" w:ascii="仿宋" w:hAnsi="仿宋" w:eastAsia="仿宋" w:cs="仿宋"/>
          <w:b/>
          <w:bCs/>
        </w:rPr>
        <w:t>本表金额转换为万元时，因四舍五入可能存在尾差。</w:t>
      </w:r>
    </w:p>
    <w:p>
      <w:pPr>
        <w:rPr>
          <w:rFonts w:hint="eastAsia" w:ascii="仿宋" w:hAnsi="仿宋" w:eastAsia="仿宋" w:cs="仿宋"/>
          <w:b/>
          <w:bCs/>
        </w:rPr>
        <w:sectPr>
          <w:footerReference r:id="rId10"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216" w:type="dxa"/>
        <w:tblInd w:w="175" w:type="dxa"/>
        <w:tblLayout w:type="fixed"/>
        <w:tblCellMar>
          <w:top w:w="55" w:type="dxa"/>
          <w:left w:w="55" w:type="dxa"/>
          <w:bottom w:w="55" w:type="dxa"/>
          <w:right w:w="55" w:type="dxa"/>
        </w:tblCellMar>
      </w:tblPr>
      <w:tblGrid>
        <w:gridCol w:w="2045"/>
        <w:gridCol w:w="4137"/>
        <w:gridCol w:w="3171"/>
        <w:gridCol w:w="2778"/>
        <w:gridCol w:w="3085"/>
      </w:tblGrid>
      <w:tr>
        <w:tblPrEx>
          <w:tblLayout w:type="fixed"/>
          <w:tblCellMar>
            <w:top w:w="55" w:type="dxa"/>
            <w:left w:w="55" w:type="dxa"/>
            <w:bottom w:w="55" w:type="dxa"/>
            <w:right w:w="55" w:type="dxa"/>
          </w:tblCellMar>
        </w:tblPrEx>
        <w:trPr>
          <w:trHeight w:val="321" w:hRule="atLeast"/>
        </w:trPr>
        <w:tc>
          <w:tcPr>
            <w:tcW w:w="15216"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财政拨款支出决算表（功能科目）</w:t>
            </w:r>
          </w:p>
        </w:tc>
      </w:tr>
      <w:tr>
        <w:tblPrEx>
          <w:tblLayout w:type="fixed"/>
          <w:tblCellMar>
            <w:top w:w="55" w:type="dxa"/>
            <w:left w:w="55" w:type="dxa"/>
            <w:bottom w:w="55" w:type="dxa"/>
            <w:right w:w="55" w:type="dxa"/>
          </w:tblCellMar>
        </w:tblPrEx>
        <w:trPr>
          <w:trHeight w:val="321" w:hRule="atLeast"/>
        </w:trPr>
        <w:tc>
          <w:tcPr>
            <w:tcW w:w="6182" w:type="dxa"/>
            <w:gridSpan w:val="2"/>
          </w:tcPr>
          <w:p>
            <w:pPr>
              <w:pStyle w:val="22"/>
              <w:widowControl w:val="0"/>
              <w:rPr>
                <w:rFonts w:hint="eastAsia" w:ascii="仿宋" w:hAnsi="仿宋" w:eastAsia="仿宋" w:cs="仿宋"/>
                <w:sz w:val="20"/>
              </w:rPr>
            </w:pPr>
          </w:p>
        </w:tc>
        <w:tc>
          <w:tcPr>
            <w:tcW w:w="3171" w:type="dxa"/>
          </w:tcPr>
          <w:p>
            <w:pPr>
              <w:pStyle w:val="22"/>
              <w:widowControl w:val="0"/>
              <w:rPr>
                <w:rFonts w:hint="eastAsia" w:ascii="仿宋" w:hAnsi="仿宋" w:eastAsia="仿宋" w:cs="仿宋"/>
                <w:sz w:val="27"/>
              </w:rPr>
            </w:pPr>
          </w:p>
        </w:tc>
        <w:tc>
          <w:tcPr>
            <w:tcW w:w="5863" w:type="dxa"/>
            <w:gridSpan w:val="2"/>
            <w:vAlign w:val="center"/>
          </w:tcPr>
          <w:p>
            <w:pPr>
              <w:pStyle w:val="22"/>
              <w:widowControl w:val="0"/>
              <w:jc w:val="right"/>
              <w:rPr>
                <w:rFonts w:hint="eastAsia" w:ascii="仿宋" w:hAnsi="仿宋" w:eastAsia="仿宋" w:cs="仿宋"/>
                <w:sz w:val="27"/>
              </w:rPr>
            </w:pPr>
            <w:r>
              <w:rPr>
                <w:rFonts w:hint="eastAsia" w:ascii="仿宋" w:hAnsi="仿宋" w:eastAsia="仿宋" w:cs="仿宋"/>
              </w:rPr>
              <w:t>公开05表</w:t>
            </w:r>
          </w:p>
        </w:tc>
      </w:tr>
      <w:tr>
        <w:tblPrEx>
          <w:tblLayout w:type="fixed"/>
          <w:tblCellMar>
            <w:top w:w="55" w:type="dxa"/>
            <w:left w:w="55" w:type="dxa"/>
            <w:bottom w:w="55" w:type="dxa"/>
            <w:right w:w="55" w:type="dxa"/>
          </w:tblCellMar>
        </w:tblPrEx>
        <w:trPr>
          <w:trHeight w:val="288" w:hRule="atLeast"/>
        </w:trPr>
        <w:tc>
          <w:tcPr>
            <w:tcW w:w="6182" w:type="dxa"/>
            <w:gridSpan w:val="2"/>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江苏省民政干部学校</w:t>
            </w:r>
          </w:p>
        </w:tc>
        <w:tc>
          <w:tcPr>
            <w:tcW w:w="3171" w:type="dxa"/>
          </w:tcPr>
          <w:p>
            <w:pPr>
              <w:pStyle w:val="22"/>
              <w:widowControl w:val="0"/>
              <w:rPr>
                <w:rFonts w:hint="eastAsia" w:ascii="仿宋" w:hAnsi="仿宋" w:eastAsia="仿宋" w:cs="仿宋"/>
                <w:sz w:val="27"/>
              </w:rPr>
            </w:pPr>
          </w:p>
        </w:tc>
        <w:tc>
          <w:tcPr>
            <w:tcW w:w="2778" w:type="dxa"/>
            <w:vAlign w:val="center"/>
          </w:tcPr>
          <w:p>
            <w:pPr>
              <w:pStyle w:val="22"/>
              <w:widowControl w:val="0"/>
              <w:jc w:val="right"/>
              <w:rPr>
                <w:rFonts w:hint="eastAsia" w:ascii="仿宋" w:hAnsi="仿宋" w:eastAsia="仿宋" w:cs="仿宋"/>
                <w:sz w:val="27"/>
              </w:rPr>
            </w:pPr>
          </w:p>
        </w:tc>
        <w:tc>
          <w:tcPr>
            <w:tcW w:w="3085"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6182"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171"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2778"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3085"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Layout w:type="fixed"/>
          <w:tblCellMar>
            <w:top w:w="55" w:type="dxa"/>
            <w:left w:w="55" w:type="dxa"/>
            <w:bottom w:w="55" w:type="dxa"/>
            <w:right w:w="55" w:type="dxa"/>
          </w:tblCellMar>
        </w:tblPrEx>
        <w:trPr>
          <w:trHeight w:val="341" w:hRule="atLeast"/>
        </w:trPr>
        <w:tc>
          <w:tcPr>
            <w:tcW w:w="2045"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功能分类科目编码</w:t>
            </w:r>
          </w:p>
        </w:tc>
        <w:tc>
          <w:tcPr>
            <w:tcW w:w="413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171"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2778"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3085"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75" w:hRule="atLeast"/>
        </w:trPr>
        <w:tc>
          <w:tcPr>
            <w:tcW w:w="6182"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栏次</w:t>
            </w:r>
          </w:p>
        </w:tc>
        <w:tc>
          <w:tcPr>
            <w:tcW w:w="3171"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1</w:t>
            </w:r>
          </w:p>
        </w:tc>
        <w:tc>
          <w:tcPr>
            <w:tcW w:w="27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2</w:t>
            </w:r>
          </w:p>
        </w:tc>
        <w:tc>
          <w:tcPr>
            <w:tcW w:w="3085"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3</w:t>
            </w:r>
          </w:p>
        </w:tc>
      </w:tr>
      <w:tr>
        <w:tblPrEx>
          <w:tblLayout w:type="fixed"/>
          <w:tblCellMar>
            <w:top w:w="55" w:type="dxa"/>
            <w:left w:w="55" w:type="dxa"/>
            <w:bottom w:w="55" w:type="dxa"/>
            <w:right w:w="55" w:type="dxa"/>
          </w:tblCellMar>
        </w:tblPrEx>
        <w:trPr>
          <w:trHeight w:val="374" w:hRule="exact"/>
        </w:trPr>
        <w:tc>
          <w:tcPr>
            <w:tcW w:w="6182"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171"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386.12</w:t>
            </w:r>
          </w:p>
        </w:tc>
        <w:tc>
          <w:tcPr>
            <w:tcW w:w="2778"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rPr>
              <w:t>386.12</w:t>
            </w:r>
          </w:p>
        </w:tc>
        <w:tc>
          <w:tcPr>
            <w:tcW w:w="3085"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239.10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239.10</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17.09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17.09</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6.77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6.77</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10.32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10.32</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20899</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222.01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222.01</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2089901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222.01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222.01</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147.02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147.02</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住房改革支出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147.02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147.02</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住房公积金</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33.12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33.12</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提租补贴</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113.90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113.90</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bl>
    <w:p>
      <w:pPr>
        <w:widowControl w:val="0"/>
        <w:tabs>
          <w:tab w:val="left" w:pos="220"/>
        </w:tabs>
        <w:suppressAutoHyphens/>
        <w:bidi w:val="0"/>
        <w:spacing w:before="0" w:after="0"/>
        <w:ind w:left="220" w:leftChars="100" w:right="0" w:firstLine="0" w:firstLineChars="0"/>
        <w:jc w:val="both"/>
        <w:rPr>
          <w:rFonts w:hint="eastAsia" w:ascii="仿宋" w:hAnsi="仿宋" w:eastAsia="仿宋" w:cs="仿宋"/>
          <w:b/>
          <w:bCs/>
        </w:rPr>
      </w:pPr>
      <w:r>
        <w:rPr>
          <w:rFonts w:hint="eastAsia" w:ascii="仿宋" w:hAnsi="仿宋" w:eastAsia="仿宋" w:cs="仿宋"/>
          <w:b/>
          <w:bCs/>
        </w:rPr>
        <w:t>注：1.本表反映部门本年度按功能分类财政拨款实际支出情况。财政拨款指一般公共预算财政拨款、政府性基金预算财政拨款和国有资本经营预</w:t>
      </w:r>
    </w:p>
    <w:p>
      <w:pPr>
        <w:widowControl w:val="0"/>
        <w:tabs>
          <w:tab w:val="left" w:pos="55"/>
        </w:tabs>
        <w:suppressAutoHyphens/>
        <w:bidi w:val="0"/>
        <w:spacing w:before="0" w:after="0"/>
        <w:ind w:right="0" w:firstLine="663" w:firstLineChars="300"/>
        <w:jc w:val="both"/>
        <w:rPr>
          <w:rFonts w:hint="eastAsia" w:ascii="仿宋" w:hAnsi="仿宋" w:eastAsia="仿宋" w:cs="仿宋"/>
          <w:b/>
          <w:bCs/>
        </w:rPr>
      </w:pPr>
      <w:r>
        <w:rPr>
          <w:rFonts w:hint="eastAsia" w:ascii="仿宋" w:hAnsi="仿宋" w:eastAsia="仿宋" w:cs="仿宋"/>
          <w:b/>
          <w:bCs/>
        </w:rPr>
        <w:t>算财政拨款。</w:t>
      </w:r>
    </w:p>
    <w:p>
      <w:pPr>
        <w:widowControl w:val="0"/>
        <w:numPr>
          <w:ilvl w:val="0"/>
          <w:numId w:val="1"/>
        </w:numPr>
        <w:tabs>
          <w:tab w:val="left" w:pos="55"/>
          <w:tab w:val="clear" w:pos="312"/>
        </w:tabs>
        <w:suppressAutoHyphens/>
        <w:bidi w:val="0"/>
        <w:spacing w:before="0" w:after="0"/>
        <w:ind w:left="660" w:leftChars="0" w:right="0" w:firstLine="0" w:firstLineChars="0"/>
        <w:jc w:val="both"/>
        <w:rPr>
          <w:rFonts w:hint="eastAsia" w:ascii="仿宋" w:hAnsi="仿宋" w:eastAsia="仿宋" w:cs="仿宋"/>
          <w:b/>
          <w:bCs/>
        </w:rPr>
      </w:pPr>
      <w:r>
        <w:rPr>
          <w:rFonts w:hint="eastAsia" w:ascii="仿宋" w:hAnsi="仿宋" w:eastAsia="仿宋" w:cs="仿宋"/>
          <w:b/>
          <w:bCs/>
        </w:rPr>
        <w:t>本表金额转换为万元时，因四舍五入可能存在尾差。</w:t>
      </w:r>
    </w:p>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bCs/>
        </w:rPr>
        <w:sectPr>
          <w:footerReference r:id="rId11"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rPr>
          <w:rFonts w:hint="eastAsia" w:ascii="仿宋" w:hAnsi="仿宋" w:eastAsia="仿宋" w:cs="仿宋"/>
          <w:sz w:val="20"/>
        </w:rPr>
      </w:pPr>
    </w:p>
    <w:tbl>
      <w:tblPr>
        <w:tblStyle w:val="13"/>
        <w:tblW w:w="10817" w:type="dxa"/>
        <w:tblInd w:w="-103" w:type="dxa"/>
        <w:tblLayout w:type="fixed"/>
        <w:tblCellMar>
          <w:top w:w="55" w:type="dxa"/>
          <w:left w:w="55" w:type="dxa"/>
          <w:bottom w:w="55" w:type="dxa"/>
          <w:right w:w="55" w:type="dxa"/>
        </w:tblCellMar>
      </w:tblPr>
      <w:tblGrid>
        <w:gridCol w:w="1131"/>
        <w:gridCol w:w="3542"/>
        <w:gridCol w:w="2047"/>
        <w:gridCol w:w="2040"/>
        <w:gridCol w:w="2057"/>
      </w:tblGrid>
      <w:tr>
        <w:tblPrEx>
          <w:tblLayout w:type="fixed"/>
          <w:tblCellMar>
            <w:top w:w="55" w:type="dxa"/>
            <w:left w:w="55" w:type="dxa"/>
            <w:bottom w:w="55" w:type="dxa"/>
            <w:right w:w="55" w:type="dxa"/>
          </w:tblCellMar>
        </w:tblPrEx>
        <w:trPr>
          <w:trHeight w:val="319" w:hRule="atLeast"/>
        </w:trPr>
        <w:tc>
          <w:tcPr>
            <w:tcW w:w="10817"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财政拨款基本支出决算表（经济科目）</w:t>
            </w:r>
          </w:p>
        </w:tc>
      </w:tr>
      <w:tr>
        <w:tblPrEx>
          <w:tblLayout w:type="fixed"/>
          <w:tblCellMar>
            <w:top w:w="55" w:type="dxa"/>
            <w:left w:w="55" w:type="dxa"/>
            <w:bottom w:w="55" w:type="dxa"/>
            <w:right w:w="55" w:type="dxa"/>
          </w:tblCellMar>
        </w:tblPrEx>
        <w:trPr>
          <w:trHeight w:val="319" w:hRule="atLeast"/>
        </w:trPr>
        <w:tc>
          <w:tcPr>
            <w:tcW w:w="4673" w:type="dxa"/>
            <w:gridSpan w:val="2"/>
          </w:tcPr>
          <w:p>
            <w:pPr>
              <w:pStyle w:val="22"/>
              <w:widowControl w:val="0"/>
              <w:rPr>
                <w:rFonts w:hint="eastAsia" w:ascii="仿宋" w:hAnsi="仿宋" w:eastAsia="仿宋" w:cs="仿宋"/>
                <w:sz w:val="20"/>
              </w:rPr>
            </w:pPr>
          </w:p>
        </w:tc>
        <w:tc>
          <w:tcPr>
            <w:tcW w:w="2047" w:type="dxa"/>
          </w:tcPr>
          <w:p>
            <w:pPr>
              <w:pStyle w:val="22"/>
              <w:widowControl w:val="0"/>
              <w:rPr>
                <w:rFonts w:hint="eastAsia" w:ascii="仿宋" w:hAnsi="仿宋" w:eastAsia="仿宋" w:cs="仿宋"/>
                <w:sz w:val="20"/>
              </w:rPr>
            </w:pPr>
          </w:p>
        </w:tc>
        <w:tc>
          <w:tcPr>
            <w:tcW w:w="2040" w:type="dxa"/>
          </w:tcPr>
          <w:p>
            <w:pPr>
              <w:pStyle w:val="22"/>
              <w:widowControl w:val="0"/>
              <w:rPr>
                <w:rFonts w:hint="eastAsia" w:ascii="仿宋" w:hAnsi="仿宋" w:eastAsia="仿宋" w:cs="仿宋"/>
                <w:sz w:val="20"/>
              </w:rPr>
            </w:pP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公开06表</w:t>
            </w:r>
          </w:p>
        </w:tc>
      </w:tr>
      <w:tr>
        <w:tblPrEx>
          <w:tblLayout w:type="fixed"/>
          <w:tblCellMar>
            <w:top w:w="55" w:type="dxa"/>
            <w:left w:w="55" w:type="dxa"/>
            <w:bottom w:w="55" w:type="dxa"/>
            <w:right w:w="55" w:type="dxa"/>
          </w:tblCellMar>
        </w:tblPrEx>
        <w:trPr>
          <w:trHeight w:val="319" w:hRule="atLeast"/>
        </w:trPr>
        <w:tc>
          <w:tcPr>
            <w:tcW w:w="8760"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江苏省民政干部学校</w:t>
            </w: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43" w:hRule="atLeast"/>
        </w:trPr>
        <w:tc>
          <w:tcPr>
            <w:tcW w:w="4673"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614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财政拨款基本支出</w:t>
            </w:r>
          </w:p>
        </w:tc>
      </w:tr>
      <w:tr>
        <w:tblPrEx>
          <w:tblLayout w:type="fixed"/>
          <w:tblCellMar>
            <w:top w:w="55" w:type="dxa"/>
            <w:left w:w="55" w:type="dxa"/>
            <w:bottom w:w="55" w:type="dxa"/>
            <w:right w:w="55" w:type="dxa"/>
          </w:tblCellMar>
        </w:tblPrEx>
        <w:trPr>
          <w:trHeight w:val="483" w:hRule="atLeast"/>
        </w:trPr>
        <w:tc>
          <w:tcPr>
            <w:tcW w:w="11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05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409" w:hRule="exact"/>
        </w:trPr>
        <w:tc>
          <w:tcPr>
            <w:tcW w:w="4673"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386.12</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364.72</w:t>
            </w:r>
          </w:p>
        </w:tc>
        <w:tc>
          <w:tcPr>
            <w:tcW w:w="2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21.40</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301.11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301.11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53.38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53.38</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80.22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80.22</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117.30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117.30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10.32</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33.12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33.12</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21.40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21.40</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13.79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13.79</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0.15</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4.21</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0.13</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0.04</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30240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63.61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63.61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62.99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62.99</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0.62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0.62</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tabs>
          <w:tab w:val="left" w:pos="660"/>
        </w:tabs>
        <w:suppressAutoHyphens/>
        <w:bidi w:val="0"/>
        <w:spacing w:before="25" w:after="0" w:line="290" w:lineRule="auto"/>
        <w:ind w:left="220" w:leftChars="0" w:right="397" w:hanging="460" w:firstLineChars="0"/>
        <w:jc w:val="left"/>
        <w:rPr>
          <w:rFonts w:hint="eastAsia" w:ascii="仿宋" w:hAnsi="仿宋" w:eastAsia="仿宋" w:cs="仿宋"/>
          <w:b/>
          <w:bCs/>
          <w:sz w:val="22"/>
          <w:szCs w:val="22"/>
        </w:rPr>
      </w:pPr>
      <w:r>
        <w:rPr>
          <w:rFonts w:hint="eastAsia" w:ascii="仿宋" w:hAnsi="仿宋" w:eastAsia="仿宋" w:cs="仿宋"/>
          <w:b/>
          <w:bCs/>
          <w:sz w:val="22"/>
          <w:szCs w:val="22"/>
        </w:rPr>
        <w:t>注：1.本表反映部门本年度按经济分类财政拨款基本支出明细情况。财政拨款指一般公共预算财政拨款、政府性基金预算财政拨款和国有资本经营预算财政拨款。</w:t>
      </w:r>
    </w:p>
    <w:p>
      <w:pPr>
        <w:keepNext w:val="0"/>
        <w:keepLines w:val="0"/>
        <w:pageBreakBefore w:val="0"/>
        <w:widowControl w:val="0"/>
        <w:numPr>
          <w:ilvl w:val="0"/>
          <w:numId w:val="2"/>
        </w:numPr>
        <w:tabs>
          <w:tab w:val="left" w:pos="0"/>
        </w:tabs>
        <w:kinsoku/>
        <w:wordWrap/>
        <w:overflowPunct/>
        <w:topLinePunct w:val="0"/>
        <w:autoSpaceDE/>
        <w:autoSpaceDN/>
        <w:bidi w:val="0"/>
        <w:adjustRightInd/>
        <w:snapToGrid/>
        <w:spacing w:line="255" w:lineRule="exact"/>
        <w:ind w:left="220" w:leftChars="0" w:firstLine="0" w:firstLineChars="0"/>
        <w:textAlignment w:val="auto"/>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0" w:after="0" w:line="255" w:lineRule="exact"/>
        <w:jc w:val="left"/>
        <w:rPr>
          <w:rFonts w:hint="eastAsia" w:ascii="仿宋" w:hAnsi="仿宋" w:eastAsia="仿宋" w:cs="仿宋"/>
          <w:b/>
          <w:bCs/>
          <w:sz w:val="22"/>
          <w:szCs w:val="22"/>
        </w:rPr>
        <w:sectPr>
          <w:footerReference r:id="rId12"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1040" w:type="dxa"/>
        <w:tblInd w:w="-240" w:type="dxa"/>
        <w:tblLayout w:type="fixed"/>
        <w:tblCellMar>
          <w:top w:w="55" w:type="dxa"/>
          <w:left w:w="55" w:type="dxa"/>
          <w:bottom w:w="55" w:type="dxa"/>
          <w:right w:w="55" w:type="dxa"/>
        </w:tblCellMar>
      </w:tblPr>
      <w:tblGrid>
        <w:gridCol w:w="1397"/>
        <w:gridCol w:w="3420"/>
        <w:gridCol w:w="2537"/>
        <w:gridCol w:w="1800"/>
        <w:gridCol w:w="1886"/>
      </w:tblGrid>
      <w:tr>
        <w:tblPrEx>
          <w:tblLayout w:type="fixed"/>
          <w:tblCellMar>
            <w:top w:w="55" w:type="dxa"/>
            <w:left w:w="55" w:type="dxa"/>
            <w:bottom w:w="55" w:type="dxa"/>
            <w:right w:w="55" w:type="dxa"/>
          </w:tblCellMar>
        </w:tblPrEx>
        <w:trPr>
          <w:trHeight w:val="560" w:hRule="atLeast"/>
        </w:trPr>
        <w:tc>
          <w:tcPr>
            <w:tcW w:w="11040"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一般公共预算支出决算表（功能科目）</w:t>
            </w:r>
          </w:p>
        </w:tc>
      </w:tr>
      <w:tr>
        <w:tblPrEx>
          <w:tblLayout w:type="fixed"/>
          <w:tblCellMar>
            <w:top w:w="55" w:type="dxa"/>
            <w:left w:w="55" w:type="dxa"/>
            <w:bottom w:w="55" w:type="dxa"/>
            <w:right w:w="55" w:type="dxa"/>
          </w:tblCellMar>
        </w:tblPrEx>
        <w:trPr>
          <w:trHeight w:val="243" w:hRule="atLeast"/>
        </w:trPr>
        <w:tc>
          <w:tcPr>
            <w:tcW w:w="4817" w:type="dxa"/>
            <w:gridSpan w:val="2"/>
          </w:tcPr>
          <w:p>
            <w:pPr>
              <w:pStyle w:val="22"/>
              <w:widowControl w:val="0"/>
              <w:rPr>
                <w:rFonts w:hint="eastAsia" w:ascii="仿宋" w:hAnsi="仿宋" w:eastAsia="仿宋" w:cs="仿宋"/>
                <w:sz w:val="20"/>
              </w:rPr>
            </w:pPr>
          </w:p>
        </w:tc>
        <w:tc>
          <w:tcPr>
            <w:tcW w:w="2537" w:type="dxa"/>
          </w:tcPr>
          <w:p>
            <w:pPr>
              <w:pStyle w:val="22"/>
              <w:widowControl w:val="0"/>
              <w:rPr>
                <w:rFonts w:hint="eastAsia" w:ascii="仿宋" w:hAnsi="仿宋" w:eastAsia="仿宋" w:cs="仿宋"/>
                <w:sz w:val="20"/>
              </w:rPr>
            </w:pPr>
          </w:p>
        </w:tc>
        <w:tc>
          <w:tcPr>
            <w:tcW w:w="1800" w:type="dxa"/>
          </w:tcPr>
          <w:p>
            <w:pPr>
              <w:pStyle w:val="22"/>
              <w:widowControl w:val="0"/>
              <w:rPr>
                <w:rFonts w:hint="eastAsia" w:ascii="仿宋" w:hAnsi="仿宋" w:eastAsia="仿宋" w:cs="仿宋"/>
                <w:sz w:val="20"/>
              </w:rPr>
            </w:pPr>
          </w:p>
        </w:tc>
        <w:tc>
          <w:tcPr>
            <w:tcW w:w="188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公开07表</w:t>
            </w:r>
          </w:p>
        </w:tc>
      </w:tr>
      <w:tr>
        <w:tblPrEx>
          <w:tblLayout w:type="fixed"/>
          <w:tblCellMar>
            <w:top w:w="55" w:type="dxa"/>
            <w:left w:w="55" w:type="dxa"/>
            <w:bottom w:w="55" w:type="dxa"/>
            <w:right w:w="55" w:type="dxa"/>
          </w:tblCellMar>
        </w:tblPrEx>
        <w:trPr>
          <w:trHeight w:val="191" w:hRule="atLeast"/>
        </w:trPr>
        <w:tc>
          <w:tcPr>
            <w:tcW w:w="7354" w:type="dxa"/>
            <w:gridSpan w:val="3"/>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江苏省民政干部学校</w:t>
            </w:r>
          </w:p>
        </w:tc>
        <w:tc>
          <w:tcPr>
            <w:tcW w:w="3686" w:type="dxa"/>
            <w:gridSpan w:val="2"/>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20" w:hRule="atLeast"/>
        </w:trPr>
        <w:tc>
          <w:tcPr>
            <w:tcW w:w="4817"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37"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1800"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886"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389" w:hRule="atLeast"/>
        </w:trPr>
        <w:tc>
          <w:tcPr>
            <w:tcW w:w="139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功能分类科目编码</w:t>
            </w:r>
          </w:p>
        </w:tc>
        <w:tc>
          <w:tcPr>
            <w:tcW w:w="3420"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537"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800"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886"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
                <w:szCs w:val="2"/>
              </w:rPr>
            </w:pPr>
          </w:p>
        </w:tc>
      </w:tr>
      <w:tr>
        <w:tblPrEx>
          <w:tblLayout w:type="fixed"/>
          <w:tblCellMar>
            <w:top w:w="55" w:type="dxa"/>
            <w:left w:w="55" w:type="dxa"/>
            <w:bottom w:w="55" w:type="dxa"/>
            <w:right w:w="55" w:type="dxa"/>
          </w:tblCellMar>
        </w:tblPrEx>
        <w:trPr>
          <w:trHeight w:val="152" w:hRule="atLeast"/>
        </w:trPr>
        <w:tc>
          <w:tcPr>
            <w:tcW w:w="4817"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53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w:t>
            </w:r>
          </w:p>
        </w:tc>
        <w:tc>
          <w:tcPr>
            <w:tcW w:w="1800"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886"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r>
      <w:tr>
        <w:tblPrEx>
          <w:tblLayout w:type="fixed"/>
          <w:tblCellMar>
            <w:top w:w="55" w:type="dxa"/>
            <w:left w:w="55" w:type="dxa"/>
            <w:bottom w:w="55" w:type="dxa"/>
            <w:right w:w="55" w:type="dxa"/>
          </w:tblCellMar>
        </w:tblPrEx>
        <w:trPr>
          <w:trHeight w:val="361" w:hRule="exact"/>
        </w:trPr>
        <w:tc>
          <w:tcPr>
            <w:tcW w:w="4817"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合计</w:t>
            </w:r>
          </w:p>
        </w:tc>
        <w:tc>
          <w:tcPr>
            <w:tcW w:w="2537"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386.12</w:t>
            </w:r>
          </w:p>
        </w:tc>
        <w:tc>
          <w:tcPr>
            <w:tcW w:w="1800"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386.12</w:t>
            </w:r>
          </w:p>
        </w:tc>
        <w:tc>
          <w:tcPr>
            <w:tcW w:w="1886" w:type="dxa"/>
            <w:tcBorders>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239.10</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239.10</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行政事业单位养老支出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17.09</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17.09</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2080505</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机关事业单位基本养老保险缴费支出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6.77</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6.77</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2080506</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机关事业单位职业年金缴费支出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10.32</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10.32</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20899</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222.01</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222.01</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2089901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222.01</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222.01</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住房保障支出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147.02</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147.02</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22102</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住房改革支出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147.02</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147.02</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2210201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住房公积金</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33.12</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33.12</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2210202</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提租补贴</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113.90</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113.90</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bl>
    <w:p>
      <w:pPr>
        <w:tabs>
          <w:tab w:val="left" w:pos="0"/>
        </w:tabs>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注：1.本表反映部门本年度按功能分类一般公共预算财政拨款实际支出情况。</w:t>
      </w:r>
    </w:p>
    <w:p>
      <w:pPr>
        <w:numPr>
          <w:ilvl w:val="0"/>
          <w:numId w:val="3"/>
        </w:numPr>
        <w:tabs>
          <w:tab w:val="left" w:pos="0"/>
          <w:tab w:val="clear" w:pos="312"/>
        </w:tabs>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3"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954" w:type="dxa"/>
        <w:tblInd w:w="-206" w:type="dxa"/>
        <w:tblLayout w:type="fixed"/>
        <w:tblCellMar>
          <w:top w:w="55" w:type="dxa"/>
          <w:left w:w="55" w:type="dxa"/>
          <w:bottom w:w="55" w:type="dxa"/>
          <w:right w:w="55" w:type="dxa"/>
        </w:tblCellMar>
      </w:tblPr>
      <w:tblGrid>
        <w:gridCol w:w="1114"/>
        <w:gridCol w:w="2777"/>
        <w:gridCol w:w="644"/>
        <w:gridCol w:w="1996"/>
        <w:gridCol w:w="2246"/>
        <w:gridCol w:w="2177"/>
      </w:tblGrid>
      <w:tr>
        <w:tblPrEx>
          <w:tblLayout w:type="fixed"/>
          <w:tblCellMar>
            <w:top w:w="55" w:type="dxa"/>
            <w:left w:w="55" w:type="dxa"/>
            <w:bottom w:w="55" w:type="dxa"/>
            <w:right w:w="55" w:type="dxa"/>
          </w:tblCellMar>
        </w:tblPrEx>
        <w:trPr>
          <w:trHeight w:val="319" w:hRule="atLeast"/>
        </w:trPr>
        <w:tc>
          <w:tcPr>
            <w:tcW w:w="10954" w:type="dxa"/>
            <w:gridSpan w:val="6"/>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一般公共预算基本支出决算表（经济科目）</w:t>
            </w:r>
          </w:p>
        </w:tc>
      </w:tr>
      <w:tr>
        <w:tblPrEx>
          <w:tblLayout w:type="fixed"/>
          <w:tblCellMar>
            <w:top w:w="55" w:type="dxa"/>
            <w:left w:w="55" w:type="dxa"/>
            <w:bottom w:w="55" w:type="dxa"/>
            <w:right w:w="55" w:type="dxa"/>
          </w:tblCellMar>
        </w:tblPrEx>
        <w:trPr>
          <w:trHeight w:val="189" w:hRule="atLeast"/>
        </w:trPr>
        <w:tc>
          <w:tcPr>
            <w:tcW w:w="3891" w:type="dxa"/>
            <w:gridSpan w:val="2"/>
          </w:tcPr>
          <w:p>
            <w:pPr>
              <w:pStyle w:val="22"/>
              <w:widowControl w:val="0"/>
              <w:rPr>
                <w:rFonts w:hint="eastAsia" w:ascii="仿宋" w:hAnsi="仿宋" w:eastAsia="仿宋" w:cs="仿宋"/>
                <w:sz w:val="20"/>
              </w:rPr>
            </w:pPr>
          </w:p>
        </w:tc>
        <w:tc>
          <w:tcPr>
            <w:tcW w:w="644" w:type="dxa"/>
          </w:tcPr>
          <w:p>
            <w:pPr>
              <w:pStyle w:val="22"/>
              <w:widowControl w:val="0"/>
              <w:rPr>
                <w:rFonts w:hint="eastAsia" w:ascii="仿宋" w:hAnsi="仿宋" w:eastAsia="仿宋" w:cs="仿宋"/>
                <w:sz w:val="20"/>
              </w:rPr>
            </w:pPr>
          </w:p>
        </w:tc>
        <w:tc>
          <w:tcPr>
            <w:tcW w:w="4242" w:type="dxa"/>
            <w:gridSpan w:val="2"/>
          </w:tcPr>
          <w:p>
            <w:pPr>
              <w:pStyle w:val="22"/>
              <w:widowControl w:val="0"/>
              <w:rPr>
                <w:rFonts w:hint="eastAsia" w:ascii="仿宋" w:hAnsi="仿宋" w:eastAsia="仿宋" w:cs="仿宋"/>
                <w:sz w:val="20"/>
              </w:rPr>
            </w:pPr>
          </w:p>
        </w:tc>
        <w:tc>
          <w:tcPr>
            <w:tcW w:w="217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公开08表</w:t>
            </w:r>
          </w:p>
        </w:tc>
      </w:tr>
      <w:tr>
        <w:tblPrEx>
          <w:tblLayout w:type="fixed"/>
          <w:tblCellMar>
            <w:top w:w="55" w:type="dxa"/>
            <w:left w:w="55" w:type="dxa"/>
            <w:bottom w:w="55" w:type="dxa"/>
            <w:right w:w="55" w:type="dxa"/>
          </w:tblCellMar>
        </w:tblPrEx>
        <w:trPr>
          <w:trHeight w:val="138" w:hRule="atLeast"/>
        </w:trPr>
        <w:tc>
          <w:tcPr>
            <w:tcW w:w="8777" w:type="dxa"/>
            <w:gridSpan w:val="5"/>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江苏省民政干部学校</w:t>
            </w:r>
          </w:p>
        </w:tc>
        <w:tc>
          <w:tcPr>
            <w:tcW w:w="217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80" w:hRule="atLeast"/>
        </w:trPr>
        <w:tc>
          <w:tcPr>
            <w:tcW w:w="3891"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7063" w:type="dxa"/>
            <w:gridSpan w:val="4"/>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一般公共预算财政拨款基本支出</w:t>
            </w:r>
          </w:p>
        </w:tc>
      </w:tr>
      <w:tr>
        <w:tblPrEx>
          <w:tblLayout w:type="fixed"/>
          <w:tblCellMar>
            <w:top w:w="55" w:type="dxa"/>
            <w:left w:w="55" w:type="dxa"/>
            <w:bottom w:w="55" w:type="dxa"/>
            <w:right w:w="55" w:type="dxa"/>
          </w:tblCellMar>
        </w:tblPrEx>
        <w:trPr>
          <w:trHeight w:val="474" w:hRule="atLeast"/>
        </w:trPr>
        <w:tc>
          <w:tcPr>
            <w:tcW w:w="111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27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64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2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17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394" w:hRule="exact"/>
        </w:trPr>
        <w:tc>
          <w:tcPr>
            <w:tcW w:w="3891"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640"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386.12</w:t>
            </w:r>
          </w:p>
        </w:tc>
        <w:tc>
          <w:tcPr>
            <w:tcW w:w="224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364.72</w:t>
            </w:r>
          </w:p>
        </w:tc>
        <w:tc>
          <w:tcPr>
            <w:tcW w:w="217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21.40</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工资福利支出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301.11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301.11</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53.38</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53.38</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80.22</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80.22</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117.30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117.30</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6.77</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10.32</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10.32</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33.12</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33.12</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21.40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21.40</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13.79</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13.79</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0.15</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0.15</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4.21</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0.13</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0.13</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0.04</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0.04</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30240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63.61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63.61</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62.99</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62.99</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0.62</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0.62</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债务利息及费用支出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资本性支出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对企业补助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 本表反映部门本年度按经济分类一般公共预算财政拨款基本支出明细情况。</w:t>
      </w:r>
    </w:p>
    <w:p>
      <w:pPr>
        <w:numPr>
          <w:ilvl w:val="0"/>
          <w:numId w:val="4"/>
        </w:numPr>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4"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909" w:type="dxa"/>
        <w:tblInd w:w="-226" w:type="dxa"/>
        <w:tblLayout w:type="fixed"/>
        <w:tblCellMar>
          <w:top w:w="55" w:type="dxa"/>
          <w:left w:w="55" w:type="dxa"/>
          <w:bottom w:w="55" w:type="dxa"/>
          <w:right w:w="55" w:type="dxa"/>
        </w:tblCellMar>
      </w:tblPr>
      <w:tblGrid>
        <w:gridCol w:w="2471"/>
        <w:gridCol w:w="2332"/>
        <w:gridCol w:w="2037"/>
        <w:gridCol w:w="1697"/>
        <w:gridCol w:w="1680"/>
        <w:gridCol w:w="1852"/>
        <w:gridCol w:w="2057"/>
        <w:gridCol w:w="1783"/>
      </w:tblGrid>
      <w:tr>
        <w:tblPrEx>
          <w:tblLayout w:type="fixed"/>
          <w:tblCellMar>
            <w:top w:w="55" w:type="dxa"/>
            <w:left w:w="55" w:type="dxa"/>
            <w:bottom w:w="55" w:type="dxa"/>
            <w:right w:w="55" w:type="dxa"/>
          </w:tblCellMar>
        </w:tblPrEx>
        <w:trPr>
          <w:trHeight w:val="321" w:hRule="atLeast"/>
        </w:trPr>
        <w:tc>
          <w:tcPr>
            <w:tcW w:w="15909" w:type="dxa"/>
            <w:gridSpan w:val="8"/>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一般公共预算“三公”经费、会议费、培训费支出决算表</w:t>
            </w:r>
          </w:p>
        </w:tc>
      </w:tr>
      <w:tr>
        <w:tblPrEx>
          <w:tblLayout w:type="fixed"/>
          <w:tblCellMar>
            <w:top w:w="55" w:type="dxa"/>
            <w:left w:w="55" w:type="dxa"/>
            <w:bottom w:w="55" w:type="dxa"/>
            <w:right w:w="55" w:type="dxa"/>
          </w:tblCellMar>
        </w:tblPrEx>
        <w:trPr>
          <w:trHeight w:val="207" w:hRule="atLeast"/>
        </w:trPr>
        <w:tc>
          <w:tcPr>
            <w:tcW w:w="12069" w:type="dxa"/>
            <w:gridSpan w:val="6"/>
          </w:tcPr>
          <w:p>
            <w:pPr>
              <w:pStyle w:val="22"/>
              <w:widowControl w:val="0"/>
              <w:rPr>
                <w:rFonts w:hint="eastAsia" w:ascii="仿宋" w:hAnsi="仿宋" w:eastAsia="仿宋" w:cs="仿宋"/>
                <w:sz w:val="20"/>
              </w:rPr>
            </w:pPr>
          </w:p>
        </w:tc>
        <w:tc>
          <w:tcPr>
            <w:tcW w:w="3840" w:type="dxa"/>
            <w:gridSpan w:val="2"/>
            <w:vAlign w:val="center"/>
          </w:tcPr>
          <w:p>
            <w:pPr>
              <w:pStyle w:val="22"/>
              <w:widowControl w:val="0"/>
              <w:jc w:val="right"/>
              <w:rPr>
                <w:rFonts w:hint="eastAsia" w:ascii="仿宋" w:hAnsi="仿宋" w:eastAsia="仿宋" w:cs="仿宋"/>
                <w:sz w:val="20"/>
              </w:rPr>
            </w:pPr>
            <w:r>
              <w:rPr>
                <w:rFonts w:hint="eastAsia" w:ascii="仿宋" w:hAnsi="仿宋" w:eastAsia="仿宋" w:cs="仿宋"/>
              </w:rPr>
              <w:t>公开09表</w:t>
            </w:r>
          </w:p>
        </w:tc>
      </w:tr>
      <w:tr>
        <w:tblPrEx>
          <w:tblLayout w:type="fixed"/>
          <w:tblCellMar>
            <w:top w:w="55" w:type="dxa"/>
            <w:left w:w="55" w:type="dxa"/>
            <w:bottom w:w="55" w:type="dxa"/>
            <w:right w:w="55" w:type="dxa"/>
          </w:tblCellMar>
        </w:tblPrEx>
        <w:trPr>
          <w:trHeight w:val="103" w:hRule="atLeast"/>
        </w:trPr>
        <w:tc>
          <w:tcPr>
            <w:tcW w:w="12069" w:type="dxa"/>
            <w:gridSpan w:val="6"/>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江苏省民政干部学校</w:t>
            </w:r>
          </w:p>
        </w:tc>
        <w:tc>
          <w:tcPr>
            <w:tcW w:w="3840" w:type="dxa"/>
            <w:gridSpan w:val="2"/>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79" w:hRule="atLeast"/>
        </w:trPr>
        <w:tc>
          <w:tcPr>
            <w:tcW w:w="12069" w:type="dxa"/>
            <w:gridSpan w:val="6"/>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205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783"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r>
      <w:tr>
        <w:tblPrEx>
          <w:tblLayout w:type="fixed"/>
          <w:tblCellMar>
            <w:top w:w="55" w:type="dxa"/>
            <w:left w:w="55" w:type="dxa"/>
            <w:bottom w:w="55" w:type="dxa"/>
            <w:right w:w="55" w:type="dxa"/>
          </w:tblCellMar>
        </w:tblPrEx>
        <w:trPr>
          <w:trHeight w:val="297" w:hRule="atLeast"/>
        </w:trPr>
        <w:tc>
          <w:tcPr>
            <w:tcW w:w="2471"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233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5414"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公务用车购置及运行维护费</w:t>
            </w:r>
          </w:p>
        </w:tc>
        <w:tc>
          <w:tcPr>
            <w:tcW w:w="185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公务接待费</w:t>
            </w:r>
          </w:p>
        </w:tc>
        <w:tc>
          <w:tcPr>
            <w:tcW w:w="2057" w:type="dxa"/>
            <w:vMerge w:val="continue"/>
            <w:tcBorders>
              <w:left w:val="single" w:color="000000" w:sz="4" w:space="0"/>
              <w:bottom w:val="single" w:color="000000" w:sz="4" w:space="0"/>
            </w:tcBorders>
            <w:vAlign w:val="center"/>
          </w:tcPr>
          <w:p>
            <w:pPr>
              <w:widowControl w:val="0"/>
              <w:jc w:val="center"/>
              <w:rPr>
                <w:rFonts w:hint="eastAsia" w:ascii="仿宋" w:hAnsi="仿宋" w:eastAsia="仿宋" w:cs="仿宋"/>
                <w:sz w:val="20"/>
              </w:rPr>
            </w:pPr>
          </w:p>
        </w:tc>
        <w:tc>
          <w:tcPr>
            <w:tcW w:w="1783" w:type="dxa"/>
            <w:vMerge w:val="continue"/>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0"/>
              </w:rPr>
            </w:pPr>
          </w:p>
        </w:tc>
      </w:tr>
      <w:tr>
        <w:tblPrEx>
          <w:tblLayout w:type="fixed"/>
          <w:tblCellMar>
            <w:top w:w="55" w:type="dxa"/>
            <w:left w:w="55" w:type="dxa"/>
            <w:bottom w:w="55" w:type="dxa"/>
            <w:right w:w="55" w:type="dxa"/>
          </w:tblCellMar>
        </w:tblPrEx>
        <w:trPr>
          <w:trHeight w:val="645" w:hRule="exact"/>
        </w:trPr>
        <w:tc>
          <w:tcPr>
            <w:tcW w:w="2471"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33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03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小计</w:t>
            </w:r>
          </w:p>
        </w:tc>
        <w:tc>
          <w:tcPr>
            <w:tcW w:w="169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168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w:t>
            </w:r>
          </w:p>
          <w:p>
            <w:pPr>
              <w:pStyle w:val="22"/>
              <w:widowControl w:val="0"/>
              <w:jc w:val="center"/>
              <w:rPr>
                <w:rFonts w:hint="eastAsia" w:ascii="仿宋" w:hAnsi="仿宋" w:eastAsia="仿宋" w:cs="仿宋"/>
              </w:rPr>
            </w:pPr>
            <w:r>
              <w:rPr>
                <w:rFonts w:hint="eastAsia" w:ascii="仿宋" w:hAnsi="仿宋" w:eastAsia="仿宋" w:cs="仿宋"/>
              </w:rPr>
              <w:t>维护费</w:t>
            </w:r>
          </w:p>
        </w:tc>
        <w:tc>
          <w:tcPr>
            <w:tcW w:w="185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057"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783"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
                <w:szCs w:val="2"/>
              </w:rPr>
            </w:pPr>
          </w:p>
        </w:tc>
      </w:tr>
      <w:tr>
        <w:tblPrEx>
          <w:tblLayout w:type="fixed"/>
          <w:tblCellMar>
            <w:top w:w="55" w:type="dxa"/>
            <w:left w:w="55" w:type="dxa"/>
            <w:bottom w:w="55" w:type="dxa"/>
            <w:right w:w="55" w:type="dxa"/>
          </w:tblCellMar>
        </w:tblPrEx>
        <w:trPr>
          <w:cantSplit/>
          <w:trHeight w:val="165" w:hRule="atLeast"/>
        </w:trPr>
        <w:tc>
          <w:tcPr>
            <w:tcW w:w="247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0.04</w:t>
            </w:r>
          </w:p>
        </w:tc>
        <w:tc>
          <w:tcPr>
            <w:tcW w:w="233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0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0.04</w:t>
            </w:r>
          </w:p>
        </w:tc>
        <w:tc>
          <w:tcPr>
            <w:tcW w:w="169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68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0.04</w:t>
            </w:r>
          </w:p>
        </w:tc>
        <w:tc>
          <w:tcPr>
            <w:tcW w:w="185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05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78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bl>
    <w:p>
      <w:pPr>
        <w:spacing w:before="30" w:after="33"/>
        <w:ind w:left="376" w:firstLine="0"/>
        <w:rPr>
          <w:rFonts w:hint="eastAsia" w:ascii="仿宋" w:hAnsi="仿宋" w:eastAsia="仿宋" w:cs="仿宋"/>
          <w:sz w:val="22"/>
          <w:szCs w:val="22"/>
        </w:rPr>
      </w:pPr>
      <w:r>
        <w:rPr>
          <w:rFonts w:hint="eastAsia" w:ascii="仿宋" w:hAnsi="仿宋" w:eastAsia="仿宋" w:cs="仿宋"/>
          <w:sz w:val="22"/>
          <w:szCs w:val="22"/>
        </w:rPr>
        <w:t>相关统计数：</w:t>
      </w:r>
    </w:p>
    <w:tbl>
      <w:tblPr>
        <w:tblStyle w:val="13"/>
        <w:tblW w:w="12069" w:type="dxa"/>
        <w:tblInd w:w="-209" w:type="dxa"/>
        <w:tblLayout w:type="fixed"/>
        <w:tblCellMar>
          <w:top w:w="55" w:type="dxa"/>
          <w:left w:w="55" w:type="dxa"/>
          <w:bottom w:w="55" w:type="dxa"/>
          <w:right w:w="55" w:type="dxa"/>
        </w:tblCellMar>
      </w:tblPr>
      <w:tblGrid>
        <w:gridCol w:w="4299"/>
        <w:gridCol w:w="1976"/>
        <w:gridCol w:w="3908"/>
        <w:gridCol w:w="1886"/>
      </w:tblGrid>
      <w:tr>
        <w:tblPrEx>
          <w:tblLayout w:type="fixed"/>
          <w:tblCellMar>
            <w:top w:w="55" w:type="dxa"/>
            <w:left w:w="55" w:type="dxa"/>
            <w:bottom w:w="55" w:type="dxa"/>
            <w:right w:w="55" w:type="dxa"/>
          </w:tblCellMar>
        </w:tblPrEx>
        <w:trPr>
          <w:cantSplit/>
          <w:trHeight w:val="214" w:hRule="atLeast"/>
        </w:trPr>
        <w:tc>
          <w:tcPr>
            <w:tcW w:w="4299"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ascii="仿宋" w:hAnsi="仿宋" w:eastAsia="仿宋" w:cs="仿宋"/>
                <w:sz w:val="22"/>
              </w:rPr>
              <w:t>项目</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项目</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bl>
    <w:p>
      <w:pPr>
        <w:widowControl w:val="0"/>
        <w:suppressAutoHyphens/>
        <w:bidi w:val="0"/>
        <w:spacing w:before="0" w:after="0"/>
        <w:ind w:left="-22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“三公”经费、会议费、培训费详细支出情况见支出情况说明。</w:t>
      </w:r>
    </w:p>
    <w:p>
      <w:pPr>
        <w:widowControl w:val="0"/>
        <w:numPr>
          <w:ilvl w:val="0"/>
          <w:numId w:val="5"/>
        </w:numPr>
        <w:suppressAutoHyphens/>
        <w:bidi w:val="0"/>
        <w:spacing w:before="0" w:after="0"/>
        <w:ind w:left="20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suppressAutoHyphens/>
        <w:bidi w:val="0"/>
        <w:spacing w:before="0" w:after="0"/>
        <w:ind w:left="227" w:right="0" w:firstLine="221" w:firstLineChars="100"/>
        <w:jc w:val="left"/>
        <w:rPr>
          <w:rFonts w:hint="eastAsia" w:ascii="仿宋" w:hAnsi="仿宋" w:eastAsia="仿宋" w:cs="仿宋"/>
          <w:b/>
          <w:bCs/>
          <w:sz w:val="22"/>
          <w:szCs w:val="22"/>
        </w:rPr>
        <w:sectPr>
          <w:footerReference r:id="rId15"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772" w:type="dxa"/>
        <w:tblInd w:w="-106" w:type="dxa"/>
        <w:tblLayout w:type="fixed"/>
        <w:tblCellMar>
          <w:top w:w="55" w:type="dxa"/>
          <w:left w:w="55" w:type="dxa"/>
          <w:bottom w:w="55" w:type="dxa"/>
          <w:right w:w="55" w:type="dxa"/>
        </w:tblCellMar>
      </w:tblPr>
      <w:tblGrid>
        <w:gridCol w:w="1466"/>
        <w:gridCol w:w="2511"/>
        <w:gridCol w:w="2092"/>
        <w:gridCol w:w="2331"/>
        <w:gridCol w:w="1869"/>
        <w:gridCol w:w="1577"/>
        <w:gridCol w:w="1646"/>
        <w:gridCol w:w="2280"/>
      </w:tblGrid>
      <w:tr>
        <w:tblPrEx>
          <w:tblLayout w:type="fixed"/>
          <w:tblCellMar>
            <w:top w:w="55" w:type="dxa"/>
            <w:left w:w="55" w:type="dxa"/>
            <w:bottom w:w="55" w:type="dxa"/>
            <w:right w:w="55" w:type="dxa"/>
          </w:tblCellMar>
        </w:tblPrEx>
        <w:trPr>
          <w:trHeight w:val="395" w:hRule="atLeast"/>
        </w:trPr>
        <w:tc>
          <w:tcPr>
            <w:tcW w:w="15772" w:type="dxa"/>
            <w:gridSpan w:val="8"/>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政府性基金预算收入支出决算表</w:t>
            </w:r>
          </w:p>
        </w:tc>
      </w:tr>
      <w:tr>
        <w:tblPrEx>
          <w:tblLayout w:type="fixed"/>
          <w:tblCellMar>
            <w:top w:w="55" w:type="dxa"/>
            <w:left w:w="55" w:type="dxa"/>
            <w:bottom w:w="55" w:type="dxa"/>
            <w:right w:w="55" w:type="dxa"/>
          </w:tblCellMar>
        </w:tblPrEx>
        <w:trPr>
          <w:trHeight w:val="323" w:hRule="atLeast"/>
        </w:trPr>
        <w:tc>
          <w:tcPr>
            <w:tcW w:w="3977" w:type="dxa"/>
            <w:gridSpan w:val="2"/>
          </w:tcPr>
          <w:p>
            <w:pPr>
              <w:pStyle w:val="22"/>
              <w:widowControl w:val="0"/>
              <w:rPr>
                <w:rFonts w:hint="eastAsia" w:ascii="仿宋" w:hAnsi="仿宋" w:eastAsia="仿宋" w:cs="仿宋"/>
                <w:sz w:val="20"/>
              </w:rPr>
            </w:pPr>
          </w:p>
        </w:tc>
        <w:tc>
          <w:tcPr>
            <w:tcW w:w="2092" w:type="dxa"/>
          </w:tcPr>
          <w:p>
            <w:pPr>
              <w:pStyle w:val="22"/>
              <w:widowControl w:val="0"/>
              <w:rPr>
                <w:rFonts w:hint="eastAsia" w:ascii="仿宋" w:hAnsi="仿宋" w:eastAsia="仿宋" w:cs="仿宋"/>
                <w:sz w:val="27"/>
              </w:rPr>
            </w:pPr>
          </w:p>
        </w:tc>
        <w:tc>
          <w:tcPr>
            <w:tcW w:w="2331" w:type="dxa"/>
          </w:tcPr>
          <w:p>
            <w:pPr>
              <w:pStyle w:val="22"/>
              <w:widowControl w:val="0"/>
              <w:rPr>
                <w:rFonts w:hint="eastAsia" w:ascii="仿宋" w:hAnsi="仿宋" w:eastAsia="仿宋" w:cs="仿宋"/>
                <w:sz w:val="27"/>
              </w:rPr>
            </w:pPr>
          </w:p>
        </w:tc>
        <w:tc>
          <w:tcPr>
            <w:tcW w:w="5092" w:type="dxa"/>
            <w:gridSpan w:val="3"/>
          </w:tcPr>
          <w:p>
            <w:pPr>
              <w:pStyle w:val="22"/>
              <w:widowControl w:val="0"/>
              <w:rPr>
                <w:rFonts w:hint="eastAsia" w:ascii="仿宋" w:hAnsi="仿宋" w:eastAsia="仿宋" w:cs="仿宋"/>
                <w:sz w:val="20"/>
              </w:rPr>
            </w:pPr>
          </w:p>
        </w:tc>
        <w:tc>
          <w:tcPr>
            <w:tcW w:w="2280"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公开10表</w:t>
            </w:r>
          </w:p>
        </w:tc>
      </w:tr>
      <w:tr>
        <w:tblPrEx>
          <w:tblLayout w:type="fixed"/>
          <w:tblCellMar>
            <w:top w:w="55" w:type="dxa"/>
            <w:left w:w="55" w:type="dxa"/>
            <w:bottom w:w="55" w:type="dxa"/>
            <w:right w:w="55" w:type="dxa"/>
          </w:tblCellMar>
        </w:tblPrEx>
        <w:trPr>
          <w:trHeight w:val="138" w:hRule="atLeast"/>
        </w:trPr>
        <w:tc>
          <w:tcPr>
            <w:tcW w:w="13492" w:type="dxa"/>
            <w:gridSpan w:val="7"/>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江苏省民政干部学校</w:t>
            </w:r>
          </w:p>
        </w:tc>
        <w:tc>
          <w:tcPr>
            <w:tcW w:w="2280"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13" w:hRule="atLeast"/>
        </w:trPr>
        <w:tc>
          <w:tcPr>
            <w:tcW w:w="3977"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092"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年初结转和结余</w:t>
            </w:r>
          </w:p>
        </w:tc>
        <w:tc>
          <w:tcPr>
            <w:tcW w:w="2331"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w:t>
            </w:r>
          </w:p>
        </w:tc>
        <w:tc>
          <w:tcPr>
            <w:tcW w:w="5092"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w:t>
            </w:r>
          </w:p>
        </w:tc>
        <w:tc>
          <w:tcPr>
            <w:tcW w:w="2280"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年末结转和结余</w:t>
            </w:r>
          </w:p>
        </w:tc>
      </w:tr>
      <w:tr>
        <w:tblPrEx>
          <w:tblLayout w:type="fixed"/>
          <w:tblCellMar>
            <w:top w:w="55" w:type="dxa"/>
            <w:left w:w="55" w:type="dxa"/>
            <w:bottom w:w="55" w:type="dxa"/>
            <w:right w:w="55" w:type="dxa"/>
          </w:tblCellMar>
        </w:tblPrEx>
        <w:trPr>
          <w:trHeight w:val="528" w:hRule="atLeast"/>
        </w:trPr>
        <w:tc>
          <w:tcPr>
            <w:tcW w:w="146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51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92"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331"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8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小计</w:t>
            </w:r>
          </w:p>
        </w:tc>
        <w:tc>
          <w:tcPr>
            <w:tcW w:w="15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c>
          <w:tcPr>
            <w:tcW w:w="2280"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Layout w:type="fixed"/>
          <w:tblCellMar>
            <w:top w:w="55" w:type="dxa"/>
            <w:left w:w="55" w:type="dxa"/>
            <w:bottom w:w="55" w:type="dxa"/>
            <w:right w:w="55" w:type="dxa"/>
          </w:tblCellMar>
        </w:tblPrEx>
        <w:trPr>
          <w:trHeight w:val="275" w:hRule="atLeast"/>
        </w:trPr>
        <w:tc>
          <w:tcPr>
            <w:tcW w:w="397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09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1</w:t>
            </w:r>
          </w:p>
        </w:tc>
        <w:tc>
          <w:tcPr>
            <w:tcW w:w="23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2</w:t>
            </w:r>
          </w:p>
        </w:tc>
        <w:tc>
          <w:tcPr>
            <w:tcW w:w="18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c>
          <w:tcPr>
            <w:tcW w:w="15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4</w:t>
            </w: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5</w:t>
            </w:r>
          </w:p>
        </w:tc>
        <w:tc>
          <w:tcPr>
            <w:tcW w:w="2280"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6</w:t>
            </w:r>
          </w:p>
        </w:tc>
      </w:tr>
      <w:tr>
        <w:tblPrEx>
          <w:tblLayout w:type="fixed"/>
          <w:tblCellMar>
            <w:top w:w="55" w:type="dxa"/>
            <w:left w:w="55" w:type="dxa"/>
            <w:bottom w:w="55" w:type="dxa"/>
            <w:right w:w="55" w:type="dxa"/>
          </w:tblCellMar>
        </w:tblPrEx>
        <w:trPr>
          <w:trHeight w:val="407" w:hRule="exact"/>
        </w:trPr>
        <w:tc>
          <w:tcPr>
            <w:tcW w:w="397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9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33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86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57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64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28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 本表反映部门本年度按功能分类政府性基金预算财政拨款收支及结转和结余情况。</w:t>
      </w:r>
    </w:p>
    <w:p>
      <w:pPr>
        <w:numPr>
          <w:ilvl w:val="0"/>
          <w:numId w:val="6"/>
        </w:numPr>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numPr>
          <w:ilvl w:val="0"/>
          <w:numId w:val="6"/>
        </w:numPr>
        <w:spacing w:before="25" w:after="0"/>
        <w:ind w:left="200" w:leftChars="0" w:firstLine="0" w:firstLineChars="0"/>
        <w:rPr>
          <w:rFonts w:hint="default" w:ascii="仿宋" w:hAnsi="仿宋" w:eastAsia="仿宋" w:cs="仿宋"/>
          <w:b/>
          <w:bCs/>
          <w:sz w:val="22"/>
          <w:szCs w:val="22"/>
          <w:lang w:val="en-US" w:eastAsia="zh-CN"/>
        </w:rPr>
      </w:pPr>
      <w:r>
        <w:rPr>
          <w:rFonts w:ascii="仿宋" w:hAnsi="仿宋" w:eastAsia="仿宋" w:cs="仿宋"/>
          <w:b/>
          <w:sz w:val="22"/>
        </w:rPr>
        <w:t>本单位无政府性基金预算收入支出决算，故本表为空。</w:t>
      </w:r>
    </w:p>
    <w:p>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footerReference r:id="rId16"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235" w:type="dxa"/>
        <w:tblInd w:w="-403" w:type="dxa"/>
        <w:tblLayout w:type="fixed"/>
        <w:tblCellMar>
          <w:top w:w="55" w:type="dxa"/>
          <w:left w:w="55" w:type="dxa"/>
          <w:bottom w:w="55" w:type="dxa"/>
          <w:right w:w="55" w:type="dxa"/>
        </w:tblCellMar>
      </w:tblPr>
      <w:tblGrid>
        <w:gridCol w:w="3088"/>
        <w:gridCol w:w="2876"/>
        <w:gridCol w:w="1920"/>
        <w:gridCol w:w="2351"/>
      </w:tblGrid>
      <w:tr>
        <w:tblPrEx>
          <w:tblLayout w:type="fixed"/>
          <w:tblCellMar>
            <w:top w:w="55" w:type="dxa"/>
            <w:left w:w="55" w:type="dxa"/>
            <w:bottom w:w="55" w:type="dxa"/>
            <w:right w:w="55" w:type="dxa"/>
          </w:tblCellMar>
        </w:tblPrEx>
        <w:trPr>
          <w:trHeight w:val="319" w:hRule="atLeast"/>
        </w:trPr>
        <w:tc>
          <w:tcPr>
            <w:tcW w:w="10235" w:type="dxa"/>
            <w:gridSpan w:val="4"/>
          </w:tcPr>
          <w:p>
            <w:pPr>
              <w:pStyle w:val="22"/>
              <w:widowControl w:val="0"/>
              <w:tabs>
                <w:tab w:val="left" w:pos="610"/>
              </w:tabs>
              <w:spacing w:before="28" w:after="0"/>
              <w:ind w:left="8" w:firstLine="0"/>
              <w:jc w:val="center"/>
              <w:rPr>
                <w:rFonts w:hint="eastAsia" w:ascii="仿宋" w:hAnsi="仿宋" w:eastAsia="仿宋" w:cs="仿宋"/>
                <w:b/>
                <w:bCs/>
                <w:sz w:val="44"/>
                <w:szCs w:val="44"/>
              </w:rPr>
            </w:pPr>
            <w:r>
              <w:rPr>
                <w:rFonts w:hint="eastAsia" w:ascii="仿宋" w:hAnsi="仿宋" w:eastAsia="仿宋" w:cs="仿宋"/>
                <w:b/>
                <w:bCs/>
                <w:sz w:val="44"/>
                <w:szCs w:val="44"/>
              </w:rPr>
              <w:t>一般公共预算机关运行经费支出决算表</w:t>
            </w:r>
          </w:p>
        </w:tc>
      </w:tr>
      <w:tr>
        <w:tblPrEx>
          <w:tblLayout w:type="fixed"/>
          <w:tblCellMar>
            <w:top w:w="55" w:type="dxa"/>
            <w:left w:w="55" w:type="dxa"/>
            <w:bottom w:w="55" w:type="dxa"/>
            <w:right w:w="55" w:type="dxa"/>
          </w:tblCellMar>
        </w:tblPrEx>
        <w:trPr>
          <w:trHeight w:val="90" w:hRule="atLeast"/>
        </w:trPr>
        <w:tc>
          <w:tcPr>
            <w:tcW w:w="5964" w:type="dxa"/>
            <w:gridSpan w:val="2"/>
          </w:tcPr>
          <w:p>
            <w:pPr>
              <w:pStyle w:val="22"/>
              <w:widowControl w:val="0"/>
              <w:rPr>
                <w:rFonts w:hint="eastAsia" w:ascii="仿宋" w:hAnsi="仿宋" w:eastAsia="仿宋" w:cs="仿宋"/>
                <w:sz w:val="20"/>
              </w:rPr>
            </w:pPr>
          </w:p>
        </w:tc>
        <w:tc>
          <w:tcPr>
            <w:tcW w:w="4271"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公开11表</w:t>
            </w:r>
          </w:p>
        </w:tc>
      </w:tr>
      <w:tr>
        <w:tblPrEx>
          <w:tblLayout w:type="fixed"/>
          <w:tblCellMar>
            <w:top w:w="55" w:type="dxa"/>
            <w:left w:w="55" w:type="dxa"/>
            <w:bottom w:w="55" w:type="dxa"/>
            <w:right w:w="55" w:type="dxa"/>
          </w:tblCellMar>
        </w:tblPrEx>
        <w:trPr>
          <w:trHeight w:val="90" w:hRule="atLeast"/>
        </w:trPr>
        <w:tc>
          <w:tcPr>
            <w:tcW w:w="7884" w:type="dxa"/>
            <w:gridSpan w:val="3"/>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江苏省民政干部学校</w:t>
            </w:r>
          </w:p>
        </w:tc>
        <w:tc>
          <w:tcPr>
            <w:tcW w:w="235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5964"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4271" w:type="dxa"/>
            <w:gridSpan w:val="2"/>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机关运行经费支出决算</w:t>
            </w:r>
          </w:p>
        </w:tc>
      </w:tr>
      <w:tr>
        <w:tblPrEx>
          <w:tblLayout w:type="fixed"/>
          <w:tblCellMar>
            <w:top w:w="55" w:type="dxa"/>
            <w:left w:w="55" w:type="dxa"/>
            <w:bottom w:w="55" w:type="dxa"/>
            <w:right w:w="55" w:type="dxa"/>
          </w:tblCellMar>
        </w:tblPrEx>
        <w:trPr>
          <w:trHeight w:val="363" w:hRule="atLeast"/>
        </w:trPr>
        <w:tc>
          <w:tcPr>
            <w:tcW w:w="308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287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4271" w:type="dxa"/>
            <w:gridSpan w:val="2"/>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63" w:hRule="atLeast"/>
        </w:trPr>
        <w:tc>
          <w:tcPr>
            <w:tcW w:w="5964"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4271" w:type="dxa"/>
            <w:gridSpan w:val="2"/>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商品和服务支出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办公费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印刷费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咨询费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手续费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水费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电费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邮电费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取暖费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物业管理费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差旅费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因公出国（境）费用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维修（护）费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租赁费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会议费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培训费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公务接待费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专用材料费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被装购置费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专用燃料费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劳务费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委托业务费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工会经费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福利费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公务用车运行维护费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其他交通费用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30240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税金及附加费用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其他商品和服务支出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债务利息及费用支出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310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资本性支出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房屋建筑物购建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办公设备购置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专用设备购置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基础设施建设</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大型修缮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信息网络及软件购置更新</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物资储备</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土地补偿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安置补助</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地上附着物和青苗补偿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拆迁补偿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公务用车购置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其他交通工具购置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31021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文物和陈列品购置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31022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无形资产购置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其他资本性支出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对企业补助</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bl>
    <w:p>
      <w:pPr>
        <w:spacing w:before="25" w:after="0"/>
        <w:ind w:left="2" w:leftChars="-200" w:hanging="442" w:hangingChars="200"/>
        <w:rPr>
          <w:rFonts w:hint="eastAsia" w:ascii="仿宋" w:hAnsi="仿宋" w:eastAsia="仿宋" w:cs="仿宋"/>
          <w:b/>
          <w:bCs/>
          <w:sz w:val="22"/>
          <w:szCs w:val="22"/>
        </w:rPr>
      </w:pPr>
      <w:r>
        <w:rPr>
          <w:rFonts w:hint="eastAsia" w:ascii="仿宋" w:hAnsi="仿宋" w:eastAsia="仿宋" w:cs="仿宋"/>
          <w:b/>
          <w:bCs/>
          <w:sz w:val="22"/>
          <w:szCs w:val="22"/>
        </w:rPr>
        <w:t>注：1.“机关运行经费” 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w:t>
      </w:r>
    </w:p>
    <w:p>
      <w:pPr>
        <w:numPr>
          <w:ilvl w:val="0"/>
          <w:numId w:val="7"/>
        </w:numPr>
        <w:tabs>
          <w:tab w:val="left" w:pos="0"/>
          <w:tab w:val="clear" w:pos="312"/>
        </w:tabs>
        <w:spacing w:before="25" w:after="0"/>
        <w:ind w:left="-1"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numPr>
          <w:ilvl w:val="0"/>
          <w:numId w:val="7"/>
        </w:numPr>
        <w:tabs>
          <w:tab w:val="left" w:pos="0"/>
          <w:tab w:val="clear" w:pos="312"/>
        </w:tabs>
        <w:spacing w:before="25" w:after="0"/>
        <w:ind w:left="-1" w:leftChars="0" w:firstLine="0" w:firstLineChars="0"/>
        <w:rPr>
          <w:rFonts w:hint="eastAsia" w:ascii="仿宋" w:hAnsi="仿宋" w:eastAsia="仿宋" w:cs="仿宋"/>
          <w:b/>
          <w:bCs/>
          <w:sz w:val="22"/>
          <w:szCs w:val="22"/>
        </w:rPr>
      </w:pPr>
      <w:r>
        <w:rPr>
          <w:rFonts w:hint="eastAsia" w:ascii="仿宋" w:hAnsi="仿宋" w:eastAsia="仿宋" w:cs="仿宋"/>
          <w:b/>
          <w:bCs/>
          <w:sz w:val="22"/>
          <w:szCs w:val="22"/>
          <w:lang w:eastAsia="zh-CN"/>
        </w:rPr>
        <w:t>本</w:t>
      </w:r>
      <w:r>
        <w:rPr>
          <w:rFonts w:ascii="仿宋" w:hAnsi="仿宋" w:eastAsia="仿宋" w:cs="仿宋"/>
          <w:b/>
          <w:sz w:val="22"/>
        </w:rPr>
        <w:t>单位</w:t>
      </w:r>
      <w:r>
        <w:rPr>
          <w:rFonts w:hint="eastAsia" w:ascii="仿宋" w:hAnsi="仿宋" w:eastAsia="仿宋" w:cs="仿宋"/>
          <w:b/>
          <w:bCs/>
          <w:sz w:val="22"/>
          <w:szCs w:val="22"/>
        </w:rPr>
        <w:t>无一般公共预算机关运行经费支出决算，故本表为空。</w:t>
      </w:r>
    </w:p>
    <w:p>
      <w:pPr>
        <w:widowControl w:val="0"/>
        <w:suppressAutoHyphens/>
        <w:bidi w:val="0"/>
        <w:spacing w:before="78" w:after="0" w:line="290" w:lineRule="auto"/>
        <w:ind w:left="227" w:right="57" w:firstLine="0"/>
        <w:jc w:val="both"/>
        <w:rPr>
          <w:rFonts w:hint="eastAsia" w:ascii="仿宋" w:hAnsi="仿宋" w:eastAsia="仿宋" w:cs="仿宋"/>
          <w:b/>
          <w:bCs/>
          <w:sz w:val="22"/>
          <w:szCs w:val="22"/>
        </w:rPr>
        <w:sectPr>
          <w:footerReference r:id="rId17" w:type="default"/>
          <w:pgSz w:w="11906" w:h="16838"/>
          <w:pgMar w:top="1100" w:right="1320" w:bottom="770" w:left="13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9177" w:type="dxa"/>
        <w:tblInd w:w="45" w:type="dxa"/>
        <w:tblLayout w:type="fixed"/>
        <w:tblCellMar>
          <w:top w:w="55" w:type="dxa"/>
          <w:left w:w="55" w:type="dxa"/>
          <w:bottom w:w="55" w:type="dxa"/>
          <w:right w:w="55" w:type="dxa"/>
        </w:tblCellMar>
      </w:tblPr>
      <w:tblGrid>
        <w:gridCol w:w="3682"/>
        <w:gridCol w:w="1512"/>
        <w:gridCol w:w="1992"/>
        <w:gridCol w:w="1991"/>
      </w:tblGrid>
      <w:tr>
        <w:tblPrEx>
          <w:tblLayout w:type="fixed"/>
          <w:tblCellMar>
            <w:top w:w="55" w:type="dxa"/>
            <w:left w:w="55" w:type="dxa"/>
            <w:bottom w:w="55" w:type="dxa"/>
            <w:right w:w="55" w:type="dxa"/>
          </w:tblCellMar>
        </w:tblPrEx>
        <w:trPr>
          <w:trHeight w:val="333" w:hRule="atLeast"/>
        </w:trPr>
        <w:tc>
          <w:tcPr>
            <w:tcW w:w="9177" w:type="dxa"/>
            <w:gridSpan w:val="4"/>
            <w:vAlign w:val="center"/>
          </w:tcPr>
          <w:p>
            <w:pPr>
              <w:pStyle w:val="22"/>
              <w:widowControl w:val="0"/>
              <w:bidi w:val="0"/>
              <w:jc w:val="center"/>
              <w:rPr>
                <w:rFonts w:hint="eastAsia" w:ascii="仿宋" w:hAnsi="仿宋" w:eastAsia="仿宋" w:cs="仿宋"/>
                <w:b/>
                <w:bCs/>
                <w:sz w:val="44"/>
                <w:szCs w:val="44"/>
              </w:rPr>
            </w:pPr>
            <w:r>
              <w:rPr>
                <w:rFonts w:hint="eastAsia" w:ascii="仿宋" w:hAnsi="仿宋" w:eastAsia="仿宋" w:cs="仿宋"/>
                <w:b/>
                <w:bCs/>
                <w:sz w:val="44"/>
                <w:szCs w:val="44"/>
              </w:rPr>
              <w:t>政府采购支出决算表</w:t>
            </w:r>
          </w:p>
        </w:tc>
      </w:tr>
      <w:tr>
        <w:tblPrEx>
          <w:tblLayout w:type="fixed"/>
          <w:tblCellMar>
            <w:top w:w="55" w:type="dxa"/>
            <w:left w:w="55" w:type="dxa"/>
            <w:bottom w:w="55" w:type="dxa"/>
            <w:right w:w="55" w:type="dxa"/>
          </w:tblCellMar>
        </w:tblPrEx>
        <w:trPr>
          <w:trHeight w:val="333" w:hRule="atLeast"/>
        </w:trPr>
        <w:tc>
          <w:tcPr>
            <w:tcW w:w="3682" w:type="dxa"/>
          </w:tcPr>
          <w:p>
            <w:pPr>
              <w:pStyle w:val="22"/>
              <w:widowControl w:val="0"/>
              <w:bidi w:val="0"/>
              <w:rPr>
                <w:rFonts w:hint="eastAsia" w:ascii="仿宋" w:hAnsi="仿宋" w:eastAsia="仿宋" w:cs="仿宋"/>
              </w:rPr>
            </w:pPr>
          </w:p>
        </w:tc>
        <w:tc>
          <w:tcPr>
            <w:tcW w:w="1512" w:type="dxa"/>
          </w:tcPr>
          <w:p>
            <w:pPr>
              <w:pStyle w:val="22"/>
              <w:widowControl w:val="0"/>
              <w:rPr>
                <w:rFonts w:hint="eastAsia" w:ascii="仿宋" w:hAnsi="仿宋" w:eastAsia="仿宋" w:cs="仿宋"/>
              </w:rPr>
            </w:pPr>
          </w:p>
        </w:tc>
        <w:tc>
          <w:tcPr>
            <w:tcW w:w="1992" w:type="dxa"/>
          </w:tcPr>
          <w:p>
            <w:pPr>
              <w:pStyle w:val="22"/>
              <w:widowControl w:val="0"/>
              <w:rPr>
                <w:rFonts w:hint="eastAsia" w:ascii="仿宋" w:hAnsi="仿宋" w:eastAsia="仿宋" w:cs="仿宋"/>
              </w:rPr>
            </w:pPr>
          </w:p>
        </w:tc>
        <w:tc>
          <w:tcPr>
            <w:tcW w:w="1991" w:type="dxa"/>
            <w:vAlign w:val="center"/>
          </w:tcPr>
          <w:p>
            <w:pPr>
              <w:pStyle w:val="22"/>
              <w:widowControl w:val="0"/>
              <w:jc w:val="right"/>
              <w:rPr>
                <w:rFonts w:hint="eastAsia" w:ascii="仿宋" w:hAnsi="仿宋" w:eastAsia="仿宋" w:cs="仿宋"/>
              </w:rPr>
            </w:pPr>
            <w:r>
              <w:rPr>
                <w:rFonts w:hint="eastAsia" w:ascii="仿宋" w:hAnsi="仿宋" w:eastAsia="仿宋" w:cs="仿宋"/>
              </w:rPr>
              <w:t>公开12表</w:t>
            </w:r>
          </w:p>
        </w:tc>
      </w:tr>
      <w:tr>
        <w:tblPrEx>
          <w:tblLayout w:type="fixed"/>
          <w:tblCellMar>
            <w:top w:w="55" w:type="dxa"/>
            <w:left w:w="55" w:type="dxa"/>
            <w:bottom w:w="55" w:type="dxa"/>
            <w:right w:w="55" w:type="dxa"/>
          </w:tblCellMar>
        </w:tblPrEx>
        <w:trPr>
          <w:trHeight w:val="90" w:hRule="atLeast"/>
        </w:trPr>
        <w:tc>
          <w:tcPr>
            <w:tcW w:w="7186" w:type="dxa"/>
            <w:gridSpan w:val="3"/>
          </w:tcPr>
          <w:p>
            <w:pPr>
              <w:pStyle w:val="22"/>
              <w:widowControl w:val="0"/>
              <w:bidi w:val="0"/>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江苏省民政干部学校</w:t>
            </w:r>
          </w:p>
        </w:tc>
        <w:tc>
          <w:tcPr>
            <w:tcW w:w="1991" w:type="dxa"/>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Layout w:type="fixed"/>
          <w:tblCellMar>
            <w:top w:w="55" w:type="dxa"/>
            <w:left w:w="55" w:type="dxa"/>
            <w:bottom w:w="55" w:type="dxa"/>
            <w:right w:w="55" w:type="dxa"/>
          </w:tblCellMar>
        </w:tblPrEx>
        <w:trPr>
          <w:trHeight w:val="244" w:hRule="atLeast"/>
        </w:trPr>
        <w:tc>
          <w:tcPr>
            <w:tcW w:w="3682" w:type="dxa"/>
            <w:tcBorders>
              <w:top w:val="single" w:color="000000" w:sz="4" w:space="0"/>
              <w:left w:val="single" w:color="000000" w:sz="4" w:space="0"/>
              <w:bottom w:val="single" w:color="000000" w:sz="4" w:space="0"/>
            </w:tcBorders>
            <w:vAlign w:val="center"/>
          </w:tcPr>
          <w:p>
            <w:pPr>
              <w:pStyle w:val="22"/>
              <w:widowControl w:val="0"/>
              <w:bidi w:val="0"/>
              <w:jc w:val="center"/>
              <w:rPr>
                <w:rFonts w:hint="eastAsia" w:ascii="仿宋" w:hAnsi="仿宋" w:eastAsia="仿宋" w:cs="仿宋"/>
              </w:rPr>
            </w:pPr>
            <w:r>
              <w:rPr>
                <w:rFonts w:hint="eastAsia" w:ascii="仿宋" w:hAnsi="仿宋" w:eastAsia="仿宋" w:cs="仿宋"/>
              </w:rPr>
              <w:t>采购品目大类</w:t>
            </w:r>
          </w:p>
        </w:tc>
        <w:tc>
          <w:tcPr>
            <w:tcW w:w="5495"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tblPrEx>
          <w:tblLayout w:type="fixed"/>
          <w:tblCellMar>
            <w:top w:w="55" w:type="dxa"/>
            <w:left w:w="55" w:type="dxa"/>
            <w:bottom w:w="55" w:type="dxa"/>
            <w:right w:w="55" w:type="dxa"/>
          </w:tblCellMar>
        </w:tblPrEx>
        <w:trPr>
          <w:trHeight w:val="186" w:hRule="atLeast"/>
        </w:trPr>
        <w:tc>
          <w:tcPr>
            <w:tcW w:w="3682" w:type="dxa"/>
            <w:tcBorders>
              <w:left w:val="single" w:color="000000" w:sz="4" w:space="0"/>
              <w:bottom w:val="single" w:color="000000" w:sz="4" w:space="0"/>
            </w:tcBorders>
            <w:vAlign w:val="center"/>
          </w:tcPr>
          <w:p>
            <w:pPr>
              <w:pStyle w:val="22"/>
              <w:widowControl w:val="0"/>
              <w:bidi w:val="0"/>
              <w:jc w:val="center"/>
              <w:rPr>
                <w:rFonts w:hint="eastAsia" w:ascii="仿宋" w:hAnsi="仿宋" w:eastAsia="仿宋" w:cs="仿宋"/>
              </w:rPr>
            </w:pPr>
            <w:r>
              <w:rPr>
                <w:rFonts w:ascii="仿宋" w:hAnsi="仿宋" w:eastAsia="仿宋" w:cs="仿宋"/>
              </w:rPr>
              <w:t>合计</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一、政府采购货物支出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二、政府采购工程支出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三、政府采购服务支出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bidi w:val="0"/>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政府采购支出信息为单位纳入部门预算范围的各项政府采购支出情况。</w:t>
      </w:r>
    </w:p>
    <w:p>
      <w:pPr>
        <w:numPr>
          <w:ilvl w:val="0"/>
          <w:numId w:val="8"/>
        </w:numPr>
        <w:bidi w:val="0"/>
        <w:ind w:left="42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numPr>
          <w:ilvl w:val="0"/>
          <w:numId w:val="8"/>
        </w:numPr>
        <w:bidi w:val="0"/>
        <w:ind w:left="420" w:leftChars="0" w:firstLine="0" w:firstLineChars="0"/>
        <w:rPr>
          <w:rFonts w:hint="eastAsia" w:ascii="仿宋" w:hAnsi="仿宋" w:eastAsia="仿宋" w:cs="仿宋"/>
          <w:b/>
          <w:bCs/>
          <w:sz w:val="22"/>
          <w:szCs w:val="22"/>
        </w:rPr>
      </w:pPr>
      <w:r>
        <w:rPr>
          <w:rFonts w:hint="eastAsia" w:ascii="仿宋" w:hAnsi="仿宋" w:eastAsia="仿宋" w:cs="仿宋"/>
          <w:b/>
          <w:bCs/>
          <w:sz w:val="22"/>
          <w:szCs w:val="22"/>
          <w:lang w:eastAsia="zh-CN"/>
        </w:rPr>
        <w:t>本</w:t>
      </w:r>
      <w:r>
        <w:rPr>
          <w:rFonts w:ascii="仿宋" w:hAnsi="仿宋" w:eastAsia="仿宋" w:cs="仿宋"/>
          <w:b/>
          <w:sz w:val="22"/>
        </w:rPr>
        <w:t>单位</w:t>
      </w:r>
      <w:r>
        <w:rPr>
          <w:rFonts w:hint="eastAsia" w:ascii="仿宋" w:hAnsi="仿宋" w:eastAsia="仿宋" w:cs="仿宋"/>
          <w:b/>
          <w:bCs/>
          <w:sz w:val="22"/>
          <w:szCs w:val="22"/>
        </w:rPr>
        <w:t>无政府采购支出决算，故本表为空。</w:t>
      </w:r>
    </w:p>
    <w:p>
      <w:pPr>
        <w:bidi w:val="0"/>
        <w:rPr>
          <w:rFonts w:hint="eastAsia" w:ascii="仿宋" w:hAnsi="仿宋" w:eastAsia="仿宋" w:cs="仿宋"/>
          <w:b/>
          <w:bCs/>
          <w:sz w:val="22"/>
          <w:szCs w:val="22"/>
        </w:rPr>
        <w:sectPr>
          <w:footerReference r:id="rId18" w:type="default"/>
          <w:pgSz w:w="11906" w:h="16838"/>
          <w:pgMar w:top="1100" w:right="1320" w:bottom="770" w:left="13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5"/>
        <w:tabs>
          <w:tab w:val="left" w:pos="3077"/>
        </w:tabs>
        <w:spacing w:line="616" w:lineRule="exact"/>
        <w:jc w:val="center"/>
        <w:rPr>
          <w:rFonts w:hint="eastAsia"/>
        </w:rPr>
      </w:pPr>
      <w:r>
        <w:rPr>
          <w:rFonts w:hint="eastAsia" w:ascii="仿宋" w:hAnsi="仿宋" w:eastAsia="仿宋" w:cs="仿宋"/>
          <w:b/>
          <w:bCs/>
          <w:sz w:val="44"/>
          <w:szCs w:val="44"/>
        </w:rPr>
        <w:t>第三部分</w:t>
      </w:r>
      <w:r>
        <w:rPr>
          <w:rFonts w:hint="eastAsia" w:ascii="仿宋" w:hAnsi="仿宋" w:eastAsia="仿宋" w:cs="仿宋"/>
          <w:b/>
          <w:bCs/>
          <w:sz w:val="44"/>
          <w:szCs w:val="44"/>
          <w:lang w:val="en-US" w:eastAsia="zh-CN"/>
        </w:rPr>
        <w:t xml:space="preserve"> </w:t>
      </w:r>
      <w:r>
        <w:rPr>
          <w:rFonts w:hint="eastAsia" w:ascii="仿宋" w:hAnsi="仿宋" w:eastAsia="仿宋" w:cs="仿宋"/>
          <w:b/>
          <w:bCs/>
          <w:sz w:val="44"/>
          <w:szCs w:val="44"/>
        </w:rPr>
        <w:t>2020年度</w:t>
      </w:r>
      <w:r>
        <w:rPr>
          <w:rFonts w:ascii="仿宋" w:hAnsi="仿宋" w:eastAsia="仿宋" w:cs="仿宋"/>
          <w:b/>
          <w:sz w:val="44"/>
        </w:rPr>
        <w:t>单位决算情况说明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eastAsia="zh-CN"/>
        </w:rPr>
      </w:pPr>
      <w:r>
        <w:rPr>
          <w:rFonts w:ascii="仿宋" w:hAnsi="仿宋" w:eastAsia="仿宋" w:cs="仿宋"/>
          <w:b/>
        </w:rPr>
        <w:t>一、收入支出决算总体情况说明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江苏省民政干部学校2020年度收入、支出总计531.42万元，与上年相比收、支总计各减少8.09万元，减少1.5%。其中：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（一）收入总计531.42万元。包括：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1．本年收入合计463.28万元。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1）一般公共预算财政拨款收入386.12万元，为当年从同级财政取得的一般公共预算拨款，与上年相比减少11.16万元，减少2.81%。主要原因是人员变动（在职转退休）调整导致人员经费的减少，以及培训经费的缩减。</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（2）政府性基金预算财政拨款收入0万元，为当年从同级财政取得的政府性基金预算拨款，与上年决算数相同。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（3）国有资本经营预算财政拨款收入0万元，为当年从同级财政取得的国有资本经营预算拨款，与上年决算数相同。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（4）上级补助收入0万元，与上年决算数相同。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5）事业收入77.16万元，为江苏省民政干部学校开展民政系统内业务培训业务活动及其辅助活动取得的收入。与上年相比减少65.07万元，减少45.75%。主要原因是受新冠疫情影响较大，开班限制较多、培训班业务量减少，导致民政系统内业务培训收入相应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（6）经营收入0万元，与上年决算数相同。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（7）附属单位上缴收入0万元，与上年决算数相同。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（8）其他收入0万元，与上年决算数相同。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2．使用非财政拨款结余68.14万元，为事业单位使用非财政拨款结余（原事业基金）弥补当年收支差额的数额。主要为江苏省民政干部学校因受新冠疫情影响较大，民政系统内业务培训收入大幅度下降，当年度财政拨款收入不足覆盖人员工资及业务培训开支使用以前年度积累的非财政拨款结余（原事业基金）弥补当年收支缺口的资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3．年初结转和结余0万元。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（二）支出总计531.42万元。包括：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1．本年支出合计531.42万元。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1）社会保障和就业（类）支出382.97万元，主要用于人员工资、办公经费、培训班支出。与上年相比减少21.34万元，减少5.28%。主要原因是人员变动（在职转退休）调整导致人员经费的减少，以及培训业务量减少导致开支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2）住房保障（类）支出148.45万元，主要用于单位人员按国家政策规定用于住房改革方面的支出，具体包括住房公积金、提租补贴2个项级支出科目。与上年相比增加15.01万元，增长11.25%。主要原因是人员变动及工资政策性调整导致住房保障支出经费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2．结余分配0万元，为单位当年结余的分配情况，与上年相比减少1.76万元，减少100%。主要原因是江苏省民政干部学校因受新冠疫情影响较大，民政系统内业务培训收入大幅度下降，财政拨款收入不足覆盖人员工资及业务培训开支，无结余分配。</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3．年末结转和结余0万元。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二、收入决算情况说明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民政干部学校本年收入合计463.28万元，其中：财政拨款收入386.12万元，占83.34%；上级补助收入0万元，占0%；事业收入77.16万元，占16.66%；经营收入0万元，占0%；附属单位上缴收入0万元，占0%；其他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0" w:leftChars="0" w:right="420" w:firstLine="0"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43625" cy="3429000"/>
            <wp:effectExtent l="0" t="0" r="13970"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22"/>
                    <a:stretch>
                      <a:fillRect/>
                    </a:stretch>
                  </pic:blipFill>
                  <pic:spPr>
                    <a:xfrm>
                      <a:off x="0" y="0"/>
                      <a:ext cx="6143625"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三、支出决算情况说明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江苏省民政干部学校本年支出合计531.42万元，其中：基本支出459.71万元，占86.51%；项目支出71.71万元，占13.49%；上缴上级支出0万元，占0%；经营支出0万元，占0%；对附属单位补助支出0万元，占0%。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right="420"/>
        <w:jc w:val="center"/>
        <w:textAlignment w:val="auto"/>
        <w:rPr>
          <w:rFonts w:hint="eastAsia" w:ascii="仿宋" w:hAnsi="仿宋" w:eastAsia="仿宋" w:cs="仿宋"/>
        </w:rPr>
      </w:pPr>
      <w:r>
        <w:rPr>
          <w:rFonts w:hint="eastAsia" w:ascii="仿宋" w:hAnsi="仿宋" w:eastAsia="仿宋" w:cs="仿宋"/>
          <w:lang w:val="en-US" w:eastAsia="zh-CN"/>
        </w:rPr>
        <w:drawing>
          <wp:inline distT="0" distB="0" distL="0" distR="0">
            <wp:extent cx="6143625" cy="3429000"/>
            <wp:effectExtent l="0" t="0" r="13970"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3"/>
                    <a:stretch>
                      <a:fillRect/>
                    </a:stretch>
                  </pic:blipFill>
                  <pic:spPr>
                    <a:xfrm>
                      <a:off x="0" y="0"/>
                      <a:ext cx="6143625"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四、财政拨款收入支出决算总体情况说明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江苏省民政干部学校2020年度财政拨款收、支总决算386.12万元，与上年相比，财政拨款收、支总计各减少11.16万元，减少2.81%。主要原因是人员变动（在职转退休）调整导致人员经费的减少，以及培训经费的缩减。</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五、财政拨款支出决算情况说明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财政拨款支出决算反映的是一般公共预算、政府性基金预算和国有资本经营预算财政拨款支出的总体情况，既包括使用本年从本级财政取得的拨款发生的支出，也包括使用上年度财政拨款结转和结余资金发生的支出。江苏省民政干部学校2020年度财政拨款支出386.12万元，占本年支出合计的72.66%。江苏省民政干部学校2020年度财政拨款支出年初预算为358.36万元，支出决算为386.12万元，完成年初预算的107.75%。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（一）社会保障和就业支出（类）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行政事业单位养老支出（款）机关事业单位基本养老保险缴费支出（项）。年初预算为19.12万元，支出决算为6.77万元，完成年初预算的35.41%，决算数小于预算数的主要原因我校基本养老保险缴费一部分由自有资金支付。</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行政事业单位养老支出（款）机关事业单位职业年金缴费支出（项）。年初预算为9.56万元，支出决算为10.32万元，完成年初预算的107.95%，决算数大于预算数的主要原因职业年金基数调增，导致年度职业年金缴费支出大于预算数。</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3．其他社会保障和就业支出（款）其他社会保障和就业支出（项）。年初预算为210.42万元，支出决算为222.01万元，完成年初预算的105.51%，决算数大于预算数的主要原因人员变动、工资政策性调整，支出增多。</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（二）住房保障支出（类）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1．住房改革支出（款）住房公积金（项）。年初预算为28.01万元，支出决算为33.12万元，完成年初预算的118.24%，决算数大于预算数的主要原因单位人员变动及工资政策性调整，住房公积金增加。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2．住房改革支出（款）提租补贴（项）。年初预算为91.25万元，支出决算为113.9万元，完成年初预算的124.82%，决算数大于预算数的主要原因单位人员变动及工资政策性调整，提租补贴增加。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六、财政拨款基本支出决算情况说明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江苏省民政干部学校2020年度财政拨款基本支出386.12万元，其中：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（一）人员经费364.72万元。主要包括：基本工资、津贴补贴、绩效工资、机关事业单位基本养老保险缴费、职业年金缴费、住房公积金、退休费、生活补助。</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（二）公用经费21.4万元。主要包括：办公费、印刷费、邮电费、差旅费、工会经费、福利费、公务用车运行维护费。</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七、一般公共预算财政拨款支出决算情况说明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般公共预算财政拨款支出决算反映的是一般公共预算财政拨款支出的总体情况，既包括使用本年从本级财政取得的一般公共预算财政拨款发生的支出，也包括使用上年度一般公共预算财政拨款结转和结余资金发生的支出。江苏省民政干部学校2020年度一般公共预算财政拨款支出386.12万元，与上年相比减少11.16万元，减少2.81%。主要原因是人员变动（在职转退休）调整导致人员经费的减少，以及培训开支的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八、一般公共预算财政拨款基本支出决算情况说明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江苏省民政干部学校2020年度一般公共预算财政拨款基本支出386.12万元，其中：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（一）人员经费364.72万元。主要包括：基本工资、津贴补贴、绩效工资、机关事业单位基本养老保险缴费、职业年金缴费、住房公积金、退休费、生活补助。</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（二）公用经费21.4万元。主要包括：办公费、印刷费、邮电费、差旅费、工会经费、福利费、公务用车运行维护费。</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九、一般公共预算财政拨款“三公”经费、会议费、培训费支出情况说明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民政干部学校2020年度一般公共预算拨款安排的“三公”经费决算支出中，因公出国（境）费支出0万元，占“三公”经费的0%；公务用车购置及运行维护费支出0.04万元，占“三公”经费的100%；公务接待费支出0万元，占“三公”经费的0%。具体情况如下：</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1．因公出国（境）费决算支出0万元，年初预算数为0万元，无法计算完成比率，与上年决算数相同，与本年预算数相同，全年使用一般公共预算拨款支出安排的出国（境）团组0个，累计0人次。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2．公务用车购置及运行维护费支出0.04万元。其中：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（1）公务用车购置决算支出0万元，年初预算数为0万元，无法计算完成比率，与上年决算数相同，与本年预算数相同。本年度使用一般公共预算拨款购置公务用车0辆。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公务用车运行维护费决算支出0.04万元，完成年初预算的4%，比上年决算减少0.61万元，主要原因为因疫情影响，培训班业务量减少，公务用车使用频率较低，此外2020年度保险、车船税于2021年支付；决算数小于预算数的主要原因因疫情影响，培训班业务量减少，公务用车使用频率较低，此外2020年度保险、车船税于2021年支付。公务用车运行维护费主要用于车辆检修；2020年度使用一般公共预算拨款开支运行维护费的公务用车保有量1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0万元，完成年初预算的0%，与上年决算数相同，决算数小于预算数的主要原因2020年度，我校未发生公务接待。其中：国内公务接待支出0万元，接待0批次，0人次国（境）外公务接待支出0万元，接待0批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江苏省民政干部学校2020年度一般公共预算拨款安排的会议费决算支出0万元，年初预算数为0万元，无法计算完成比率，与上年决算数相同，与本年预算数相同，2020年度全年召开会议0个，参加会议0人次。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江苏省民政干部学校2020年度一般公共预算拨款安排的培训费决算支出0万元，年初预算数为0万元，无法计算完成比率，与上年决算数相同，与本年预算数相同，2020年度全年组织培训0个，组织培训0人次。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十、政府性基金预算财政拨款收入支出决算情况说明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江苏省民政干部学校2020年度政府性基金预算财政拨款年初结转和结余0万元，本年收入决算0万元，本年支出决算0万元，年末结转和结余0万元。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十一、一般公共预算机关运行经费支出决算情况说明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2020年度本单位机关运行经费支出0万元，与上年决算数相同。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十二、政府采购支出决算情况说明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政府采购支出总额0万元，其中：政府采购货物支出0万元、政府采购工程支出0万元、政府采购服务支出0万元。授予中小企业合同金额0万元，占政府采购支出总额的0%，其中：授予小微企业合同金额0万元，占政府采购支出总额的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十三、国有资产占用情况说明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单位共有车辆1辆，其中，副部（省）级及以上领导用车0辆、主要领导干部用车0辆、机要通信用车0辆、应急保障用车0辆、执法执勤用车0辆、特种专业用车0辆、离退休干部用车0辆，其他用车1辆，其他用车主要是用于民政系统内业务培训开展;单价50万元（含）以上的通用设备0台（套），单价100万元（含）以上的专用设备0台（套）。</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十四、预算绩效评价工作开展情况</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本单位共0个项目开展了财政重点绩效评价，涉及财政性资金合计0万元；本单位未开展财政整体支出重点绩效评价，涉及财政性资金0万元；本单位共0个项目开展了单位绩效自评，涉及财政性资金合计0万元。</w:t>
      </w:r>
    </w:p>
    <w:p>
      <w:pPr>
        <w:pStyle w:val="8"/>
        <w:spacing w:line="235" w:lineRule="auto"/>
        <w:ind w:left="669" w:leftChars="300" w:right="2414" w:hanging="9" w:firstLineChars="0"/>
        <w:jc w:val="both"/>
        <w:rPr>
          <w:rFonts w:hint="eastAsia" w:ascii="仿宋" w:hAnsi="仿宋" w:eastAsia="仿宋" w:cs="仿宋"/>
        </w:rPr>
        <w:sectPr>
          <w:footerReference r:id="rId19"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p>
    <w:p>
      <w:pPr>
        <w:pStyle w:val="8"/>
        <w:tabs>
          <w:tab w:val="left" w:pos="3864"/>
          <w:tab w:val="left" w:pos="6248"/>
          <w:tab w:val="left" w:pos="7386"/>
        </w:tabs>
        <w:spacing w:before="1" w:after="0" w:line="336" w:lineRule="auto"/>
        <w:ind w:left="348" w:right="420" w:firstLine="640"/>
        <w:jc w:val="both"/>
        <w:rPr>
          <w:rFonts w:hint="eastAsia" w:ascii="仿宋" w:hAnsi="仿宋" w:eastAsia="仿宋" w:cs="仿宋"/>
          <w:lang w:val="en-US" w:eastAsia="zh-CN"/>
        </w:rPr>
        <w:sectPr>
          <w:footerReference r:id="rId20" w:type="default"/>
          <w:pgSz w:w="11906" w:h="16838"/>
          <w:pgMar w:top="1580" w:right="820" w:bottom="770" w:left="90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tabs>
          <w:tab w:val="left" w:pos="3864"/>
          <w:tab w:val="left" w:pos="6248"/>
          <w:tab w:val="left" w:pos="7386"/>
        </w:tabs>
        <w:spacing w:before="0" w:after="0" w:line="240" w:lineRule="auto"/>
        <w:ind w:left="0" w:right="0" w:firstLine="0"/>
        <w:jc w:val="center"/>
        <w:rPr>
          <w:rFonts w:hint="eastAsia" w:ascii="仿宋" w:hAnsi="仿宋" w:eastAsia="仿宋" w:cs="仿宋"/>
          <w:b/>
          <w:bCs/>
          <w:sz w:val="36"/>
          <w:szCs w:val="36"/>
        </w:rPr>
      </w:pPr>
      <w:r>
        <w:rPr>
          <w:rFonts w:hint="eastAsia" w:ascii="仿宋" w:hAnsi="仿宋" w:eastAsia="仿宋" w:cs="仿宋"/>
          <w:b/>
          <w:bCs/>
          <w:sz w:val="36"/>
          <w:szCs w:val="36"/>
        </w:rPr>
        <w:t>第四部分 名词解释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一、财政拨款收入</w:t>
      </w:r>
      <w:r>
        <w:rPr>
          <w:rFonts w:ascii="仿宋" w:hAnsi="仿宋" w:eastAsia="仿宋" w:cs="仿宋"/>
          <w:b/>
        </w:rPr>
        <w:t>：</w:t>
      </w:r>
      <w:r>
        <w:rPr>
          <w:rFonts w:hint="eastAsia" w:ascii="仿宋" w:hAnsi="仿宋" w:eastAsia="仿宋" w:cs="仿宋"/>
        </w:rPr>
        <w:t>指单位本年度从同级财政部门取得的各类财政拨款。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二、上级补助收入</w:t>
      </w:r>
      <w:r>
        <w:rPr>
          <w:rFonts w:ascii="仿宋" w:hAnsi="仿宋" w:eastAsia="仿宋" w:cs="仿宋"/>
          <w:b/>
        </w:rPr>
        <w:t>：</w:t>
      </w:r>
      <w:r>
        <w:rPr>
          <w:rFonts w:hint="eastAsia" w:ascii="仿宋" w:hAnsi="仿宋" w:eastAsia="仿宋" w:cs="仿宋"/>
        </w:rPr>
        <w:t>指事业单位从主管部门和上级单位取得的非财政补助收入。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三、事业收入</w:t>
      </w:r>
      <w:r>
        <w:rPr>
          <w:rFonts w:ascii="仿宋" w:hAnsi="仿宋" w:eastAsia="仿宋" w:cs="仿宋"/>
          <w:b/>
        </w:rPr>
        <w:t>：</w:t>
      </w:r>
      <w:r>
        <w:rPr>
          <w:rFonts w:hint="eastAsia" w:ascii="仿宋" w:hAnsi="仿宋" w:eastAsia="仿宋" w:cs="仿宋"/>
        </w:rPr>
        <w:t>指事业单位开展专业业务活动及其辅助活动取得的收入，事业单位收到的财政专户实际核拨的教育收费等资金在此反映。</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四、经营收入</w:t>
      </w:r>
      <w:r>
        <w:rPr>
          <w:rFonts w:ascii="仿宋" w:hAnsi="仿宋" w:eastAsia="仿宋" w:cs="仿宋"/>
          <w:b/>
        </w:rPr>
        <w:t>：</w:t>
      </w:r>
      <w:r>
        <w:rPr>
          <w:rFonts w:hint="eastAsia" w:ascii="仿宋" w:hAnsi="仿宋" w:eastAsia="仿宋" w:cs="仿宋"/>
        </w:rPr>
        <w:t>指事业单位在专业业务活动及其辅助活动之外开展非独立核算经营活动取得的收入。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五、附属单位上缴收入</w:t>
      </w:r>
      <w:r>
        <w:rPr>
          <w:rFonts w:ascii="仿宋" w:hAnsi="仿宋" w:eastAsia="仿宋" w:cs="仿宋"/>
          <w:b/>
        </w:rPr>
        <w:t>：</w:t>
      </w:r>
      <w:r>
        <w:rPr>
          <w:rFonts w:hint="eastAsia" w:ascii="仿宋" w:hAnsi="仿宋" w:eastAsia="仿宋" w:cs="仿宋"/>
        </w:rPr>
        <w:t>指事业单位附属独立核算单位按照有关规定上缴的收入。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六、其他收入</w:t>
      </w:r>
      <w:r>
        <w:rPr>
          <w:rFonts w:ascii="仿宋" w:hAnsi="仿宋" w:eastAsia="仿宋" w:cs="仿宋"/>
          <w:b/>
        </w:rPr>
        <w:t>：</w:t>
      </w:r>
      <w:r>
        <w:rPr>
          <w:rFonts w:hint="eastAsia" w:ascii="仿宋" w:hAnsi="仿宋" w:eastAsia="仿宋" w:cs="仿宋"/>
        </w:rPr>
        <w:t>指单位取得的除上述“财政拨款收入”、“事业收入”、“经营收入”等以外的各项收入。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七、使用非财政拨款结余</w:t>
      </w:r>
      <w:r>
        <w:rPr>
          <w:rFonts w:ascii="仿宋" w:hAnsi="仿宋" w:eastAsia="仿宋" w:cs="仿宋"/>
          <w:b/>
        </w:rPr>
        <w:t>：</w:t>
      </w:r>
      <w:r>
        <w:rPr>
          <w:rFonts w:hint="eastAsia" w:ascii="仿宋" w:hAnsi="仿宋" w:eastAsia="仿宋" w:cs="仿宋"/>
        </w:rPr>
        <w:t>指事业单位使用非财政拨款结余（原事业基金）弥补当年收支差额的数额。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八、年初结转和结余</w:t>
      </w:r>
      <w:r>
        <w:rPr>
          <w:rFonts w:ascii="仿宋" w:hAnsi="仿宋" w:eastAsia="仿宋" w:cs="仿宋"/>
          <w:b/>
        </w:rPr>
        <w:t>：</w:t>
      </w:r>
      <w:r>
        <w:rPr>
          <w:rFonts w:hint="eastAsia" w:ascii="仿宋" w:hAnsi="仿宋" w:eastAsia="仿宋" w:cs="仿宋"/>
        </w:rPr>
        <w:t>指单位上年结转本年使用的基本支出结转、项目支出结转和结余和经营结余。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九、结余分配</w:t>
      </w:r>
      <w:r>
        <w:rPr>
          <w:rFonts w:ascii="仿宋" w:hAnsi="仿宋" w:eastAsia="仿宋" w:cs="仿宋"/>
          <w:b/>
        </w:rPr>
        <w:t>：</w:t>
      </w:r>
      <w:r>
        <w:rPr>
          <w:rFonts w:hint="eastAsia" w:ascii="仿宋" w:hAnsi="仿宋" w:eastAsia="仿宋" w:cs="仿宋"/>
        </w:rPr>
        <w:t>指事业单位按规定对非财政拨款结余资金提取的专用基金、缴纳的所得税和转入非财政拨款结余等。</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十、年末结转和结余资金</w:t>
      </w:r>
      <w:r>
        <w:rPr>
          <w:rFonts w:ascii="仿宋" w:hAnsi="仿宋" w:eastAsia="仿宋" w:cs="仿宋"/>
          <w:b/>
        </w:rPr>
        <w:t>：</w:t>
      </w:r>
      <w:r>
        <w:rPr>
          <w:rFonts w:hint="eastAsia" w:ascii="仿宋" w:hAnsi="仿宋" w:eastAsia="仿宋" w:cs="仿宋"/>
        </w:rPr>
        <w:t>指本年度或以前年度预算安排、因客观条件发生变化无法按原计划实施，需要延迟到以后年度按有关规定继续使用的资金。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十一、基本支出</w:t>
      </w:r>
      <w:r>
        <w:rPr>
          <w:rFonts w:ascii="仿宋" w:hAnsi="仿宋" w:eastAsia="仿宋" w:cs="仿宋"/>
          <w:b/>
        </w:rPr>
        <w:t>：</w:t>
      </w:r>
      <w:r>
        <w:rPr>
          <w:rFonts w:hint="eastAsia" w:ascii="仿宋" w:hAnsi="仿宋" w:eastAsia="仿宋" w:cs="仿宋"/>
        </w:rPr>
        <w:t>指为保障机构正常运转、完成日常工作任务而发生的支出，包括人员经费和公用经费。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十二、项目支出</w:t>
      </w:r>
      <w:r>
        <w:rPr>
          <w:rFonts w:ascii="仿宋" w:hAnsi="仿宋" w:eastAsia="仿宋" w:cs="仿宋"/>
          <w:b/>
        </w:rPr>
        <w:t>：</w:t>
      </w:r>
      <w:r>
        <w:rPr>
          <w:rFonts w:hint="eastAsia" w:ascii="仿宋" w:hAnsi="仿宋" w:eastAsia="仿宋" w:cs="仿宋"/>
        </w:rPr>
        <w:t>指在为完成特定的工作任务和事业发展目标所发生的支出。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十三、上缴上级支出</w:t>
      </w:r>
      <w:r>
        <w:rPr>
          <w:rFonts w:ascii="仿宋" w:hAnsi="仿宋" w:eastAsia="仿宋" w:cs="仿宋"/>
          <w:b/>
        </w:rPr>
        <w:t>：</w:t>
      </w:r>
      <w:r>
        <w:rPr>
          <w:rFonts w:hint="eastAsia" w:ascii="仿宋" w:hAnsi="仿宋" w:eastAsia="仿宋" w:cs="仿宋"/>
        </w:rPr>
        <w:t>指事业单位按照财政部门和主管部门的规定上缴上级单位的支出。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十四、经营支出</w:t>
      </w:r>
      <w:r>
        <w:rPr>
          <w:rFonts w:ascii="仿宋" w:hAnsi="仿宋" w:eastAsia="仿宋" w:cs="仿宋"/>
          <w:b/>
        </w:rPr>
        <w:t>：</w:t>
      </w:r>
      <w:r>
        <w:rPr>
          <w:rFonts w:hint="eastAsia" w:ascii="仿宋" w:hAnsi="仿宋" w:eastAsia="仿宋" w:cs="仿宋"/>
        </w:rPr>
        <w:t>指事业单位在专业业务活动及其辅助活动之外开展非独立核算经营活动发生的支出。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十五、对附属单位补助支出</w:t>
      </w:r>
      <w:r>
        <w:rPr>
          <w:rFonts w:ascii="仿宋" w:hAnsi="仿宋" w:eastAsia="仿宋" w:cs="仿宋"/>
          <w:b/>
        </w:rPr>
        <w:t>：</w:t>
      </w:r>
      <w:r>
        <w:rPr>
          <w:rFonts w:hint="eastAsia" w:ascii="仿宋" w:hAnsi="仿宋" w:eastAsia="仿宋" w:cs="仿宋"/>
        </w:rPr>
        <w:t>指事业单位用财政拨款收入之外的收入对附属单位补助发生的支出。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十六、“三公”经费</w:t>
      </w:r>
      <w:r>
        <w:rPr>
          <w:rFonts w:ascii="仿宋" w:hAnsi="仿宋" w:eastAsia="仿宋" w:cs="仿宋"/>
          <w:b/>
        </w:rPr>
        <w:t>：</w:t>
      </w:r>
      <w:r>
        <w:rPr>
          <w:rFonts w:hint="eastAsia" w:ascii="仿宋" w:hAnsi="仿宋" w:eastAsia="仿宋" w:cs="仿宋"/>
        </w:rPr>
        <w:t>指单位用一般公共预算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十七、机关运行经费</w:t>
      </w:r>
      <w:r>
        <w:rPr>
          <w:rFonts w:ascii="仿宋" w:hAnsi="仿宋" w:eastAsia="仿宋" w:cs="仿宋"/>
          <w:b/>
        </w:rPr>
        <w:t>：</w:t>
      </w:r>
      <w:r>
        <w:rPr>
          <w:rFonts w:hint="eastAsia" w:ascii="仿宋" w:hAnsi="仿宋" w:eastAsia="仿宋" w:cs="仿宋"/>
        </w:rPr>
        <w:t>指行政单位（含参照公务员法管理的事业单位）使用一般公共预算安排的基本支出中的公用经费支出，包括办公及印刷费、邮电费、差旅费、会议费、福利费、日常维修费、专用材料及一般设备购置费、办公用房水电费、办公用房取暖费、办公用房物业管理费、公务用车运行维护费及其他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十八、社会保障和就业支出(类)行政事业单位养老支出(款)机关事业单位基本养老保险缴费支出(项)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十九、社会保障和就业支出(类)行政事业单位养老支出(款)机关事业单位职业年金缴费支出(项)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二十、社会保障和就业支出(类)其他社会保障和就业支出(款)其他社会保障和就业支出(项)</w:t>
      </w:r>
      <w:r>
        <w:rPr>
          <w:rFonts w:ascii="仿宋" w:hAnsi="仿宋" w:eastAsia="仿宋" w:cs="仿宋"/>
          <w:b/>
        </w:rPr>
        <w:t>：</w:t>
      </w:r>
      <w:r>
        <w:rPr>
          <w:rFonts w:hint="eastAsia" w:ascii="仿宋" w:hAnsi="仿宋" w:eastAsia="仿宋" w:cs="仿宋"/>
        </w:rPr>
        <w:t>反映除上述项目以外其他用于社会保障和就业方面的支出。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二十一、住房保障支出(类)住房改革支出(款)住房公积金(项)</w:t>
      </w:r>
      <w:r>
        <w:rPr>
          <w:rFonts w:ascii="仿宋" w:hAnsi="仿宋" w:eastAsia="仿宋" w:cs="仿宋"/>
          <w:b/>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二十二、住房保障支出(类)住房改革支出(款)提租补贴(项)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sectPr>
      <w:type w:val="continuous"/>
      <w:pgSz w:w="11906" w:h="16838"/>
      <w:pgMar w:top="1580" w:right="820" w:bottom="770" w:left="900" w:header="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Arial Unicode MS">
    <w:panose1 w:val="020B0604020202020204"/>
    <w:charset w:val="86"/>
    <w:family w:val="roman"/>
    <w:pitch w:val="default"/>
    <w:sig w:usb0="FFFFFFFF" w:usb1="E9FFFFFF" w:usb2="0000003F" w:usb3="00000000" w:csb0="603F01FF" w:csb1="FFFF0000"/>
  </w:font>
  <w:font w:name="Liberation Sans">
    <w:altName w:val="宋体"/>
    <w:panose1 w:val="020B0604020202020204"/>
    <w:charset w:val="86"/>
    <w:family w:val="roman"/>
    <w:pitch w:val="default"/>
    <w:sig w:usb0="00000000" w:usb1="00000000" w:usb2="00000021" w:usb3="00000000" w:csb0="600001BF" w:csb1="DFF70000"/>
  </w:font>
  <w:font w:name="Liberation Mono">
    <w:altName w:val="宋体"/>
    <w:panose1 w:val="02070409020205020404"/>
    <w:charset w:val="86"/>
    <w:family w:val="roman"/>
    <w:pitch w:val="default"/>
    <w:sig w:usb0="00000000" w:usb1="00000000" w:usb2="00000001" w:usb3="00000000" w:csb0="600001BF" w:csb1="DFF70000"/>
  </w:font>
  <w:font w:name="新宋体">
    <w:panose1 w:val="02010609030101010101"/>
    <w:charset w:val="86"/>
    <w:family w:val="auto"/>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ED5jvy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0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2"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QcmF+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dQmwA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0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4"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KTZIrm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0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5"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G6/1sC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0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3QjNN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lP+zL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0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8"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HB5Odr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EGyNL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0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9"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Rgqf5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0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4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AOfdcy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BMWPed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LUO702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zXshsb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0"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w+lwir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0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1"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AmPhPO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江苏省民政干部学校</w:t>
    </w:r>
    <w:r>
      <w:t>2020年度部门决算公开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A63D8E2"/>
    <w:multiLevelType w:val="singleLevel"/>
    <w:tmpl w:val="9A63D8E2"/>
    <w:lvl w:ilvl="0" w:tentative="0">
      <w:start w:val="2"/>
      <w:numFmt w:val="decimal"/>
      <w:lvlText w:val="%1."/>
      <w:lvlJc w:val="left"/>
      <w:pPr>
        <w:tabs>
          <w:tab w:val="left" w:pos="312"/>
        </w:tabs>
        <w:ind w:left="1058" w:leftChars="0" w:firstLine="0" w:firstLineChars="0"/>
      </w:pPr>
    </w:lvl>
  </w:abstractNum>
  <w:abstractNum w:abstractNumId="1">
    <w:nsid w:val="D35CEB36"/>
    <w:multiLevelType w:val="singleLevel"/>
    <w:tmpl w:val="D35CEB36"/>
    <w:lvl w:ilvl="0" w:tentative="0">
      <w:start w:val="2"/>
      <w:numFmt w:val="decimal"/>
      <w:lvlText w:val="%1."/>
      <w:lvlJc w:val="left"/>
      <w:pPr>
        <w:tabs>
          <w:tab w:val="left" w:pos="312"/>
        </w:tabs>
        <w:ind w:left="498" w:leftChars="0" w:firstLine="0" w:firstLineChars="0"/>
      </w:pPr>
    </w:lvl>
  </w:abstractNum>
  <w:abstractNum w:abstractNumId="2">
    <w:nsid w:val="2B7DC955"/>
    <w:multiLevelType w:val="singleLevel"/>
    <w:tmpl w:val="2B7DC955"/>
    <w:lvl w:ilvl="0" w:tentative="0">
      <w:start w:val="2"/>
      <w:numFmt w:val="decimal"/>
      <w:lvlText w:val="%1."/>
      <w:lvlJc w:val="left"/>
      <w:pPr>
        <w:tabs>
          <w:tab w:val="left" w:pos="312"/>
        </w:tabs>
        <w:ind w:left="669" w:leftChars="0" w:firstLine="0" w:firstLineChars="0"/>
      </w:pPr>
    </w:lvl>
  </w:abstractNum>
  <w:abstractNum w:abstractNumId="3">
    <w:nsid w:val="325C14DC"/>
    <w:multiLevelType w:val="singleLevel"/>
    <w:tmpl w:val="325C14DC"/>
    <w:lvl w:ilvl="0" w:tentative="0">
      <w:start w:val="2"/>
      <w:numFmt w:val="decimal"/>
      <w:lvlText w:val="%1."/>
      <w:lvlJc w:val="left"/>
      <w:pPr>
        <w:tabs>
          <w:tab w:val="left" w:pos="312"/>
        </w:tabs>
      </w:pPr>
    </w:lvl>
  </w:abstractNum>
  <w:abstractNum w:abstractNumId="4">
    <w:nsid w:val="38CB0B28"/>
    <w:multiLevelType w:val="singleLevel"/>
    <w:tmpl w:val="38CB0B28"/>
    <w:lvl w:ilvl="0" w:tentative="0">
      <w:start w:val="2"/>
      <w:numFmt w:val="decimal"/>
      <w:lvlText w:val="%1."/>
      <w:lvlJc w:val="left"/>
      <w:pPr>
        <w:tabs>
          <w:tab w:val="left" w:pos="312"/>
        </w:tabs>
      </w:pPr>
    </w:lvl>
  </w:abstractNum>
  <w:abstractNum w:abstractNumId="5">
    <w:nsid w:val="471B8B78"/>
    <w:multiLevelType w:val="singleLevel"/>
    <w:tmpl w:val="471B8B78"/>
    <w:lvl w:ilvl="0" w:tentative="0">
      <w:start w:val="2"/>
      <w:numFmt w:val="decimal"/>
      <w:lvlText w:val="%1."/>
      <w:lvlJc w:val="left"/>
      <w:pPr>
        <w:tabs>
          <w:tab w:val="left" w:pos="312"/>
        </w:tabs>
        <w:ind w:left="1197" w:leftChars="0" w:firstLine="0" w:firstLineChars="0"/>
      </w:pPr>
    </w:lvl>
  </w:abstractNum>
  <w:abstractNum w:abstractNumId="6">
    <w:nsid w:val="69700013"/>
    <w:multiLevelType w:val="singleLevel"/>
    <w:tmpl w:val="69700013"/>
    <w:lvl w:ilvl="0" w:tentative="0">
      <w:start w:val="2"/>
      <w:numFmt w:val="decimal"/>
      <w:lvlText w:val="%1."/>
      <w:lvlJc w:val="left"/>
      <w:pPr>
        <w:tabs>
          <w:tab w:val="left" w:pos="312"/>
        </w:tabs>
      </w:pPr>
    </w:lvl>
  </w:abstractNum>
  <w:abstractNum w:abstractNumId="7">
    <w:nsid w:val="73305834"/>
    <w:multiLevelType w:val="singleLevel"/>
    <w:tmpl w:val="73305834"/>
    <w:lvl w:ilvl="0" w:tentative="0">
      <w:start w:val="2"/>
      <w:numFmt w:val="decimal"/>
      <w:lvlText w:val="%1."/>
      <w:lvlJc w:val="left"/>
      <w:pPr>
        <w:tabs>
          <w:tab w:val="left" w:pos="312"/>
        </w:tabs>
      </w:pPr>
      <w:rPr>
        <w:rFonts w:hint="default"/>
      </w:rPr>
    </w:lvl>
  </w:abstractNum>
  <w:num w:numId="1">
    <w:abstractNumId w:val="1"/>
  </w:num>
  <w:num w:numId="2">
    <w:abstractNumId w:val="6"/>
  </w:num>
  <w:num w:numId="3">
    <w:abstractNumId w:val="0"/>
  </w:num>
  <w:num w:numId="4">
    <w:abstractNumId w:val="2"/>
  </w:num>
  <w:num w:numId="5">
    <w:abstractNumId w:val="3"/>
  </w:num>
  <w:num w:numId="6">
    <w:abstractNumId w:val="5"/>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val="1"/>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64984"/>
    <w:rsid w:val="00071789"/>
    <w:rsid w:val="000F12AB"/>
    <w:rsid w:val="001C31F9"/>
    <w:rsid w:val="00407CA7"/>
    <w:rsid w:val="00413AD8"/>
    <w:rsid w:val="00671ED7"/>
    <w:rsid w:val="00672164"/>
    <w:rsid w:val="00867423"/>
    <w:rsid w:val="008B5B05"/>
    <w:rsid w:val="009965EA"/>
    <w:rsid w:val="00A6752E"/>
    <w:rsid w:val="00BD7F33"/>
    <w:rsid w:val="00C15920"/>
    <w:rsid w:val="00C82582"/>
    <w:rsid w:val="00FA3233"/>
    <w:rsid w:val="010F1E77"/>
    <w:rsid w:val="01875334"/>
    <w:rsid w:val="018E7014"/>
    <w:rsid w:val="019803DB"/>
    <w:rsid w:val="01C22655"/>
    <w:rsid w:val="01D4677F"/>
    <w:rsid w:val="01F17DF5"/>
    <w:rsid w:val="023277C7"/>
    <w:rsid w:val="02420B21"/>
    <w:rsid w:val="026604FF"/>
    <w:rsid w:val="027F398B"/>
    <w:rsid w:val="02A822D0"/>
    <w:rsid w:val="02B14230"/>
    <w:rsid w:val="02D43672"/>
    <w:rsid w:val="02DD471D"/>
    <w:rsid w:val="02E8449D"/>
    <w:rsid w:val="02F513AC"/>
    <w:rsid w:val="03121471"/>
    <w:rsid w:val="033F3F8A"/>
    <w:rsid w:val="03673847"/>
    <w:rsid w:val="03690F36"/>
    <w:rsid w:val="03793778"/>
    <w:rsid w:val="039F7320"/>
    <w:rsid w:val="03F86EFB"/>
    <w:rsid w:val="04156348"/>
    <w:rsid w:val="044E689B"/>
    <w:rsid w:val="045E5FB7"/>
    <w:rsid w:val="0495610D"/>
    <w:rsid w:val="04DF580C"/>
    <w:rsid w:val="04EA46EB"/>
    <w:rsid w:val="05185546"/>
    <w:rsid w:val="052126A9"/>
    <w:rsid w:val="05247FC3"/>
    <w:rsid w:val="05346113"/>
    <w:rsid w:val="05423E9C"/>
    <w:rsid w:val="05600A24"/>
    <w:rsid w:val="057525F6"/>
    <w:rsid w:val="05843580"/>
    <w:rsid w:val="058C526F"/>
    <w:rsid w:val="05AB4AE4"/>
    <w:rsid w:val="05BD2716"/>
    <w:rsid w:val="05C73A91"/>
    <w:rsid w:val="05DB339C"/>
    <w:rsid w:val="05FE3016"/>
    <w:rsid w:val="06006806"/>
    <w:rsid w:val="060D1C4C"/>
    <w:rsid w:val="061C50DF"/>
    <w:rsid w:val="06542957"/>
    <w:rsid w:val="0681129C"/>
    <w:rsid w:val="0695552F"/>
    <w:rsid w:val="06C87B62"/>
    <w:rsid w:val="072A453E"/>
    <w:rsid w:val="073A470E"/>
    <w:rsid w:val="07520D7A"/>
    <w:rsid w:val="075575FE"/>
    <w:rsid w:val="07580A5A"/>
    <w:rsid w:val="07656047"/>
    <w:rsid w:val="077C711D"/>
    <w:rsid w:val="079361A1"/>
    <w:rsid w:val="07C509DD"/>
    <w:rsid w:val="08031AA7"/>
    <w:rsid w:val="0806186F"/>
    <w:rsid w:val="083B723A"/>
    <w:rsid w:val="08582C83"/>
    <w:rsid w:val="0860441B"/>
    <w:rsid w:val="08913758"/>
    <w:rsid w:val="08A333FC"/>
    <w:rsid w:val="08D342E7"/>
    <w:rsid w:val="08FC0605"/>
    <w:rsid w:val="09165D85"/>
    <w:rsid w:val="096204B4"/>
    <w:rsid w:val="096B0C35"/>
    <w:rsid w:val="09891979"/>
    <w:rsid w:val="098926B4"/>
    <w:rsid w:val="09984875"/>
    <w:rsid w:val="09E82283"/>
    <w:rsid w:val="09EB3C7D"/>
    <w:rsid w:val="09F032D5"/>
    <w:rsid w:val="09F45579"/>
    <w:rsid w:val="09FE0C6E"/>
    <w:rsid w:val="0A112BB9"/>
    <w:rsid w:val="0A1D215F"/>
    <w:rsid w:val="0A2639C8"/>
    <w:rsid w:val="0A3F45FE"/>
    <w:rsid w:val="0A7F08D2"/>
    <w:rsid w:val="0A964BFD"/>
    <w:rsid w:val="0ADA70C2"/>
    <w:rsid w:val="0AFD463B"/>
    <w:rsid w:val="0B05614C"/>
    <w:rsid w:val="0B134992"/>
    <w:rsid w:val="0B160131"/>
    <w:rsid w:val="0B392278"/>
    <w:rsid w:val="0B813D25"/>
    <w:rsid w:val="0B89728A"/>
    <w:rsid w:val="0BAC43D1"/>
    <w:rsid w:val="0BCF6DAD"/>
    <w:rsid w:val="0BDA5FEC"/>
    <w:rsid w:val="0BF41C52"/>
    <w:rsid w:val="0C047996"/>
    <w:rsid w:val="0C2215AA"/>
    <w:rsid w:val="0C6536DB"/>
    <w:rsid w:val="0C797590"/>
    <w:rsid w:val="0CD230A9"/>
    <w:rsid w:val="0CD65166"/>
    <w:rsid w:val="0CDB2BBC"/>
    <w:rsid w:val="0CE84C0B"/>
    <w:rsid w:val="0CEF2113"/>
    <w:rsid w:val="0CEF2581"/>
    <w:rsid w:val="0D05225F"/>
    <w:rsid w:val="0D261419"/>
    <w:rsid w:val="0D617032"/>
    <w:rsid w:val="0D6C5D61"/>
    <w:rsid w:val="0D760FDB"/>
    <w:rsid w:val="0D7F345D"/>
    <w:rsid w:val="0DAC0D2B"/>
    <w:rsid w:val="0DD06A00"/>
    <w:rsid w:val="0DFC3CDF"/>
    <w:rsid w:val="0DFD772C"/>
    <w:rsid w:val="0DFF5826"/>
    <w:rsid w:val="0E1F1C4F"/>
    <w:rsid w:val="0E27451D"/>
    <w:rsid w:val="0E5E7568"/>
    <w:rsid w:val="0E662847"/>
    <w:rsid w:val="0E94230E"/>
    <w:rsid w:val="0EFE25F0"/>
    <w:rsid w:val="0F807B33"/>
    <w:rsid w:val="0F8F17E6"/>
    <w:rsid w:val="0FB02B15"/>
    <w:rsid w:val="0FB21F29"/>
    <w:rsid w:val="0FB47D1E"/>
    <w:rsid w:val="0FCE598D"/>
    <w:rsid w:val="0FEF37CA"/>
    <w:rsid w:val="100928FC"/>
    <w:rsid w:val="1027035F"/>
    <w:rsid w:val="102A69EF"/>
    <w:rsid w:val="103D6600"/>
    <w:rsid w:val="106204CB"/>
    <w:rsid w:val="10A90FB7"/>
    <w:rsid w:val="11092167"/>
    <w:rsid w:val="110C3973"/>
    <w:rsid w:val="110D47B0"/>
    <w:rsid w:val="11110225"/>
    <w:rsid w:val="111930E1"/>
    <w:rsid w:val="11252430"/>
    <w:rsid w:val="1143676B"/>
    <w:rsid w:val="11471791"/>
    <w:rsid w:val="117C1012"/>
    <w:rsid w:val="11872569"/>
    <w:rsid w:val="11AB09B5"/>
    <w:rsid w:val="11C36B1F"/>
    <w:rsid w:val="11C52DC5"/>
    <w:rsid w:val="11F221C7"/>
    <w:rsid w:val="11F2605E"/>
    <w:rsid w:val="11F724E3"/>
    <w:rsid w:val="122227BF"/>
    <w:rsid w:val="12313173"/>
    <w:rsid w:val="12313682"/>
    <w:rsid w:val="128157F4"/>
    <w:rsid w:val="12B566A2"/>
    <w:rsid w:val="12C448B1"/>
    <w:rsid w:val="12F05187"/>
    <w:rsid w:val="13142710"/>
    <w:rsid w:val="1335650B"/>
    <w:rsid w:val="133E1FA2"/>
    <w:rsid w:val="139377AA"/>
    <w:rsid w:val="13A44407"/>
    <w:rsid w:val="13E2730D"/>
    <w:rsid w:val="13F85ED3"/>
    <w:rsid w:val="140626B0"/>
    <w:rsid w:val="140C350F"/>
    <w:rsid w:val="14207DA2"/>
    <w:rsid w:val="142101C9"/>
    <w:rsid w:val="143164E8"/>
    <w:rsid w:val="14341A45"/>
    <w:rsid w:val="146856DB"/>
    <w:rsid w:val="14933F94"/>
    <w:rsid w:val="14AA0D30"/>
    <w:rsid w:val="14BA3B44"/>
    <w:rsid w:val="1504334D"/>
    <w:rsid w:val="15085477"/>
    <w:rsid w:val="15664CCA"/>
    <w:rsid w:val="159E0364"/>
    <w:rsid w:val="15B93CF7"/>
    <w:rsid w:val="15D36B14"/>
    <w:rsid w:val="16053674"/>
    <w:rsid w:val="16146EAD"/>
    <w:rsid w:val="161A451C"/>
    <w:rsid w:val="161E395E"/>
    <w:rsid w:val="1621543B"/>
    <w:rsid w:val="163E1726"/>
    <w:rsid w:val="167F1A6B"/>
    <w:rsid w:val="16971C37"/>
    <w:rsid w:val="16BE14E7"/>
    <w:rsid w:val="16BE34FA"/>
    <w:rsid w:val="16ED632E"/>
    <w:rsid w:val="1717031D"/>
    <w:rsid w:val="175D47C3"/>
    <w:rsid w:val="17BC2D29"/>
    <w:rsid w:val="1808589E"/>
    <w:rsid w:val="18272F04"/>
    <w:rsid w:val="18473583"/>
    <w:rsid w:val="188B47DF"/>
    <w:rsid w:val="18916DBC"/>
    <w:rsid w:val="18AA3C15"/>
    <w:rsid w:val="18C07826"/>
    <w:rsid w:val="18C77023"/>
    <w:rsid w:val="18FD3C01"/>
    <w:rsid w:val="19195D82"/>
    <w:rsid w:val="194A216C"/>
    <w:rsid w:val="19517451"/>
    <w:rsid w:val="196D1879"/>
    <w:rsid w:val="199D3E22"/>
    <w:rsid w:val="19A676CD"/>
    <w:rsid w:val="19B34CEE"/>
    <w:rsid w:val="19C57B31"/>
    <w:rsid w:val="19CE54E8"/>
    <w:rsid w:val="19DA0E66"/>
    <w:rsid w:val="1A0868DE"/>
    <w:rsid w:val="1A386BB6"/>
    <w:rsid w:val="1A3E0B9C"/>
    <w:rsid w:val="1A641248"/>
    <w:rsid w:val="1A6B178B"/>
    <w:rsid w:val="1AD90120"/>
    <w:rsid w:val="1AEB035A"/>
    <w:rsid w:val="1AF0114F"/>
    <w:rsid w:val="1B136BC2"/>
    <w:rsid w:val="1B1C5890"/>
    <w:rsid w:val="1B363B76"/>
    <w:rsid w:val="1B394ECA"/>
    <w:rsid w:val="1B6F2A95"/>
    <w:rsid w:val="1B7011A6"/>
    <w:rsid w:val="1B894395"/>
    <w:rsid w:val="1BC84BF9"/>
    <w:rsid w:val="1BE008E5"/>
    <w:rsid w:val="1BE426E0"/>
    <w:rsid w:val="1BEF5EDC"/>
    <w:rsid w:val="1BF3045F"/>
    <w:rsid w:val="1C171374"/>
    <w:rsid w:val="1C4928ED"/>
    <w:rsid w:val="1C706707"/>
    <w:rsid w:val="1C8F4549"/>
    <w:rsid w:val="1C9B1094"/>
    <w:rsid w:val="1C9D7829"/>
    <w:rsid w:val="1CA25487"/>
    <w:rsid w:val="1CD53375"/>
    <w:rsid w:val="1CD770E1"/>
    <w:rsid w:val="1CDF3C35"/>
    <w:rsid w:val="1CED64E7"/>
    <w:rsid w:val="1CF655C7"/>
    <w:rsid w:val="1CF70CE3"/>
    <w:rsid w:val="1D0E4D1B"/>
    <w:rsid w:val="1D201166"/>
    <w:rsid w:val="1D5A4782"/>
    <w:rsid w:val="1D623037"/>
    <w:rsid w:val="1D672CB3"/>
    <w:rsid w:val="1D7C0925"/>
    <w:rsid w:val="1D817975"/>
    <w:rsid w:val="1D951979"/>
    <w:rsid w:val="1DAF110E"/>
    <w:rsid w:val="1DB61054"/>
    <w:rsid w:val="1DC94431"/>
    <w:rsid w:val="1E107489"/>
    <w:rsid w:val="1E120047"/>
    <w:rsid w:val="1E2456FC"/>
    <w:rsid w:val="1E387717"/>
    <w:rsid w:val="1E5227F5"/>
    <w:rsid w:val="1E5B1486"/>
    <w:rsid w:val="1E6C2CB1"/>
    <w:rsid w:val="1E86604F"/>
    <w:rsid w:val="1E8B2478"/>
    <w:rsid w:val="1EA55F87"/>
    <w:rsid w:val="1EBB4C20"/>
    <w:rsid w:val="1EC57AB3"/>
    <w:rsid w:val="1ECE40F1"/>
    <w:rsid w:val="1EF93282"/>
    <w:rsid w:val="1EFC05DA"/>
    <w:rsid w:val="1F242409"/>
    <w:rsid w:val="1F342CDC"/>
    <w:rsid w:val="1F5838AB"/>
    <w:rsid w:val="1F721347"/>
    <w:rsid w:val="1F724421"/>
    <w:rsid w:val="1F8B39C7"/>
    <w:rsid w:val="1FA17CC2"/>
    <w:rsid w:val="1FD866E0"/>
    <w:rsid w:val="1FEA282E"/>
    <w:rsid w:val="1FF92872"/>
    <w:rsid w:val="1FFE4976"/>
    <w:rsid w:val="200945DD"/>
    <w:rsid w:val="200B03E4"/>
    <w:rsid w:val="200E293D"/>
    <w:rsid w:val="201802D4"/>
    <w:rsid w:val="20571955"/>
    <w:rsid w:val="20594713"/>
    <w:rsid w:val="20632091"/>
    <w:rsid w:val="20900DEF"/>
    <w:rsid w:val="209B6228"/>
    <w:rsid w:val="20CA3D8E"/>
    <w:rsid w:val="20F544F1"/>
    <w:rsid w:val="2148186B"/>
    <w:rsid w:val="21776D10"/>
    <w:rsid w:val="218F0CEB"/>
    <w:rsid w:val="21EA64FE"/>
    <w:rsid w:val="223F0861"/>
    <w:rsid w:val="227347E3"/>
    <w:rsid w:val="227D4749"/>
    <w:rsid w:val="22B66C67"/>
    <w:rsid w:val="22B96619"/>
    <w:rsid w:val="22C9349D"/>
    <w:rsid w:val="22CF4CB9"/>
    <w:rsid w:val="22E5714F"/>
    <w:rsid w:val="23073234"/>
    <w:rsid w:val="23153D35"/>
    <w:rsid w:val="231859C4"/>
    <w:rsid w:val="233651B2"/>
    <w:rsid w:val="233C5C01"/>
    <w:rsid w:val="23655593"/>
    <w:rsid w:val="23873CA0"/>
    <w:rsid w:val="23A668C2"/>
    <w:rsid w:val="23F81D1C"/>
    <w:rsid w:val="24004EF0"/>
    <w:rsid w:val="24361C71"/>
    <w:rsid w:val="2455798C"/>
    <w:rsid w:val="246E4FE1"/>
    <w:rsid w:val="247771B1"/>
    <w:rsid w:val="24797436"/>
    <w:rsid w:val="24893698"/>
    <w:rsid w:val="248A0DA1"/>
    <w:rsid w:val="248B0DC9"/>
    <w:rsid w:val="24EF440E"/>
    <w:rsid w:val="25191A92"/>
    <w:rsid w:val="25290357"/>
    <w:rsid w:val="253C3B25"/>
    <w:rsid w:val="255F5B0A"/>
    <w:rsid w:val="25664EB1"/>
    <w:rsid w:val="2573629D"/>
    <w:rsid w:val="257B7E43"/>
    <w:rsid w:val="25A7022D"/>
    <w:rsid w:val="25E2513A"/>
    <w:rsid w:val="25F45922"/>
    <w:rsid w:val="25FD2F48"/>
    <w:rsid w:val="262E21CA"/>
    <w:rsid w:val="26713F63"/>
    <w:rsid w:val="26753166"/>
    <w:rsid w:val="267C5A99"/>
    <w:rsid w:val="2682148D"/>
    <w:rsid w:val="268D22B5"/>
    <w:rsid w:val="269240CC"/>
    <w:rsid w:val="269A47B4"/>
    <w:rsid w:val="26EC7F5B"/>
    <w:rsid w:val="27175BDC"/>
    <w:rsid w:val="271E071C"/>
    <w:rsid w:val="272B00CD"/>
    <w:rsid w:val="27381EB7"/>
    <w:rsid w:val="275E5E47"/>
    <w:rsid w:val="27924AA1"/>
    <w:rsid w:val="27962E21"/>
    <w:rsid w:val="279768B3"/>
    <w:rsid w:val="279A19EA"/>
    <w:rsid w:val="27B169B4"/>
    <w:rsid w:val="27B911ED"/>
    <w:rsid w:val="27D27F60"/>
    <w:rsid w:val="27E744FA"/>
    <w:rsid w:val="27F83B89"/>
    <w:rsid w:val="27FE146D"/>
    <w:rsid w:val="283E36E3"/>
    <w:rsid w:val="284675E2"/>
    <w:rsid w:val="284E0B22"/>
    <w:rsid w:val="28543497"/>
    <w:rsid w:val="28630B61"/>
    <w:rsid w:val="286C012F"/>
    <w:rsid w:val="289B5942"/>
    <w:rsid w:val="28B77612"/>
    <w:rsid w:val="28BB465F"/>
    <w:rsid w:val="29012269"/>
    <w:rsid w:val="291451AB"/>
    <w:rsid w:val="29157417"/>
    <w:rsid w:val="29285E0F"/>
    <w:rsid w:val="29505C1F"/>
    <w:rsid w:val="297158AB"/>
    <w:rsid w:val="29807966"/>
    <w:rsid w:val="29C02FCD"/>
    <w:rsid w:val="29C63807"/>
    <w:rsid w:val="29EB45D3"/>
    <w:rsid w:val="2A0312F6"/>
    <w:rsid w:val="2A07685B"/>
    <w:rsid w:val="2A2569D8"/>
    <w:rsid w:val="2A2F7528"/>
    <w:rsid w:val="2A3E46F3"/>
    <w:rsid w:val="2A7975D0"/>
    <w:rsid w:val="2A7B46D0"/>
    <w:rsid w:val="2A7E694A"/>
    <w:rsid w:val="2A88405F"/>
    <w:rsid w:val="2AC03F74"/>
    <w:rsid w:val="2ACD4D90"/>
    <w:rsid w:val="2ADC43C4"/>
    <w:rsid w:val="2AE07B98"/>
    <w:rsid w:val="2B1B36C2"/>
    <w:rsid w:val="2B7A42C1"/>
    <w:rsid w:val="2B82668D"/>
    <w:rsid w:val="2BBF0C02"/>
    <w:rsid w:val="2BDD28EB"/>
    <w:rsid w:val="2BF43094"/>
    <w:rsid w:val="2BF909AA"/>
    <w:rsid w:val="2C0757B7"/>
    <w:rsid w:val="2C660130"/>
    <w:rsid w:val="2CB9711D"/>
    <w:rsid w:val="2CF3363A"/>
    <w:rsid w:val="2D000C25"/>
    <w:rsid w:val="2D0F4DB4"/>
    <w:rsid w:val="2D2D36A5"/>
    <w:rsid w:val="2D365B16"/>
    <w:rsid w:val="2D5646DC"/>
    <w:rsid w:val="2D6D2070"/>
    <w:rsid w:val="2D9D0838"/>
    <w:rsid w:val="2DB652A4"/>
    <w:rsid w:val="2DB943B8"/>
    <w:rsid w:val="2DBB2419"/>
    <w:rsid w:val="2DBF7001"/>
    <w:rsid w:val="2DC26166"/>
    <w:rsid w:val="2DEA2F76"/>
    <w:rsid w:val="2DF041FF"/>
    <w:rsid w:val="2DF76E1B"/>
    <w:rsid w:val="2E10357E"/>
    <w:rsid w:val="2E177A17"/>
    <w:rsid w:val="2E1B30B3"/>
    <w:rsid w:val="2E3E487D"/>
    <w:rsid w:val="2E41360C"/>
    <w:rsid w:val="2E607FBE"/>
    <w:rsid w:val="2E615CAF"/>
    <w:rsid w:val="2E64456A"/>
    <w:rsid w:val="2E7264C5"/>
    <w:rsid w:val="2E7653DE"/>
    <w:rsid w:val="2E842882"/>
    <w:rsid w:val="2E8C6A3D"/>
    <w:rsid w:val="2EB508B8"/>
    <w:rsid w:val="2ED71BB4"/>
    <w:rsid w:val="2F04472C"/>
    <w:rsid w:val="2F066396"/>
    <w:rsid w:val="2F2655A5"/>
    <w:rsid w:val="2F30138F"/>
    <w:rsid w:val="2F5628C1"/>
    <w:rsid w:val="2F81781A"/>
    <w:rsid w:val="2FBA6AB0"/>
    <w:rsid w:val="2FDA5233"/>
    <w:rsid w:val="30186987"/>
    <w:rsid w:val="30396B3B"/>
    <w:rsid w:val="303D3D8D"/>
    <w:rsid w:val="30410449"/>
    <w:rsid w:val="304B34C7"/>
    <w:rsid w:val="306F3884"/>
    <w:rsid w:val="30AE1C64"/>
    <w:rsid w:val="30D06AF0"/>
    <w:rsid w:val="30DC1248"/>
    <w:rsid w:val="30E16401"/>
    <w:rsid w:val="31405015"/>
    <w:rsid w:val="31537EEC"/>
    <w:rsid w:val="316F0F32"/>
    <w:rsid w:val="31736100"/>
    <w:rsid w:val="31773981"/>
    <w:rsid w:val="319C6FC9"/>
    <w:rsid w:val="3205097C"/>
    <w:rsid w:val="3219245E"/>
    <w:rsid w:val="323677EC"/>
    <w:rsid w:val="323827BE"/>
    <w:rsid w:val="32495754"/>
    <w:rsid w:val="32541D1E"/>
    <w:rsid w:val="32605AA8"/>
    <w:rsid w:val="32615E04"/>
    <w:rsid w:val="326849A2"/>
    <w:rsid w:val="326B0F6E"/>
    <w:rsid w:val="328126D8"/>
    <w:rsid w:val="32A04DB4"/>
    <w:rsid w:val="32D07FAA"/>
    <w:rsid w:val="32DE0BF1"/>
    <w:rsid w:val="32E158F1"/>
    <w:rsid w:val="33031007"/>
    <w:rsid w:val="330A1B9B"/>
    <w:rsid w:val="33341058"/>
    <w:rsid w:val="338032CF"/>
    <w:rsid w:val="339F3BDD"/>
    <w:rsid w:val="33A9773C"/>
    <w:rsid w:val="33E93AE7"/>
    <w:rsid w:val="33FB47B2"/>
    <w:rsid w:val="33FE062C"/>
    <w:rsid w:val="340D123D"/>
    <w:rsid w:val="340D402A"/>
    <w:rsid w:val="34117F4A"/>
    <w:rsid w:val="34157A69"/>
    <w:rsid w:val="342F04EE"/>
    <w:rsid w:val="343278F3"/>
    <w:rsid w:val="343773FE"/>
    <w:rsid w:val="344352BB"/>
    <w:rsid w:val="345F13D2"/>
    <w:rsid w:val="346614E2"/>
    <w:rsid w:val="346F44E7"/>
    <w:rsid w:val="3477121B"/>
    <w:rsid w:val="34C33940"/>
    <w:rsid w:val="34CE5612"/>
    <w:rsid w:val="34DA288E"/>
    <w:rsid w:val="34E07C21"/>
    <w:rsid w:val="34E11C57"/>
    <w:rsid w:val="34E43EEA"/>
    <w:rsid w:val="34F47C15"/>
    <w:rsid w:val="34F540BD"/>
    <w:rsid w:val="34FF3C2C"/>
    <w:rsid w:val="35063B46"/>
    <w:rsid w:val="351C3CD0"/>
    <w:rsid w:val="352F1E92"/>
    <w:rsid w:val="353763F9"/>
    <w:rsid w:val="353C79F3"/>
    <w:rsid w:val="353F5F9A"/>
    <w:rsid w:val="35600779"/>
    <w:rsid w:val="35976ED7"/>
    <w:rsid w:val="35980087"/>
    <w:rsid w:val="35B84DAB"/>
    <w:rsid w:val="35C52894"/>
    <w:rsid w:val="35F036ED"/>
    <w:rsid w:val="35FB5BA7"/>
    <w:rsid w:val="36021E5F"/>
    <w:rsid w:val="36327AC4"/>
    <w:rsid w:val="3634601F"/>
    <w:rsid w:val="36496AF6"/>
    <w:rsid w:val="36547421"/>
    <w:rsid w:val="367251E5"/>
    <w:rsid w:val="36903B9D"/>
    <w:rsid w:val="36C301B0"/>
    <w:rsid w:val="36C40C39"/>
    <w:rsid w:val="36C95739"/>
    <w:rsid w:val="36DE6128"/>
    <w:rsid w:val="36FD0B04"/>
    <w:rsid w:val="370275A1"/>
    <w:rsid w:val="372F7F54"/>
    <w:rsid w:val="374754B1"/>
    <w:rsid w:val="374E45F3"/>
    <w:rsid w:val="37624933"/>
    <w:rsid w:val="377870D5"/>
    <w:rsid w:val="378C7B63"/>
    <w:rsid w:val="37C01AB5"/>
    <w:rsid w:val="37C8480D"/>
    <w:rsid w:val="38107733"/>
    <w:rsid w:val="385F25BB"/>
    <w:rsid w:val="386609E8"/>
    <w:rsid w:val="387B2A25"/>
    <w:rsid w:val="38A0575D"/>
    <w:rsid w:val="38B577A9"/>
    <w:rsid w:val="38B74C05"/>
    <w:rsid w:val="38CC421D"/>
    <w:rsid w:val="38D16635"/>
    <w:rsid w:val="38D373E7"/>
    <w:rsid w:val="38FA57F0"/>
    <w:rsid w:val="3936186D"/>
    <w:rsid w:val="39514E0B"/>
    <w:rsid w:val="39566F53"/>
    <w:rsid w:val="395941C6"/>
    <w:rsid w:val="397905D6"/>
    <w:rsid w:val="39864DE3"/>
    <w:rsid w:val="399D5638"/>
    <w:rsid w:val="39B41C18"/>
    <w:rsid w:val="39B653E7"/>
    <w:rsid w:val="39C538F9"/>
    <w:rsid w:val="39D31839"/>
    <w:rsid w:val="39D7425E"/>
    <w:rsid w:val="3A255D6F"/>
    <w:rsid w:val="3A291776"/>
    <w:rsid w:val="3A43382A"/>
    <w:rsid w:val="3A51108A"/>
    <w:rsid w:val="3A604CCB"/>
    <w:rsid w:val="3A6711EA"/>
    <w:rsid w:val="3A6B021B"/>
    <w:rsid w:val="3A6C27C7"/>
    <w:rsid w:val="3A7E7CFE"/>
    <w:rsid w:val="3AB03D58"/>
    <w:rsid w:val="3AF31112"/>
    <w:rsid w:val="3AF71C4F"/>
    <w:rsid w:val="3B0C28E2"/>
    <w:rsid w:val="3B325752"/>
    <w:rsid w:val="3B4113F9"/>
    <w:rsid w:val="3B6E2308"/>
    <w:rsid w:val="3B700B9E"/>
    <w:rsid w:val="3B7A70C3"/>
    <w:rsid w:val="3B8C568A"/>
    <w:rsid w:val="3B8C6B52"/>
    <w:rsid w:val="3B9265F7"/>
    <w:rsid w:val="3BB36501"/>
    <w:rsid w:val="3BC10F8A"/>
    <w:rsid w:val="3BCA0430"/>
    <w:rsid w:val="3C0D7BA2"/>
    <w:rsid w:val="3C1464E6"/>
    <w:rsid w:val="3C1F3B0A"/>
    <w:rsid w:val="3C2F5079"/>
    <w:rsid w:val="3C820BF8"/>
    <w:rsid w:val="3CB974FB"/>
    <w:rsid w:val="3CFF2A56"/>
    <w:rsid w:val="3D083C3D"/>
    <w:rsid w:val="3D0F0BF5"/>
    <w:rsid w:val="3D254DA7"/>
    <w:rsid w:val="3D367754"/>
    <w:rsid w:val="3D4D01FD"/>
    <w:rsid w:val="3D8116F1"/>
    <w:rsid w:val="3D842DB5"/>
    <w:rsid w:val="3D927E3F"/>
    <w:rsid w:val="3DD76D85"/>
    <w:rsid w:val="3DD83ABF"/>
    <w:rsid w:val="3DDA437C"/>
    <w:rsid w:val="3DF461A3"/>
    <w:rsid w:val="3E0B6234"/>
    <w:rsid w:val="3E1516BF"/>
    <w:rsid w:val="3E600BB4"/>
    <w:rsid w:val="3E8A2129"/>
    <w:rsid w:val="3E8C3990"/>
    <w:rsid w:val="3EDA4D3F"/>
    <w:rsid w:val="3F0B745A"/>
    <w:rsid w:val="3F1708AB"/>
    <w:rsid w:val="3F8A3D39"/>
    <w:rsid w:val="3F8D0174"/>
    <w:rsid w:val="3F987717"/>
    <w:rsid w:val="3FD23300"/>
    <w:rsid w:val="3FF47042"/>
    <w:rsid w:val="3FF54785"/>
    <w:rsid w:val="3FFC0AB7"/>
    <w:rsid w:val="3FFF0B26"/>
    <w:rsid w:val="4015659C"/>
    <w:rsid w:val="401D268F"/>
    <w:rsid w:val="403D5DB4"/>
    <w:rsid w:val="40444047"/>
    <w:rsid w:val="40452250"/>
    <w:rsid w:val="40501155"/>
    <w:rsid w:val="405229A9"/>
    <w:rsid w:val="409E45E2"/>
    <w:rsid w:val="40A52125"/>
    <w:rsid w:val="40B61FF8"/>
    <w:rsid w:val="40C7171A"/>
    <w:rsid w:val="40D724A1"/>
    <w:rsid w:val="40E72D37"/>
    <w:rsid w:val="415A1391"/>
    <w:rsid w:val="415E5B0A"/>
    <w:rsid w:val="41965A41"/>
    <w:rsid w:val="41970D49"/>
    <w:rsid w:val="41B92A4F"/>
    <w:rsid w:val="41C964B4"/>
    <w:rsid w:val="41F92ABD"/>
    <w:rsid w:val="41FC1B6A"/>
    <w:rsid w:val="424D1C7F"/>
    <w:rsid w:val="425846A6"/>
    <w:rsid w:val="42624E34"/>
    <w:rsid w:val="427F218F"/>
    <w:rsid w:val="42840AD6"/>
    <w:rsid w:val="428B63CF"/>
    <w:rsid w:val="42AF67D0"/>
    <w:rsid w:val="42BC0E70"/>
    <w:rsid w:val="42C245CE"/>
    <w:rsid w:val="42DD0E52"/>
    <w:rsid w:val="431A0C24"/>
    <w:rsid w:val="434E1C20"/>
    <w:rsid w:val="43620283"/>
    <w:rsid w:val="4363286E"/>
    <w:rsid w:val="43A73BE3"/>
    <w:rsid w:val="43AE7A7E"/>
    <w:rsid w:val="43CF502D"/>
    <w:rsid w:val="440B02B4"/>
    <w:rsid w:val="441C5080"/>
    <w:rsid w:val="44233849"/>
    <w:rsid w:val="446B500C"/>
    <w:rsid w:val="448508DF"/>
    <w:rsid w:val="44BF18A2"/>
    <w:rsid w:val="44E23735"/>
    <w:rsid w:val="44EA77F7"/>
    <w:rsid w:val="45357785"/>
    <w:rsid w:val="45387766"/>
    <w:rsid w:val="453A760F"/>
    <w:rsid w:val="45491A3E"/>
    <w:rsid w:val="45503B28"/>
    <w:rsid w:val="45853082"/>
    <w:rsid w:val="45891F3C"/>
    <w:rsid w:val="4590274A"/>
    <w:rsid w:val="45FD0891"/>
    <w:rsid w:val="46185D52"/>
    <w:rsid w:val="462C285E"/>
    <w:rsid w:val="4639249F"/>
    <w:rsid w:val="463A0304"/>
    <w:rsid w:val="464A4975"/>
    <w:rsid w:val="467C2D95"/>
    <w:rsid w:val="4695468D"/>
    <w:rsid w:val="469A6A31"/>
    <w:rsid w:val="471553B4"/>
    <w:rsid w:val="471E6457"/>
    <w:rsid w:val="475F6267"/>
    <w:rsid w:val="4760207C"/>
    <w:rsid w:val="47743C9D"/>
    <w:rsid w:val="47906F17"/>
    <w:rsid w:val="479A7A31"/>
    <w:rsid w:val="479B1699"/>
    <w:rsid w:val="47AF51BF"/>
    <w:rsid w:val="47B81E12"/>
    <w:rsid w:val="47D03B18"/>
    <w:rsid w:val="47DB1D58"/>
    <w:rsid w:val="47ED29D3"/>
    <w:rsid w:val="47EF74A3"/>
    <w:rsid w:val="47F50C9B"/>
    <w:rsid w:val="4834394A"/>
    <w:rsid w:val="485A65F3"/>
    <w:rsid w:val="48987720"/>
    <w:rsid w:val="48AA0D47"/>
    <w:rsid w:val="48AB437A"/>
    <w:rsid w:val="48BB5E99"/>
    <w:rsid w:val="48E709AB"/>
    <w:rsid w:val="49074129"/>
    <w:rsid w:val="491E413A"/>
    <w:rsid w:val="492B5D1A"/>
    <w:rsid w:val="49356195"/>
    <w:rsid w:val="493E72F4"/>
    <w:rsid w:val="49477CA3"/>
    <w:rsid w:val="495D4FB7"/>
    <w:rsid w:val="495F0F47"/>
    <w:rsid w:val="49850611"/>
    <w:rsid w:val="49E47F0A"/>
    <w:rsid w:val="4A221E06"/>
    <w:rsid w:val="4A2C05A1"/>
    <w:rsid w:val="4A487A49"/>
    <w:rsid w:val="4A661827"/>
    <w:rsid w:val="4ABE4002"/>
    <w:rsid w:val="4AD3789D"/>
    <w:rsid w:val="4AE61558"/>
    <w:rsid w:val="4AE629A4"/>
    <w:rsid w:val="4AF93679"/>
    <w:rsid w:val="4B1E0386"/>
    <w:rsid w:val="4B327DA5"/>
    <w:rsid w:val="4B483ECE"/>
    <w:rsid w:val="4B4D5DE5"/>
    <w:rsid w:val="4B53713F"/>
    <w:rsid w:val="4B5918B4"/>
    <w:rsid w:val="4B5E178B"/>
    <w:rsid w:val="4B7D53C9"/>
    <w:rsid w:val="4B85293F"/>
    <w:rsid w:val="4B902502"/>
    <w:rsid w:val="4B9B344B"/>
    <w:rsid w:val="4BDB55FA"/>
    <w:rsid w:val="4C3D55C6"/>
    <w:rsid w:val="4C667A5B"/>
    <w:rsid w:val="4C823BCA"/>
    <w:rsid w:val="4C9F1330"/>
    <w:rsid w:val="4CAB3457"/>
    <w:rsid w:val="4CF124C7"/>
    <w:rsid w:val="4CF70170"/>
    <w:rsid w:val="4CFA619E"/>
    <w:rsid w:val="4CFD777A"/>
    <w:rsid w:val="4D201110"/>
    <w:rsid w:val="4D3431C7"/>
    <w:rsid w:val="4D526F59"/>
    <w:rsid w:val="4D650150"/>
    <w:rsid w:val="4DE03AC2"/>
    <w:rsid w:val="4DEF02BD"/>
    <w:rsid w:val="4E0D72D8"/>
    <w:rsid w:val="4E383ED6"/>
    <w:rsid w:val="4E560D60"/>
    <w:rsid w:val="4E564593"/>
    <w:rsid w:val="4E703F51"/>
    <w:rsid w:val="4E942C0A"/>
    <w:rsid w:val="4E98220D"/>
    <w:rsid w:val="4EB7399D"/>
    <w:rsid w:val="4ECD2716"/>
    <w:rsid w:val="4EE73AF5"/>
    <w:rsid w:val="4EE84EA5"/>
    <w:rsid w:val="4EEE4AF5"/>
    <w:rsid w:val="4F0B544D"/>
    <w:rsid w:val="4F301FB1"/>
    <w:rsid w:val="4F4F7329"/>
    <w:rsid w:val="4F5260B5"/>
    <w:rsid w:val="4F58224C"/>
    <w:rsid w:val="4F5A7FFE"/>
    <w:rsid w:val="4F8B2726"/>
    <w:rsid w:val="4F8B4457"/>
    <w:rsid w:val="4FDA01F8"/>
    <w:rsid w:val="4FF221C3"/>
    <w:rsid w:val="4FFA0634"/>
    <w:rsid w:val="500032A2"/>
    <w:rsid w:val="504E08AD"/>
    <w:rsid w:val="505C4D01"/>
    <w:rsid w:val="507419FE"/>
    <w:rsid w:val="508B1CA1"/>
    <w:rsid w:val="50AA168D"/>
    <w:rsid w:val="50AF4B30"/>
    <w:rsid w:val="50BC5CDC"/>
    <w:rsid w:val="50E74C38"/>
    <w:rsid w:val="51025571"/>
    <w:rsid w:val="510819A0"/>
    <w:rsid w:val="51200E5F"/>
    <w:rsid w:val="5123009E"/>
    <w:rsid w:val="512C2CA7"/>
    <w:rsid w:val="512D289E"/>
    <w:rsid w:val="514152FB"/>
    <w:rsid w:val="51434ED1"/>
    <w:rsid w:val="516445A0"/>
    <w:rsid w:val="518956A9"/>
    <w:rsid w:val="52490C2A"/>
    <w:rsid w:val="525505B5"/>
    <w:rsid w:val="5261544F"/>
    <w:rsid w:val="52C504FB"/>
    <w:rsid w:val="52E13756"/>
    <w:rsid w:val="52E65840"/>
    <w:rsid w:val="52EF5C2D"/>
    <w:rsid w:val="52F47582"/>
    <w:rsid w:val="5371534A"/>
    <w:rsid w:val="53720C63"/>
    <w:rsid w:val="537700D3"/>
    <w:rsid w:val="53811681"/>
    <w:rsid w:val="538A520F"/>
    <w:rsid w:val="53933E3F"/>
    <w:rsid w:val="53B418CC"/>
    <w:rsid w:val="53F32910"/>
    <w:rsid w:val="53F4098D"/>
    <w:rsid w:val="53FE04C8"/>
    <w:rsid w:val="54206BE2"/>
    <w:rsid w:val="54297BB6"/>
    <w:rsid w:val="54336DD4"/>
    <w:rsid w:val="543660C2"/>
    <w:rsid w:val="54375971"/>
    <w:rsid w:val="54453F00"/>
    <w:rsid w:val="544D196D"/>
    <w:rsid w:val="5478326E"/>
    <w:rsid w:val="547F6951"/>
    <w:rsid w:val="54854CE2"/>
    <w:rsid w:val="548965FC"/>
    <w:rsid w:val="549F015A"/>
    <w:rsid w:val="54D730B0"/>
    <w:rsid w:val="54E812EA"/>
    <w:rsid w:val="54F76B5C"/>
    <w:rsid w:val="55020A87"/>
    <w:rsid w:val="550341FE"/>
    <w:rsid w:val="55042014"/>
    <w:rsid w:val="55210479"/>
    <w:rsid w:val="552A209A"/>
    <w:rsid w:val="55393BB8"/>
    <w:rsid w:val="55614C5E"/>
    <w:rsid w:val="558C2621"/>
    <w:rsid w:val="55AD3652"/>
    <w:rsid w:val="55B9606B"/>
    <w:rsid w:val="55DE0E54"/>
    <w:rsid w:val="55FF52A6"/>
    <w:rsid w:val="5633198E"/>
    <w:rsid w:val="563E5469"/>
    <w:rsid w:val="566919C6"/>
    <w:rsid w:val="566C5546"/>
    <w:rsid w:val="56745BC9"/>
    <w:rsid w:val="56CF2CF8"/>
    <w:rsid w:val="56E34EAC"/>
    <w:rsid w:val="570203D1"/>
    <w:rsid w:val="571159E3"/>
    <w:rsid w:val="571D3ABE"/>
    <w:rsid w:val="571F6B78"/>
    <w:rsid w:val="57645BA3"/>
    <w:rsid w:val="576A1B6C"/>
    <w:rsid w:val="57936854"/>
    <w:rsid w:val="579848F6"/>
    <w:rsid w:val="57A22474"/>
    <w:rsid w:val="57AF0A2B"/>
    <w:rsid w:val="57C43A36"/>
    <w:rsid w:val="57F62116"/>
    <w:rsid w:val="58101705"/>
    <w:rsid w:val="58335AD6"/>
    <w:rsid w:val="584265A5"/>
    <w:rsid w:val="58707FAE"/>
    <w:rsid w:val="58895B35"/>
    <w:rsid w:val="58C83D7C"/>
    <w:rsid w:val="58E7744A"/>
    <w:rsid w:val="5909370D"/>
    <w:rsid w:val="590D48EB"/>
    <w:rsid w:val="59495353"/>
    <w:rsid w:val="595D2922"/>
    <w:rsid w:val="59634E7E"/>
    <w:rsid w:val="597265E6"/>
    <w:rsid w:val="59A85569"/>
    <w:rsid w:val="59A90DF6"/>
    <w:rsid w:val="59B8686F"/>
    <w:rsid w:val="59B86AAB"/>
    <w:rsid w:val="59BF5B8E"/>
    <w:rsid w:val="59D027D3"/>
    <w:rsid w:val="59DE0C7A"/>
    <w:rsid w:val="59F04D56"/>
    <w:rsid w:val="5A125C89"/>
    <w:rsid w:val="5A4F7A61"/>
    <w:rsid w:val="5AA026B8"/>
    <w:rsid w:val="5AA116D7"/>
    <w:rsid w:val="5AE821DA"/>
    <w:rsid w:val="5AED557F"/>
    <w:rsid w:val="5AFD1904"/>
    <w:rsid w:val="5B2C0607"/>
    <w:rsid w:val="5B3034F1"/>
    <w:rsid w:val="5B424CC5"/>
    <w:rsid w:val="5B63362E"/>
    <w:rsid w:val="5B755268"/>
    <w:rsid w:val="5B9C2FC5"/>
    <w:rsid w:val="5BC86521"/>
    <w:rsid w:val="5C082709"/>
    <w:rsid w:val="5C14060C"/>
    <w:rsid w:val="5C2E582C"/>
    <w:rsid w:val="5C7639BC"/>
    <w:rsid w:val="5CD12F06"/>
    <w:rsid w:val="5CF7084F"/>
    <w:rsid w:val="5D147937"/>
    <w:rsid w:val="5D1634FA"/>
    <w:rsid w:val="5D614E5A"/>
    <w:rsid w:val="5D7A4EBD"/>
    <w:rsid w:val="5D7B2AFB"/>
    <w:rsid w:val="5D9D4948"/>
    <w:rsid w:val="5DA07441"/>
    <w:rsid w:val="5DCD5EDE"/>
    <w:rsid w:val="5DDD01B0"/>
    <w:rsid w:val="5DEE4FE1"/>
    <w:rsid w:val="5E040F9B"/>
    <w:rsid w:val="5E163DAD"/>
    <w:rsid w:val="5E18199F"/>
    <w:rsid w:val="5E276BBA"/>
    <w:rsid w:val="5E4A34BA"/>
    <w:rsid w:val="5E572B7B"/>
    <w:rsid w:val="5ED929BD"/>
    <w:rsid w:val="5EEF44C3"/>
    <w:rsid w:val="5EF64B87"/>
    <w:rsid w:val="5EFE24CD"/>
    <w:rsid w:val="5F1E02ED"/>
    <w:rsid w:val="5F5335CE"/>
    <w:rsid w:val="5F6123D2"/>
    <w:rsid w:val="5F7C6175"/>
    <w:rsid w:val="5F8C113D"/>
    <w:rsid w:val="5FB55859"/>
    <w:rsid w:val="5FEE6A48"/>
    <w:rsid w:val="6028198E"/>
    <w:rsid w:val="6060214E"/>
    <w:rsid w:val="6071387E"/>
    <w:rsid w:val="60932B78"/>
    <w:rsid w:val="60B1182C"/>
    <w:rsid w:val="60B54E5F"/>
    <w:rsid w:val="60D67EB5"/>
    <w:rsid w:val="60E72435"/>
    <w:rsid w:val="60F12408"/>
    <w:rsid w:val="60F915AE"/>
    <w:rsid w:val="61186844"/>
    <w:rsid w:val="61196AEE"/>
    <w:rsid w:val="612015DC"/>
    <w:rsid w:val="613D3456"/>
    <w:rsid w:val="6161246C"/>
    <w:rsid w:val="617A09D3"/>
    <w:rsid w:val="617E2BD9"/>
    <w:rsid w:val="61AB7F4F"/>
    <w:rsid w:val="61BC7327"/>
    <w:rsid w:val="61F12BA4"/>
    <w:rsid w:val="61FC795F"/>
    <w:rsid w:val="622A0453"/>
    <w:rsid w:val="62554D7B"/>
    <w:rsid w:val="62870321"/>
    <w:rsid w:val="62892F39"/>
    <w:rsid w:val="62A52639"/>
    <w:rsid w:val="62C313EC"/>
    <w:rsid w:val="62D2532D"/>
    <w:rsid w:val="62D32926"/>
    <w:rsid w:val="62EB1C80"/>
    <w:rsid w:val="6306529F"/>
    <w:rsid w:val="632B7CB6"/>
    <w:rsid w:val="632D6A8C"/>
    <w:rsid w:val="63326075"/>
    <w:rsid w:val="63577595"/>
    <w:rsid w:val="636D1281"/>
    <w:rsid w:val="63921C8F"/>
    <w:rsid w:val="63C546CA"/>
    <w:rsid w:val="63D43500"/>
    <w:rsid w:val="64463885"/>
    <w:rsid w:val="646C6942"/>
    <w:rsid w:val="648101EB"/>
    <w:rsid w:val="64C649E5"/>
    <w:rsid w:val="64C971FC"/>
    <w:rsid w:val="64D17A33"/>
    <w:rsid w:val="651F176C"/>
    <w:rsid w:val="65243799"/>
    <w:rsid w:val="653730AD"/>
    <w:rsid w:val="65473BE4"/>
    <w:rsid w:val="654823B1"/>
    <w:rsid w:val="658B7760"/>
    <w:rsid w:val="659514FA"/>
    <w:rsid w:val="65B4203E"/>
    <w:rsid w:val="65C562C1"/>
    <w:rsid w:val="65DA30E2"/>
    <w:rsid w:val="65EE7177"/>
    <w:rsid w:val="6635457B"/>
    <w:rsid w:val="663B78CC"/>
    <w:rsid w:val="66645598"/>
    <w:rsid w:val="66713242"/>
    <w:rsid w:val="66A57E71"/>
    <w:rsid w:val="66BD4460"/>
    <w:rsid w:val="66D47A94"/>
    <w:rsid w:val="66E4759D"/>
    <w:rsid w:val="674B4F4A"/>
    <w:rsid w:val="676A3DA6"/>
    <w:rsid w:val="67773A51"/>
    <w:rsid w:val="679805D8"/>
    <w:rsid w:val="67BC3FEE"/>
    <w:rsid w:val="67CA7544"/>
    <w:rsid w:val="67D477F8"/>
    <w:rsid w:val="67FF7C3A"/>
    <w:rsid w:val="6829477F"/>
    <w:rsid w:val="682F4FA9"/>
    <w:rsid w:val="68323C50"/>
    <w:rsid w:val="686332F5"/>
    <w:rsid w:val="68646588"/>
    <w:rsid w:val="688232C2"/>
    <w:rsid w:val="68843A78"/>
    <w:rsid w:val="689F0599"/>
    <w:rsid w:val="68B43376"/>
    <w:rsid w:val="68F053F6"/>
    <w:rsid w:val="68F43A1E"/>
    <w:rsid w:val="69145603"/>
    <w:rsid w:val="69423186"/>
    <w:rsid w:val="69432BE1"/>
    <w:rsid w:val="694D728A"/>
    <w:rsid w:val="6988057F"/>
    <w:rsid w:val="699906A2"/>
    <w:rsid w:val="69AC12C2"/>
    <w:rsid w:val="69C411D0"/>
    <w:rsid w:val="69C62FFA"/>
    <w:rsid w:val="69D86C6D"/>
    <w:rsid w:val="69FA48D7"/>
    <w:rsid w:val="6A0D6DC9"/>
    <w:rsid w:val="6A4A19BA"/>
    <w:rsid w:val="6A564EBF"/>
    <w:rsid w:val="6A645FFB"/>
    <w:rsid w:val="6A6A2D90"/>
    <w:rsid w:val="6A701056"/>
    <w:rsid w:val="6A7A24EF"/>
    <w:rsid w:val="6A7E361E"/>
    <w:rsid w:val="6A9A2282"/>
    <w:rsid w:val="6ABB292C"/>
    <w:rsid w:val="6AC46CE5"/>
    <w:rsid w:val="6ACD0D45"/>
    <w:rsid w:val="6AFE0C80"/>
    <w:rsid w:val="6B2A0779"/>
    <w:rsid w:val="6B2B1D80"/>
    <w:rsid w:val="6B3D3548"/>
    <w:rsid w:val="6B664EB6"/>
    <w:rsid w:val="6BA87D31"/>
    <w:rsid w:val="6BB72998"/>
    <w:rsid w:val="6BBC73BD"/>
    <w:rsid w:val="6BC066B1"/>
    <w:rsid w:val="6C0B1660"/>
    <w:rsid w:val="6C533915"/>
    <w:rsid w:val="6C7F31BE"/>
    <w:rsid w:val="6CD91C0E"/>
    <w:rsid w:val="6CE01353"/>
    <w:rsid w:val="6CEA7AAC"/>
    <w:rsid w:val="6CF35CFC"/>
    <w:rsid w:val="6CFA25E1"/>
    <w:rsid w:val="6D3F29A1"/>
    <w:rsid w:val="6D651DF3"/>
    <w:rsid w:val="6D9E263C"/>
    <w:rsid w:val="6DD658EE"/>
    <w:rsid w:val="6DDD6E36"/>
    <w:rsid w:val="6DEC1C21"/>
    <w:rsid w:val="6E152319"/>
    <w:rsid w:val="6E3B0BAF"/>
    <w:rsid w:val="6E3E0629"/>
    <w:rsid w:val="6E501AEB"/>
    <w:rsid w:val="6E7C11B5"/>
    <w:rsid w:val="6E7F556F"/>
    <w:rsid w:val="6E997C25"/>
    <w:rsid w:val="6E9F07E1"/>
    <w:rsid w:val="6EA14A30"/>
    <w:rsid w:val="6EB6105A"/>
    <w:rsid w:val="6EC629FF"/>
    <w:rsid w:val="6EC7282F"/>
    <w:rsid w:val="6F1C104C"/>
    <w:rsid w:val="6F26499B"/>
    <w:rsid w:val="6F2F3282"/>
    <w:rsid w:val="6F587A8E"/>
    <w:rsid w:val="6F5A7044"/>
    <w:rsid w:val="6F5D5506"/>
    <w:rsid w:val="6F600C59"/>
    <w:rsid w:val="6F7E2770"/>
    <w:rsid w:val="6F8776A7"/>
    <w:rsid w:val="6F957D21"/>
    <w:rsid w:val="6FA57C2A"/>
    <w:rsid w:val="6FD175F7"/>
    <w:rsid w:val="6FD95378"/>
    <w:rsid w:val="703C1CAA"/>
    <w:rsid w:val="703E1108"/>
    <w:rsid w:val="704B7EBD"/>
    <w:rsid w:val="707F7FC1"/>
    <w:rsid w:val="70830694"/>
    <w:rsid w:val="7092075C"/>
    <w:rsid w:val="70AF49AD"/>
    <w:rsid w:val="70E234A9"/>
    <w:rsid w:val="712D7A96"/>
    <w:rsid w:val="71334F8E"/>
    <w:rsid w:val="713C2BF3"/>
    <w:rsid w:val="715517E0"/>
    <w:rsid w:val="71682CDB"/>
    <w:rsid w:val="717C301D"/>
    <w:rsid w:val="71AC3CA8"/>
    <w:rsid w:val="71E67530"/>
    <w:rsid w:val="71F552A8"/>
    <w:rsid w:val="71FD3369"/>
    <w:rsid w:val="7208350E"/>
    <w:rsid w:val="72264502"/>
    <w:rsid w:val="723358B2"/>
    <w:rsid w:val="72363B93"/>
    <w:rsid w:val="72366F69"/>
    <w:rsid w:val="72546CCC"/>
    <w:rsid w:val="72571A57"/>
    <w:rsid w:val="72981E43"/>
    <w:rsid w:val="72AD5CE4"/>
    <w:rsid w:val="72BB344D"/>
    <w:rsid w:val="72BD396A"/>
    <w:rsid w:val="72EA334F"/>
    <w:rsid w:val="730B241D"/>
    <w:rsid w:val="734C24BD"/>
    <w:rsid w:val="7357002D"/>
    <w:rsid w:val="73576104"/>
    <w:rsid w:val="73815738"/>
    <w:rsid w:val="739F3A97"/>
    <w:rsid w:val="73AF1694"/>
    <w:rsid w:val="73B673EF"/>
    <w:rsid w:val="73F02366"/>
    <w:rsid w:val="742254DD"/>
    <w:rsid w:val="7437180D"/>
    <w:rsid w:val="74391D4B"/>
    <w:rsid w:val="74483CFE"/>
    <w:rsid w:val="744B0DA7"/>
    <w:rsid w:val="744D3074"/>
    <w:rsid w:val="74624CC6"/>
    <w:rsid w:val="746A5AD3"/>
    <w:rsid w:val="74723306"/>
    <w:rsid w:val="747A2CC8"/>
    <w:rsid w:val="747F3641"/>
    <w:rsid w:val="74B579B7"/>
    <w:rsid w:val="74BB7061"/>
    <w:rsid w:val="74CE3EB2"/>
    <w:rsid w:val="74E82D21"/>
    <w:rsid w:val="750E03C1"/>
    <w:rsid w:val="751C6251"/>
    <w:rsid w:val="751E470B"/>
    <w:rsid w:val="753D7B6A"/>
    <w:rsid w:val="754026A2"/>
    <w:rsid w:val="75670772"/>
    <w:rsid w:val="757C44C8"/>
    <w:rsid w:val="759A09C5"/>
    <w:rsid w:val="75A6427E"/>
    <w:rsid w:val="75B243A7"/>
    <w:rsid w:val="75DE6DB1"/>
    <w:rsid w:val="75E572CF"/>
    <w:rsid w:val="75FB07A2"/>
    <w:rsid w:val="761375E4"/>
    <w:rsid w:val="76217478"/>
    <w:rsid w:val="763C572C"/>
    <w:rsid w:val="7666354F"/>
    <w:rsid w:val="766B6ECD"/>
    <w:rsid w:val="76855EB9"/>
    <w:rsid w:val="7692691E"/>
    <w:rsid w:val="76996365"/>
    <w:rsid w:val="769A10D0"/>
    <w:rsid w:val="76C2349E"/>
    <w:rsid w:val="76CB35EC"/>
    <w:rsid w:val="76D054CE"/>
    <w:rsid w:val="77040C67"/>
    <w:rsid w:val="773B587C"/>
    <w:rsid w:val="774271F2"/>
    <w:rsid w:val="77453760"/>
    <w:rsid w:val="77653D55"/>
    <w:rsid w:val="776A7D9F"/>
    <w:rsid w:val="77734AD9"/>
    <w:rsid w:val="77767106"/>
    <w:rsid w:val="77AB2363"/>
    <w:rsid w:val="77F3466D"/>
    <w:rsid w:val="780127F5"/>
    <w:rsid w:val="7822274B"/>
    <w:rsid w:val="7840608D"/>
    <w:rsid w:val="78494C44"/>
    <w:rsid w:val="78594455"/>
    <w:rsid w:val="78786AB3"/>
    <w:rsid w:val="78B065B0"/>
    <w:rsid w:val="78C33E4A"/>
    <w:rsid w:val="7901119D"/>
    <w:rsid w:val="790D3EA5"/>
    <w:rsid w:val="791B2495"/>
    <w:rsid w:val="791D2A50"/>
    <w:rsid w:val="79366F18"/>
    <w:rsid w:val="79432736"/>
    <w:rsid w:val="79660E81"/>
    <w:rsid w:val="797940FE"/>
    <w:rsid w:val="79AA4A14"/>
    <w:rsid w:val="79B63FC9"/>
    <w:rsid w:val="79DE02DD"/>
    <w:rsid w:val="79E07E40"/>
    <w:rsid w:val="79EB5D1B"/>
    <w:rsid w:val="79FC6182"/>
    <w:rsid w:val="7A0A6F4F"/>
    <w:rsid w:val="7A456F6D"/>
    <w:rsid w:val="7A5F16CA"/>
    <w:rsid w:val="7A710D8E"/>
    <w:rsid w:val="7AB1300F"/>
    <w:rsid w:val="7AB64E52"/>
    <w:rsid w:val="7ADA0EA4"/>
    <w:rsid w:val="7AE75FBC"/>
    <w:rsid w:val="7AFC56DC"/>
    <w:rsid w:val="7B0D3216"/>
    <w:rsid w:val="7B345398"/>
    <w:rsid w:val="7B355131"/>
    <w:rsid w:val="7B590C27"/>
    <w:rsid w:val="7B6C5EAB"/>
    <w:rsid w:val="7B7814A8"/>
    <w:rsid w:val="7B861DF2"/>
    <w:rsid w:val="7BA33013"/>
    <w:rsid w:val="7BF702E8"/>
    <w:rsid w:val="7BFA0FA5"/>
    <w:rsid w:val="7BFE2BF5"/>
    <w:rsid w:val="7C162A9E"/>
    <w:rsid w:val="7C177BEA"/>
    <w:rsid w:val="7C206AB7"/>
    <w:rsid w:val="7C8646F6"/>
    <w:rsid w:val="7C9B46D0"/>
    <w:rsid w:val="7CA95B93"/>
    <w:rsid w:val="7CBC0850"/>
    <w:rsid w:val="7CD3681B"/>
    <w:rsid w:val="7CF20DD2"/>
    <w:rsid w:val="7CFF7134"/>
    <w:rsid w:val="7D8603E2"/>
    <w:rsid w:val="7D9C553A"/>
    <w:rsid w:val="7DD0508B"/>
    <w:rsid w:val="7DE4119D"/>
    <w:rsid w:val="7DEE5B58"/>
    <w:rsid w:val="7E0B1390"/>
    <w:rsid w:val="7E2B13AE"/>
    <w:rsid w:val="7ED03245"/>
    <w:rsid w:val="7ED25E9B"/>
    <w:rsid w:val="7ED37D6E"/>
    <w:rsid w:val="7F7D2EBD"/>
    <w:rsid w:val="7F8846F0"/>
    <w:rsid w:val="7FAD2052"/>
    <w:rsid w:val="7FEA3B6F"/>
    <w:rsid w:val="BAFFAB79"/>
    <w:rsid w:val="DBEED555"/>
  </w:rsids>
  <m:mathPr>
    <m:lMargin m:val="0"/>
    <m:rMargin m:val="0"/>
    <m:wrapIndent m:val="1440"/>
    <m:brkBin m:val="before"/>
    <m:brkBinSub m:val="--"/>
    <m:defJc m:val="centerGroup"/>
    <m:intLim m:val="subSup"/>
    <m:naryLim m:val="undOvr"/>
    <m:smallFrac m:val="0"/>
    <m:dispDef/>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2">
    <w:name w:val="Default Paragraph Font"/>
    <w:unhideWhenUsed/>
    <w:qFormat/>
    <w:uiPriority w:val="1"/>
  </w:style>
  <w:style w:type="table" w:default="1" w:styleId="13">
    <w:name w:val="Normal Table"/>
    <w:unhideWhenUsed/>
    <w:qFormat/>
    <w:uiPriority w:val="99"/>
    <w:tblPr>
      <w:tblLayout w:type="fixed"/>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5">
    <w:name w:val="编号符号"/>
    <w:qFormat/>
    <w:uiPriority w:val="0"/>
  </w:style>
  <w:style w:type="character" w:customStyle="1" w:styleId="16">
    <w:name w:val="页眉 字符"/>
    <w:basedOn w:val="12"/>
    <w:qFormat/>
    <w:uiPriority w:val="0"/>
    <w:rPr>
      <w:rFonts w:ascii="Arial Unicode MS" w:hAnsi="Arial Unicode MS" w:eastAsia="Arial Unicode MS" w:cs="Arial Unicode MS"/>
      <w:sz w:val="18"/>
      <w:szCs w:val="18"/>
      <w:lang w:val="zh-CN" w:bidi="zh-CN"/>
    </w:rPr>
  </w:style>
  <w:style w:type="character" w:customStyle="1" w:styleId="17">
    <w:name w:val="页脚 字符"/>
    <w:basedOn w:val="12"/>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2.png"/><Relationship Id="rId22" Type="http://schemas.openxmlformats.org/officeDocument/2006/relationships/image" Target="media/image1.png"/><Relationship Id="rId21" Type="http://schemas.openxmlformats.org/officeDocument/2006/relationships/theme" Target="theme/theme1.xml"/><Relationship Id="rId20" Type="http://schemas.openxmlformats.org/officeDocument/2006/relationships/footer" Target="footer16.xml"/><Relationship Id="rId2" Type="http://schemas.openxmlformats.org/officeDocument/2006/relationships/settings" Target="settings.xml"/><Relationship Id="rId19" Type="http://schemas.openxmlformats.org/officeDocument/2006/relationships/footer" Target="footer15.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3386</Words>
  <Characters>7333</Characters>
  <Lines>0</Lines>
  <Paragraphs>501</Paragraphs>
  <TotalTime>0</TotalTime>
  <ScaleCrop>false</ScaleCrop>
  <LinksUpToDate>false</LinksUpToDate>
  <CharactersWithSpaces>7399</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lenovo</cp:lastModifiedBy>
  <dcterms:modified xsi:type="dcterms:W3CDTF">2021-09-07T03:23:03Z</dcterms:modified>
  <dc:title>部门决算公开</dc:title>
  <cp:revision>175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C823B2FE72FE4DF285E985223D1A425B</vt:lpwstr>
  </property>
  <property fmtid="{D5CDD505-2E9C-101B-9397-08002B2CF9AE}" pid="5" name="KSOProductBuildVer">
    <vt:lpwstr>2052-10.8.0.5715</vt:lpwstr>
  </property>
  <property fmtid="{D5CDD505-2E9C-101B-9397-08002B2CF9AE}" pid="6" name="LastSaved">
    <vt:filetime>2021-04-15T00:00:00Z</vt:filetime>
  </property>
</Properties>
</file>