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92" w:hRule="atLeast"/>
        </w:trPr>
        <w:tc>
          <w:tcPr>
            <w:tcW w:w="10402" w:type="dxa"/>
            <w:tcBorders>
              <w:top w:val="nil"/>
              <w:left w:val="nil"/>
              <w:bottom w:val="nil"/>
              <w:right w:val="nil"/>
            </w:tcBorders>
          </w:tcPr>
          <w:p>
            <w:pPr>
              <w:pStyle w:val="8"/>
              <w:spacing w:line="360" w:lineRule="auto"/>
              <w:jc w:val="both"/>
              <w:rPr>
                <w:rFonts w:ascii="仿宋" w:hAnsi="仿宋" w:eastAsia="仿宋" w:cs="仿宋"/>
                <w:b/>
                <w:bCs/>
                <w:color w:val="FF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402" w:type="dxa"/>
            <w:tcBorders>
              <w:top w:val="nil"/>
              <w:left w:val="nil"/>
              <w:bottom w:val="nil"/>
              <w:right w:val="nil"/>
            </w:tcBorders>
          </w:tcPr>
          <w:p>
            <w:pPr>
              <w:ind w:right="284" w:rightChars="129"/>
              <w:jc w:val="center"/>
              <w:rPr>
                <w:rFonts w:ascii="仿宋" w:hAnsi="仿宋" w:eastAsia="仿宋" w:cs="仿宋"/>
                <w:b/>
                <w:bCs/>
                <w:color w:val="FF0000"/>
              </w:rPr>
            </w:pPr>
            <w:r>
              <w:rPr>
                <w:rFonts w:ascii="宋体" w:hAnsi="宋体" w:eastAsia="宋体" w:cs="宋体"/>
                <w:b/>
                <w:sz w:val="52"/>
              </w:rPr>
              <w:t>2021年度</w:t>
            </w:r>
            <w:r>
              <w:rPr>
                <w:rFonts w:ascii="宋体" w:hAnsi="宋体" w:eastAsia="宋体" w:cs="宋体"/>
                <w:b/>
                <w:sz w:val="52"/>
              </w:rPr>
              <w:br w:type="textWrapping"/>
            </w:r>
            <w:r>
              <w:rPr>
                <w:rFonts w:ascii="宋体" w:hAnsi="宋体" w:eastAsia="宋体" w:cs="宋体"/>
                <w:b/>
                <w:sz w:val="52"/>
              </w:rPr>
              <w:t>江苏省民政干部学校</w:t>
            </w:r>
            <w:r>
              <w:rPr>
                <w:rFonts w:ascii="宋体" w:hAnsi="宋体" w:eastAsia="宋体" w:cs="宋体"/>
                <w:b/>
                <w:sz w:val="52"/>
              </w:rPr>
              <w:br w:type="textWrapping"/>
            </w:r>
            <w:r>
              <w:rPr>
                <w:rFonts w:ascii="宋体" w:hAnsi="宋体" w:eastAsia="宋体" w:cs="宋体"/>
                <w:b/>
                <w:sz w:val="52"/>
              </w:rPr>
              <w:t>单位决算公开</w:t>
            </w:r>
          </w:p>
        </w:tc>
      </w:tr>
    </w:tbl>
    <w:p>
      <w:pPr>
        <w:ind w:right="284" w:rightChars="129"/>
        <w:jc w:val="both"/>
        <w:rPr>
          <w:rFonts w:ascii="宋体" w:hAnsi="宋体" w:eastAsia="宋体" w:cs="宋体"/>
          <w:b/>
          <w:bCs/>
          <w:sz w:val="52"/>
          <w:szCs w:val="52"/>
        </w:rPr>
        <w:sectPr>
          <w:headerReference r:id="rId5" w:type="first"/>
          <w:footerReference r:id="rId8" w:type="first"/>
          <w:headerReference r:id="rId3" w:type="default"/>
          <w:footerReference r:id="rId6" w:type="default"/>
          <w:headerReference r:id="rId4" w:type="even"/>
          <w:footerReference r:id="rId7" w:type="even"/>
          <w:pgSz w:w="11906" w:h="16838"/>
          <w:pgMar w:top="1580" w:right="700" w:bottom="770" w:left="1020" w:header="170" w:footer="280" w:gutter="0"/>
          <w:cols w:space="720" w:num="1"/>
          <w:formProt w:val="0"/>
          <w:titlePg/>
          <w:docGrid w:linePitch="100" w:charSpace="0"/>
        </w:sectPr>
      </w:pPr>
    </w:p>
    <w:p>
      <w:pPr>
        <w:pStyle w:val="8"/>
        <w:spacing w:before="4"/>
        <w:rPr>
          <w:rFonts w:ascii="华文仿宋" w:hAnsi="华文仿宋" w:eastAsia="华文仿宋" w:cs="仿宋"/>
          <w:sz w:val="10"/>
        </w:rPr>
      </w:pPr>
    </w:p>
    <w:p>
      <w:pPr>
        <w:pStyle w:val="3"/>
        <w:tabs>
          <w:tab w:val="left" w:pos="880"/>
        </w:tabs>
        <w:spacing w:line="718" w:lineRule="exact"/>
        <w:ind w:right="313"/>
        <w:rPr>
          <w:rFonts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rPr>
          <w:rFonts w:ascii="仿宋" w:hAnsi="仿宋" w:eastAsia="仿宋" w:cs="仿宋"/>
          <w:sz w:val="27"/>
        </w:rPr>
      </w:pPr>
    </w:p>
    <w:p>
      <w:pPr>
        <w:pStyle w:val="8"/>
        <w:spacing w:line="360" w:lineRule="auto"/>
        <w:ind w:left="671" w:leftChars="300" w:hanging="11"/>
        <w:jc w:val="both"/>
        <w:outlineLvl w:val="0"/>
        <w:rPr>
          <w:rFonts w:ascii="黑体" w:hAnsi="黑体" w:eastAsia="黑体" w:cs="黑体"/>
        </w:rPr>
      </w:pPr>
      <w:r>
        <w:rPr>
          <w:rFonts w:hint="eastAsia" w:ascii="黑体" w:hAnsi="黑体" w:eastAsia="黑体" w:cs="黑体"/>
        </w:rPr>
        <w:t xml:space="preserve">第一部分 </w:t>
      </w:r>
      <w:r>
        <w:rPr>
          <w:rFonts w:hint="eastAsia" w:ascii="黑体" w:hAnsi="黑体" w:eastAsia="黑体" w:cs="黑体"/>
          <w:lang w:val="en-US"/>
        </w:rPr>
        <w:t>单位</w:t>
      </w:r>
      <w:r>
        <w:rPr>
          <w:rFonts w:hint="eastAsia" w:ascii="黑体" w:hAnsi="黑体" w:eastAsia="黑体" w:cs="黑体"/>
        </w:rPr>
        <w:t>概况</w:t>
      </w:r>
    </w:p>
    <w:p>
      <w:pPr>
        <w:pStyle w:val="8"/>
        <w:tabs>
          <w:tab w:val="left" w:pos="2249"/>
        </w:tabs>
        <w:spacing w:line="360" w:lineRule="auto"/>
        <w:ind w:left="671" w:leftChars="300" w:hanging="11"/>
        <w:jc w:val="both"/>
        <w:rPr>
          <w:rFonts w:ascii="仿宋" w:hAnsi="仿宋" w:eastAsia="仿宋" w:cs="仿宋"/>
        </w:rPr>
      </w:pPr>
      <w:r>
        <w:rPr>
          <w:rFonts w:hint="eastAsia" w:ascii="仿宋" w:hAnsi="仿宋" w:eastAsia="仿宋" w:cs="仿宋"/>
        </w:rPr>
        <w:t>一、主要职能</w:t>
      </w:r>
    </w:p>
    <w:p>
      <w:pPr>
        <w:pStyle w:val="8"/>
        <w:tabs>
          <w:tab w:val="left" w:pos="2249"/>
        </w:tabs>
        <w:spacing w:line="360" w:lineRule="auto"/>
        <w:ind w:left="671" w:leftChars="300" w:hanging="11"/>
        <w:jc w:val="both"/>
        <w:rPr>
          <w:rFonts w:ascii="仿宋" w:hAnsi="仿宋" w:eastAsia="仿宋" w:cs="仿宋"/>
        </w:rPr>
      </w:pPr>
      <w:r>
        <w:rPr>
          <w:rFonts w:hint="eastAsia" w:ascii="仿宋" w:hAnsi="仿宋" w:eastAsia="仿宋" w:cs="仿宋"/>
        </w:rPr>
        <w:t>二、</w:t>
      </w:r>
      <w:r>
        <w:rPr>
          <w:rFonts w:hint="eastAsia" w:ascii="仿宋" w:hAnsi="仿宋" w:eastAsia="仿宋" w:cs="仿宋"/>
          <w:lang w:val="en-US"/>
        </w:rPr>
        <w:t>单位</w:t>
      </w:r>
      <w:r>
        <w:rPr>
          <w:rFonts w:hint="eastAsia" w:ascii="仿宋" w:hAnsi="仿宋" w:eastAsia="仿宋" w:cs="仿宋"/>
        </w:rPr>
        <w:t>机构设置及决算单位构成情况</w:t>
      </w:r>
    </w:p>
    <w:p>
      <w:pPr>
        <w:pStyle w:val="8"/>
        <w:tabs>
          <w:tab w:val="left" w:pos="2249"/>
        </w:tabs>
        <w:spacing w:line="360" w:lineRule="auto"/>
        <w:ind w:left="671" w:leftChars="300" w:hanging="11"/>
        <w:jc w:val="both"/>
        <w:rPr>
          <w:rFonts w:ascii="仿宋" w:hAnsi="仿宋" w:eastAsia="仿宋" w:cs="仿宋"/>
        </w:rPr>
      </w:pPr>
      <w:r>
        <w:rPr>
          <w:rFonts w:hint="eastAsia" w:ascii="仿宋" w:hAnsi="仿宋" w:eastAsia="仿宋" w:cs="仿宋"/>
        </w:rPr>
        <w:t>三、2021年度主要工作完成情况</w:t>
      </w:r>
    </w:p>
    <w:p>
      <w:pPr>
        <w:pStyle w:val="8"/>
        <w:spacing w:line="360" w:lineRule="auto"/>
        <w:ind w:left="671" w:leftChars="300" w:hanging="11"/>
        <w:jc w:val="both"/>
        <w:rPr>
          <w:rFonts w:ascii="黑体" w:hAnsi="黑体" w:eastAsia="黑体" w:cs="黑体"/>
        </w:rPr>
      </w:pPr>
      <w:r>
        <w:rPr>
          <w:rFonts w:hint="eastAsia" w:ascii="黑体" w:hAnsi="黑体" w:eastAsia="黑体" w:cs="黑体"/>
          <w:lang w:val="en-US"/>
        </w:rPr>
        <w:t>第二部分 2021年度</w:t>
      </w:r>
      <w:r>
        <w:rPr>
          <w:rFonts w:ascii="黑体" w:hAnsi="黑体" w:eastAsia="黑体" w:cs="黑体"/>
        </w:rPr>
        <w:t>单位决算表</w:t>
      </w:r>
    </w:p>
    <w:p>
      <w:pPr>
        <w:pStyle w:val="8"/>
        <w:spacing w:line="360" w:lineRule="auto"/>
        <w:ind w:left="671" w:leftChars="300" w:right="5774" w:hanging="11"/>
        <w:jc w:val="both"/>
        <w:rPr>
          <w:rFonts w:ascii="仿宋" w:hAnsi="仿宋" w:eastAsia="仿宋" w:cs="仿宋"/>
        </w:rPr>
      </w:pPr>
      <w:r>
        <w:rPr>
          <w:rFonts w:hint="eastAsia" w:ascii="仿宋" w:hAnsi="仿宋" w:eastAsia="仿宋" w:cs="仿宋"/>
          <w:spacing w:val="-2"/>
        </w:rPr>
        <w:t>一、收入支出决算总表</w:t>
      </w:r>
    </w:p>
    <w:p>
      <w:pPr>
        <w:pStyle w:val="8"/>
        <w:spacing w:line="360" w:lineRule="auto"/>
        <w:ind w:left="671" w:leftChars="300" w:right="5774" w:hanging="11"/>
        <w:jc w:val="both"/>
        <w:rPr>
          <w:rFonts w:ascii="仿宋" w:hAnsi="仿宋" w:eastAsia="仿宋" w:cs="仿宋"/>
        </w:rPr>
      </w:pPr>
      <w:r>
        <w:rPr>
          <w:rFonts w:hint="eastAsia" w:ascii="仿宋" w:hAnsi="仿宋" w:eastAsia="仿宋" w:cs="仿宋"/>
        </w:rPr>
        <w:t>二、收入决算表</w:t>
      </w:r>
    </w:p>
    <w:p>
      <w:pPr>
        <w:pStyle w:val="8"/>
        <w:spacing w:line="360" w:lineRule="auto"/>
        <w:ind w:left="671" w:leftChars="300" w:hanging="11"/>
        <w:jc w:val="both"/>
        <w:rPr>
          <w:rFonts w:ascii="仿宋" w:hAnsi="仿宋" w:eastAsia="仿宋" w:cs="仿宋"/>
        </w:rPr>
      </w:pPr>
      <w:r>
        <w:rPr>
          <w:rFonts w:hint="eastAsia" w:ascii="仿宋" w:hAnsi="仿宋" w:eastAsia="仿宋" w:cs="仿宋"/>
          <w:w w:val="95"/>
        </w:rPr>
        <w:t>三、支出决算表</w:t>
      </w:r>
    </w:p>
    <w:p>
      <w:pPr>
        <w:pStyle w:val="8"/>
        <w:spacing w:line="360" w:lineRule="auto"/>
        <w:ind w:left="671" w:leftChars="300" w:hanging="11"/>
        <w:jc w:val="both"/>
        <w:rPr>
          <w:rFonts w:ascii="仿宋" w:hAnsi="仿宋" w:eastAsia="仿宋" w:cs="仿宋"/>
        </w:rPr>
      </w:pPr>
      <w:r>
        <w:rPr>
          <w:rFonts w:hint="eastAsia" w:ascii="仿宋" w:hAnsi="仿宋" w:eastAsia="仿宋" w:cs="仿宋"/>
        </w:rPr>
        <w:t>四、财政拨款收入支出决算总表</w:t>
      </w:r>
    </w:p>
    <w:p>
      <w:pPr>
        <w:pStyle w:val="8"/>
        <w:spacing w:line="360" w:lineRule="auto"/>
        <w:ind w:left="671" w:leftChars="300" w:hanging="11"/>
        <w:jc w:val="both"/>
        <w:rPr>
          <w:rFonts w:ascii="仿宋" w:hAnsi="仿宋" w:eastAsia="仿宋" w:cs="仿宋"/>
        </w:rPr>
      </w:pPr>
      <w:r>
        <w:rPr>
          <w:rFonts w:hint="eastAsia" w:ascii="仿宋" w:hAnsi="仿宋" w:eastAsia="仿宋" w:cs="仿宋"/>
        </w:rPr>
        <w:t>五、财政拨款支出决算表（功能科目）</w:t>
      </w:r>
    </w:p>
    <w:p>
      <w:pPr>
        <w:pStyle w:val="8"/>
        <w:spacing w:line="360" w:lineRule="auto"/>
        <w:ind w:left="671" w:leftChars="300" w:right="2894" w:hanging="11"/>
        <w:jc w:val="both"/>
        <w:rPr>
          <w:rFonts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spacing w:line="360" w:lineRule="auto"/>
        <w:ind w:left="671" w:leftChars="300" w:hanging="11"/>
        <w:jc w:val="both"/>
        <w:rPr>
          <w:rFonts w:ascii="仿宋" w:hAnsi="仿宋" w:eastAsia="仿宋" w:cs="仿宋"/>
        </w:rPr>
      </w:pPr>
      <w:r>
        <w:rPr>
          <w:rFonts w:hint="eastAsia" w:ascii="仿宋" w:hAnsi="仿宋" w:eastAsia="仿宋" w:cs="仿宋"/>
        </w:rPr>
        <w:t>八、一般公共预算基本支出决算表（经济科目）</w:t>
      </w:r>
    </w:p>
    <w:p>
      <w:pPr>
        <w:pStyle w:val="8"/>
        <w:spacing w:line="360" w:lineRule="auto"/>
        <w:ind w:left="671" w:leftChars="300" w:hanging="11"/>
        <w:jc w:val="both"/>
        <w:rPr>
          <w:rFonts w:ascii="仿宋" w:hAnsi="仿宋" w:eastAsia="仿宋" w:cs="仿宋"/>
        </w:rPr>
      </w:pPr>
      <w:r>
        <w:rPr>
          <w:rFonts w:hint="eastAsia" w:ascii="仿宋" w:hAnsi="仿宋" w:eastAsia="仿宋" w:cs="仿宋"/>
        </w:rPr>
        <w:t>九、一般公共预算“三公”经费、会议费、培训费支出决算表</w:t>
      </w:r>
    </w:p>
    <w:p>
      <w:pPr>
        <w:pStyle w:val="8"/>
        <w:spacing w:line="360" w:lineRule="auto"/>
        <w:ind w:left="671" w:leftChars="300" w:hanging="11"/>
        <w:jc w:val="both"/>
        <w:rPr>
          <w:rFonts w:ascii="仿宋" w:hAnsi="仿宋" w:eastAsia="仿宋" w:cs="仿宋"/>
        </w:rPr>
      </w:pPr>
      <w:r>
        <w:rPr>
          <w:rFonts w:hint="eastAsia" w:ascii="仿宋" w:hAnsi="仿宋" w:eastAsia="仿宋" w:cs="仿宋"/>
        </w:rPr>
        <w:t>十、政府性基金预算支出决算表</w:t>
      </w:r>
    </w:p>
    <w:p>
      <w:pPr>
        <w:pStyle w:val="8"/>
        <w:spacing w:line="360" w:lineRule="auto"/>
        <w:ind w:left="671" w:leftChars="300" w:right="2575" w:hanging="11"/>
        <w:jc w:val="both"/>
        <w:rPr>
          <w:rFonts w:ascii="仿宋" w:hAnsi="仿宋" w:eastAsia="仿宋" w:cs="仿宋"/>
          <w:lang w:val="en-US"/>
        </w:rPr>
      </w:pPr>
      <w:r>
        <w:rPr>
          <w:rFonts w:hint="eastAsia" w:ascii="仿宋" w:hAnsi="仿宋" w:eastAsia="仿宋" w:cs="仿宋"/>
        </w:rPr>
        <w:t>十一、</w:t>
      </w:r>
      <w:r>
        <w:rPr>
          <w:rFonts w:hint="eastAsia" w:ascii="仿宋" w:hAnsi="仿宋" w:eastAsia="仿宋" w:cs="仿宋"/>
          <w:lang w:val="en-US"/>
        </w:rPr>
        <w:t>国有资本经营预算支出决算表</w:t>
      </w:r>
    </w:p>
    <w:p>
      <w:pPr>
        <w:pStyle w:val="8"/>
        <w:spacing w:line="360" w:lineRule="auto"/>
        <w:ind w:left="671" w:leftChars="300" w:right="2575" w:hanging="11"/>
        <w:jc w:val="both"/>
        <w:rPr>
          <w:rFonts w:ascii="仿宋" w:hAnsi="仿宋" w:eastAsia="仿宋" w:cs="仿宋"/>
        </w:rPr>
      </w:pPr>
      <w:r>
        <w:rPr>
          <w:rFonts w:hint="eastAsia" w:ascii="仿宋" w:hAnsi="仿宋" w:eastAsia="仿宋" w:cs="仿宋"/>
        </w:rPr>
        <w:t>十</w:t>
      </w:r>
      <w:r>
        <w:rPr>
          <w:rFonts w:hint="eastAsia" w:ascii="仿宋" w:hAnsi="仿宋" w:eastAsia="仿宋" w:cs="仿宋"/>
          <w:lang w:val="en-US"/>
        </w:rPr>
        <w:t>二</w:t>
      </w:r>
      <w:r>
        <w:rPr>
          <w:rFonts w:hint="eastAsia" w:ascii="仿宋" w:hAnsi="仿宋" w:eastAsia="仿宋" w:cs="仿宋"/>
        </w:rPr>
        <w:t>、一般公共预算机关运行经费支出决算表</w:t>
      </w:r>
    </w:p>
    <w:p>
      <w:pPr>
        <w:pStyle w:val="8"/>
        <w:spacing w:line="360" w:lineRule="auto"/>
        <w:ind w:left="671" w:leftChars="300" w:right="2575" w:hanging="11"/>
        <w:jc w:val="both"/>
        <w:rPr>
          <w:rFonts w:ascii="仿宋" w:hAnsi="仿宋" w:eastAsia="仿宋" w:cs="仿宋"/>
        </w:rPr>
      </w:pPr>
      <w:r>
        <w:rPr>
          <w:rFonts w:hint="eastAsia" w:ascii="仿宋" w:hAnsi="仿宋" w:eastAsia="仿宋" w:cs="仿宋"/>
        </w:rPr>
        <w:t>十</w:t>
      </w:r>
      <w:r>
        <w:rPr>
          <w:rFonts w:hint="eastAsia" w:ascii="仿宋" w:hAnsi="仿宋" w:eastAsia="仿宋" w:cs="仿宋"/>
          <w:lang w:val="en-US"/>
        </w:rPr>
        <w:t>三</w:t>
      </w:r>
      <w:r>
        <w:rPr>
          <w:rFonts w:hint="eastAsia" w:ascii="仿宋" w:hAnsi="仿宋" w:eastAsia="仿宋" w:cs="仿宋"/>
        </w:rPr>
        <w:t>、政府采购支出决算表</w:t>
      </w:r>
    </w:p>
    <w:p>
      <w:pPr>
        <w:pStyle w:val="8"/>
        <w:spacing w:line="360" w:lineRule="auto"/>
        <w:ind w:left="671" w:leftChars="300" w:hanging="11"/>
        <w:jc w:val="both"/>
        <w:rPr>
          <w:rFonts w:ascii="黑体" w:hAnsi="黑体" w:eastAsia="黑体" w:cs="黑体"/>
          <w:lang w:val="en-US"/>
        </w:rPr>
      </w:pPr>
      <w:r>
        <w:rPr>
          <w:rFonts w:hint="eastAsia" w:ascii="黑体" w:hAnsi="黑体" w:eastAsia="黑体" w:cs="黑体"/>
          <w:lang w:val="en-US"/>
        </w:rPr>
        <w:t>第三部分 2021年度</w:t>
      </w:r>
      <w:r>
        <w:rPr>
          <w:rFonts w:ascii="黑体" w:hAnsi="黑体" w:eastAsia="黑体" w:cs="黑体"/>
        </w:rPr>
        <w:t>单位决算情况说明</w:t>
      </w:r>
    </w:p>
    <w:p>
      <w:pPr>
        <w:pStyle w:val="8"/>
        <w:spacing w:line="360" w:lineRule="auto"/>
        <w:ind w:left="671" w:leftChars="300" w:hanging="11"/>
        <w:jc w:val="both"/>
        <w:rPr>
          <w:rFonts w:ascii="仿宋" w:hAnsi="仿宋" w:eastAsia="仿宋" w:cs="仿宋"/>
          <w:b/>
          <w:bCs/>
          <w:color w:val="000000"/>
          <w:sz w:val="30"/>
          <w:szCs w:val="30"/>
          <w:lang w:val="en-US"/>
        </w:rPr>
      </w:pPr>
      <w:r>
        <w:rPr>
          <w:rFonts w:hint="eastAsia" w:ascii="黑体" w:hAnsi="黑体" w:eastAsia="黑体" w:cs="黑体"/>
          <w:lang w:val="en-US"/>
        </w:rPr>
        <w:t>第四部分 名词解释</w:t>
      </w:r>
    </w:p>
    <w:p>
      <w:pPr>
        <w:pStyle w:val="8"/>
        <w:spacing w:line="235" w:lineRule="auto"/>
        <w:ind w:left="669" w:leftChars="300" w:right="2414" w:hanging="9"/>
        <w:jc w:val="both"/>
        <w:rPr>
          <w:rFonts w:ascii="仿宋" w:hAnsi="仿宋" w:eastAsia="仿宋" w:cs="仿宋"/>
        </w:rPr>
        <w:sectPr>
          <w:footerReference r:id="rId9" w:type="default"/>
          <w:pgSz w:w="11906" w:h="16838"/>
          <w:pgMar w:top="1580" w:right="700" w:bottom="770" w:left="1020" w:header="283" w:footer="280" w:gutter="0"/>
          <w:pgNumType w:fmt="numberInDash" w:start="1"/>
          <w:cols w:space="720" w:num="1"/>
          <w:formProt w:val="0"/>
          <w:docGrid w:linePitch="100" w:charSpace="0"/>
        </w:sectPr>
      </w:pPr>
    </w:p>
    <w:p>
      <w:pPr>
        <w:pStyle w:val="8"/>
        <w:spacing w:before="1"/>
        <w:rPr>
          <w:rFonts w:ascii="华文仿宋" w:hAnsi="华文仿宋" w:eastAsia="华文仿宋" w:cs="仿宋"/>
          <w:sz w:val="14"/>
        </w:rPr>
      </w:pPr>
    </w:p>
    <w:p>
      <w:pPr>
        <w:pStyle w:val="5"/>
        <w:tabs>
          <w:tab w:val="left" w:pos="4395"/>
        </w:tabs>
        <w:spacing w:line="606" w:lineRule="exact"/>
        <w:ind w:right="504" w:rightChars="229"/>
        <w:rPr>
          <w:rFonts w:ascii="宋体" w:hAnsi="宋体" w:eastAsia="宋体" w:cs="宋体"/>
          <w:b/>
          <w:bCs/>
        </w:rPr>
      </w:pPr>
      <w:r>
        <w:rPr>
          <w:rFonts w:hint="eastAsia" w:ascii="宋体" w:hAnsi="宋体" w:eastAsia="宋体" w:cs="宋体"/>
          <w:b/>
          <w:bCs/>
        </w:rPr>
        <w:t>第一部分单位概况</w:t>
      </w:r>
    </w:p>
    <w:p>
      <w:pPr>
        <w:ind w:right="504" w:rightChars="229"/>
        <w:jc w:val="both"/>
      </w:pPr>
    </w:p>
    <w:p>
      <w:pPr>
        <w:pStyle w:val="8"/>
        <w:spacing w:line="360" w:lineRule="auto"/>
        <w:ind w:left="440" w:leftChars="200" w:right="504" w:rightChars="229" w:firstLine="658"/>
        <w:jc w:val="both"/>
        <w:outlineLvl w:val="1"/>
        <w:rPr>
          <w:rFonts w:ascii="黑体" w:hAnsi="黑体" w:eastAsia="黑体" w:cs="黑体"/>
        </w:rPr>
      </w:pPr>
      <w:r>
        <w:rPr>
          <w:rFonts w:hint="eastAsia" w:ascii="黑体" w:hAnsi="黑体" w:eastAsia="黑体" w:cs="黑体"/>
        </w:rPr>
        <w:t>一、主要职能</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为民政系统干部提供培训服务，系统内在职干部培训。</w:t>
      </w:r>
    </w:p>
    <w:p>
      <w:pPr>
        <w:pStyle w:val="8"/>
        <w:spacing w:line="360" w:lineRule="auto"/>
        <w:ind w:left="440" w:leftChars="200" w:right="504" w:rightChars="229" w:firstLine="658"/>
        <w:jc w:val="both"/>
        <w:outlineLvl w:val="1"/>
        <w:rPr>
          <w:rFonts w:ascii="黑体" w:hAnsi="黑体" w:eastAsia="黑体" w:cs="黑体"/>
        </w:rPr>
      </w:pPr>
      <w:r>
        <w:rPr>
          <w:rFonts w:hint="eastAsia" w:ascii="黑体" w:hAnsi="黑体" w:eastAsia="黑体" w:cs="黑体"/>
        </w:rPr>
        <w:t>二、</w:t>
      </w:r>
      <w:r>
        <w:rPr>
          <w:rFonts w:ascii="黑体" w:hAnsi="黑体" w:eastAsia="黑体" w:cs="黑体"/>
        </w:rPr>
        <w:t>单位</w:t>
      </w:r>
      <w:r>
        <w:rPr>
          <w:rFonts w:hint="eastAsia" w:ascii="黑体" w:hAnsi="黑体" w:eastAsia="黑体" w:cs="黑体"/>
        </w:rPr>
        <w:t>机构设置及决算单位构成情况</w:t>
      </w:r>
    </w:p>
    <w:p>
      <w:pPr>
        <w:pStyle w:val="8"/>
        <w:spacing w:line="360" w:lineRule="auto"/>
        <w:ind w:left="440" w:leftChars="200" w:right="504" w:rightChars="229" w:firstLine="658"/>
        <w:jc w:val="both"/>
        <w:rPr>
          <w:rFonts w:ascii="仿宋" w:hAnsi="仿宋" w:eastAsia="仿宋" w:cs="仿宋"/>
        </w:rPr>
      </w:pPr>
      <w:r>
        <w:rPr>
          <w:rFonts w:hint="eastAsia" w:ascii="仿宋" w:hAnsi="仿宋" w:eastAsia="仿宋" w:cs="仿宋"/>
        </w:rPr>
        <w:t>根据</w:t>
      </w:r>
      <w:r>
        <w:rPr>
          <w:rFonts w:hint="eastAsia" w:ascii="仿宋" w:hAnsi="仿宋" w:eastAsia="仿宋" w:cs="仿宋"/>
          <w:lang w:val="en-US"/>
        </w:rPr>
        <w:t>单位</w:t>
      </w:r>
      <w:r>
        <w:rPr>
          <w:rFonts w:hint="eastAsia" w:ascii="仿宋" w:hAnsi="仿宋" w:eastAsia="仿宋" w:cs="仿宋"/>
        </w:rPr>
        <w:t>职责分工，</w:t>
      </w:r>
      <w:r>
        <w:rPr>
          <w:rFonts w:ascii="仿宋" w:hAnsi="仿宋" w:eastAsia="仿宋" w:cs="仿宋"/>
        </w:rPr>
        <w:t>本单位内设机构包括省民政干校为江苏省民政厅直属事业单位，全额拨款，负责全省民政系统领导干部职工的业务培训工作。内设校长室、办公室、培训科、社工科、人事科、财务科。本单位无下属单位。</w:t>
      </w:r>
    </w:p>
    <w:p>
      <w:pPr>
        <w:pStyle w:val="8"/>
        <w:spacing w:line="360" w:lineRule="auto"/>
        <w:ind w:left="440" w:leftChars="200" w:right="504" w:rightChars="229" w:firstLine="658"/>
        <w:jc w:val="both"/>
        <w:outlineLvl w:val="1"/>
        <w:rPr>
          <w:rFonts w:ascii="黑体" w:hAnsi="黑体" w:eastAsia="黑体" w:cs="黑体"/>
        </w:rPr>
      </w:pPr>
      <w:r>
        <w:rPr>
          <w:rFonts w:hint="eastAsia" w:ascii="黑体" w:hAnsi="黑体" w:eastAsia="黑体" w:cs="黑体"/>
        </w:rPr>
        <w:t>三、2021年度主要工作完成情况</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在厅党组的正确领导下，在人教处、规财处等处室的直接指导下，干校全体党员职工坚持以习近平新时代中国特色社会主义思想作为工作总指导，全面贯彻落实党的十九大和十九届二中、三中、四中、五中、六中全会精神，深入贯彻全面从严治党责任，按照新时代党的建设总要求和建设高质量现代民政总体要求，统筹开展党建和各项业务工作。本年度干校各项工作情况汇报如下：</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一、党建工作完成情况</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校党支部深入贯彻全面从严治党责任，按照新时代党的建设总要求，坚持把党的政治建设摆在首位，以基层党组织标准化规范化建设为抓手，结合党史学习教育、学习贯彻习近平总书记“七一”重要讲话精神和学习贯彻党的十九届六中全会精神等系列活动有序推进全年党建工作。</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（一）旗帜鲜明讲政治，夯实政治建设</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干校始终强调政治建设的首要地位和党的领导核心作用，充分履行党建“第一责任人”职责，认真落实“一岗双责”。年初各科室签订全面从严治党责任书，梳理防范党风廉政风险点，强化政治引领，靠实工作责任，营造风清气正的政治生态。党员职工严格执行《关于新形势下党内政治生活的若干准则》，通过严肃党内生活和开展各项教育活动不断提高党员职工政治站位，巩固理想信念，深入认识“两个确立”的政治内涵和实践意义，不断增强“四个意识”，坚定“四个自信”，自觉做到“两个维护”。</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（二）全面落实党史学习教育，增强思想建设</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扎实开展理论学习，在学深悟透上下功夫，持续深入学习贯彻习近平新时代中国特色社会主义思想，推进不忘初心、牢记使命常态化制度化。</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2月以来，支部通过开展集中学习、个人学习、实境教学、讲座教学、文艺参观等多种学习活动，号召党员职工投入到党史学习教育的大潮中。全年开展党史专题集中学习7次，系统学习了《中国共产党简史》、《论中国共产党历史》、《毛泽东邓小平江泽民胡锦涛关于中国共产党历史论述摘编》和《习近平新时代中国特色社会主义思想学习问答》。开展和参加实境教学2次，分别是盐城新四军纪念馆等爱国主义教育基地参观学习和南京红色李巷体验教学，现场学习革命先辈英勇事迹，感受革命峥嵘岁月。观看省文旅厅主办的庆祝建党百年系列演出2次，参观中国共产党在江苏历史展。积极参与省厅主办的党史学习教育系列活动，聆听省委党校教授的党史专题宣讲报告；参加“光荣在党50年”纪念章颁发仪式，接受老党员革命故事的洗礼熏陶；参加“百年党史百人讲”活动，撰写并朗诵《王尔琢的“托孤书”》。号召和组织党员职工参加“百年故事汇？党史天天学”有奖问答，观看党史微纪录片《记忆100》和《百炼成钢：中国共产党的100年》。</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7月以来，校党支部组织全体党员，重点深入学习习近平在庆祝中国共产党成立100周年大会上的讲话。组织大家观看庆祝中国共产党成立100周年大会盛况，认真学习“七一”讲话精神，要求大家原原本本读原文，逐字逐句悟精神。组织召开以学习“七一”重要讲话为主要内容的专题组织生活会，每名党员都向支部汇报学习体会，加深理解、巩固信念。</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11月以来，通过集中学习和个人学习相结合的方式，党员职工深入学习领会党的十九届六中全会精神，学深悟透《中共中央关于党的百年奋斗重大成就和历史经验的决议》，党员代表参加省厅集中学习1次，支部负责人专题讲课1次，集中学习研讨2次。</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（三）加强组织建设，全面提升基层党组织组织力</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校党支部严格执行《</w:t>
      </w:r>
      <w:r>
        <w:rPr>
          <w:rFonts w:hint="eastAsia" w:ascii="仿宋" w:hAnsi="仿宋" w:eastAsia="仿宋" w:cs="仿宋"/>
        </w:rPr>
        <w:t>中国共产党支部工作条例（试行）</w:t>
      </w:r>
      <w:bookmarkStart w:id="0" w:name="_GoBack"/>
      <w:bookmarkEnd w:id="0"/>
      <w:r>
        <w:rPr>
          <w:rFonts w:ascii="仿宋" w:hAnsi="仿宋" w:eastAsia="仿宋" w:cs="仿宋"/>
        </w:rPr>
        <w:t>》，全面落实“三会一课”、组织生活会、民主评议党员、谈心谈话等党内生活制度。今年，共召开支部党员大会6次、支部委员会12次、组织生活会1次，开展集中学习12次，全年党建工作有序推进。</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严格落实发展党员十六字方针要求，为党组织补充德才兼备的年轻力量。今年确定了一名同志为入党积极分子，一名预备党员按期转正。6月，一名党员获得省厅优秀党员称号。11月，支部选出四名党代表参加省民政厅第三次党员代表大会。积极派员参加省厅机关党委组织的党务干部培训。</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认真落实《关于开展党支部分类达标定级工作的实施方案（试行）》，不断加强党支部标准化规范化建设，向上级党组织提交了《达标定级工作自评报告》。运用“江苏机关党建云”平台线上收缴党费，全体党员全年按月足额缴纳党费。</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（四）扎实推进全面从严治党，加强纪律建设</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1、扎实推进意识形态工作责任落实</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坚持党管宣传、党管意识形态原则，认真贯彻落实意识形态工作责任制，校意识形态工作领导小组根据《省民政干部学校建立意识形态工作责任制实施方案》加强本单位意识形态阵地管理和建设，并配合好厅党组对意识形态工作的指导、督促和检查。全年共召开意识形态学习教育2次，组织2次意识形态分析工作，并向机关党委专题汇报意识形态工作形势。今年支部主要从加强组织领导、严格日常管理、加强培训管理等方面落实工作责任制，深化理想信念教育，营造良好政治生态。</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2、扎实做好党风廉政建设和反腐败工作</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始终强调严守政治纪律和组织纪律，通过落实“三会一课”制度，带领党员职工不断学习巩固《中国共产党纪律处分条例》《关于新形势下党内政治生活的若干准则》等党规党纪，教育督促党员职工做到心中有党、心中有责、心中有戒、心中有法。继续全面落实巡察整改以来制定的各项规章制度，从制度上防止腐败行为发生，认真贯彻落实中央“八项规定”等相关要求，常态化开展形式主义、官僚主义整治行动，切实提高党员干部廉洁从政的自觉意识。</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二、业务工作开展情况</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（一）按需开展培训业务</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今年继续受新冠肺炎疫情影响，我校培训业务开展受阻较严重。培训班开办数量明显缩减，全年共举办系统内培训3期，服务400人次，全年完成创收任务52.83万元。培训中，业务口的同志全程跟班、认真负责、迎难而上，服务意识和安全意识不断增强，业务能力有所提高，培训任务顺利完成。</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（二）完善内部管理</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加强疫情防控，做好安全生产各项工作。深刻认识常态化防疫工作的政治属性，提高干部职工政治站位。疫情防控工作由主要领导负总责，各科室跟踪督办，专人负责防疫用品采购，专人负责疫情日报。在开展培训业务等工作中，全面落实全省疫情防控要求，严格要求学员做好健康申报等防疫措施，提供保障好防疫物资，在培训的各环节落细落实常态化疫情防控工作。协调好疫情下干部职工工作生活。今年集中发放2批防疫物资。年中南京、扬州疫情突发时，妥善安排好生活有困难的干部职工。全面落实安全生产监管措施，消除问题隐患，组织开展2021年度消防安全培训，不断加强干部职工安全意识。全年未发生各类安全事故。</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其他内部管理上，今年加强人手负责固定资产管理，盘点固定资产2次，完善并维护固定资产管理系统资料，固定资产管理绩效评价得分85.96。在财务管理工作上，严格执行各项财务新制度新规定，合理安排日常各项资金的归集使用。在人事管理工作上，完成干校职工档案整理工作，顺利通过干部人事档案专项审核。完成省民政厅第二次机构编制核查工作，干校编制设置符合相关规定。对职工反映的午餐问题，年初对多家餐饮连锁公司进行考察了解，选择品质优良的餐饮企业为职工提供中餐服务。</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（三）不断加强人才队伍建设</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始终坚持党管干部、任人唯贤、德才兼备、注重实绩、群众认可原则，严格按程序和要求聘用、使用和管理干部。今年，我校2名年轻同志实习期满，按程序及时定级定岗。</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高度重视干部职工教育培训工作，通过培训加强干部专业技能，选派人员参加人事、财务、党务、安全等专业技能培训，选派年轻干部参加青年干部培训等。同时，我校鼓励支持职工参与各项学习实践活动，今年选派2名青年职工参加省厅举办的“民政心向党永远跟党走”主题征文活动，作品《守护安全生产底线践行民政为民理念》获选鼓励奖。</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今年，我校先后抽调了7名青年干部较长时间参与处室工作。如专项技能培训和全国养老护理职业技能大赛执委会赛务组工作，厅安全生产小组工作，厅党史学习教育工作、2021年度专项巡察工作、救助业务数据统计核对，文档整理等、协助捐助中心做好预算、决算等财务信息系统工作。为我校青年干部的成长发展提供广阔空间，督促他们进一步加强政治历练、思想淬炼、专业训练和实践锻炼，也体现了我校干部职工敢于担当、勇于负责的精神风貌。</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（四）群团工作有序开展</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今年在省厅组织号召下，我校组建了省民政干部学校志愿服务队，联系帮扶对象为南京市江北新区沿江街道慧贤居家养老服务中心。志愿队深入了解调研帮扶对象的特点和困难，制定专项帮扶计划，先后捐赠防疫物资、食品及生活保障物资等两批，共计4000元。</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工会按照年初制定的计划，为会员精心采购过节福利用品、生日券及公园年卡，并组织党员同志开展红色教育基地的学习和红色影片的观影活动及七一读书活动。群团工作有序开展，全年关心慰问职工5人，共计7000元。</w:t>
      </w:r>
    </w:p>
    <w:p>
      <w:pPr>
        <w:pStyle w:val="8"/>
        <w:spacing w:line="235" w:lineRule="auto"/>
        <w:ind w:left="669" w:leftChars="300" w:right="2414" w:hanging="9"/>
        <w:jc w:val="both"/>
        <w:rPr>
          <w:rFonts w:ascii="仿宋" w:hAnsi="仿宋" w:eastAsia="仿宋" w:cs="仿宋"/>
        </w:rPr>
        <w:sectPr>
          <w:footerReference r:id="rId10" w:type="default"/>
          <w:pgSz w:w="11906" w:h="16838"/>
          <w:pgMar w:top="1580" w:right="700" w:bottom="770" w:left="1020" w:header="283" w:footer="280" w:gutter="0"/>
          <w:pgNumType w:fmt="numberInDash"/>
          <w:cols w:space="720" w:num="1"/>
          <w:formProt w:val="0"/>
          <w:docGrid w:linePitch="100" w:charSpace="0"/>
        </w:sectPr>
      </w:pPr>
    </w:p>
    <w:p>
      <w:pPr>
        <w:pStyle w:val="8"/>
        <w:spacing w:line="360" w:lineRule="auto"/>
        <w:ind w:left="440" w:leftChars="200" w:right="504" w:rightChars="229" w:firstLine="658"/>
        <w:jc w:val="both"/>
        <w:rPr>
          <w:rFonts w:ascii="仿宋" w:hAnsi="仿宋" w:eastAsia="仿宋" w:cs="仿宋"/>
          <w:lang w:val="en-US"/>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outlineLvl w:val="0"/>
        <w:rPr>
          <w:rFonts w:ascii="宋体" w:hAnsi="宋体" w:eastAsia="宋体" w:cs="宋体"/>
          <w:b/>
          <w:bCs/>
          <w:sz w:val="36"/>
          <w:szCs w:val="36"/>
          <w:lang w:val="en-US"/>
        </w:rPr>
      </w:pPr>
      <w:r>
        <w:rPr>
          <w:rFonts w:hint="eastAsia" w:ascii="宋体" w:hAnsi="宋体" w:eastAsia="宋体" w:cs="宋体"/>
          <w:b/>
          <w:bCs/>
          <w:sz w:val="36"/>
          <w:szCs w:val="36"/>
        </w:rPr>
        <w:t>第二部分</w:t>
      </w:r>
    </w:p>
    <w:p>
      <w:pPr>
        <w:pStyle w:val="21"/>
        <w:tabs>
          <w:tab w:val="left" w:pos="1609"/>
        </w:tabs>
        <w:spacing w:before="12" w:line="300" w:lineRule="auto"/>
        <w:ind w:left="340" w:right="567" w:firstLine="0"/>
        <w:jc w:val="center"/>
        <w:rPr>
          <w:rFonts w:ascii="宋体" w:hAnsi="宋体" w:eastAsia="宋体" w:cs="宋体"/>
          <w:b/>
          <w:bCs/>
          <w:sz w:val="36"/>
          <w:szCs w:val="36"/>
        </w:rPr>
      </w:pPr>
      <w:r>
        <w:rPr>
          <w:rFonts w:hint="eastAsia" w:ascii="宋体" w:hAnsi="宋体" w:eastAsia="宋体" w:cs="宋体"/>
          <w:b/>
          <w:bCs/>
          <w:sz w:val="36"/>
          <w:szCs w:val="36"/>
        </w:rPr>
        <w:t>江苏省民政干部学校</w:t>
      </w:r>
    </w:p>
    <w:p>
      <w:pPr>
        <w:pStyle w:val="21"/>
        <w:tabs>
          <w:tab w:val="left" w:pos="1609"/>
        </w:tabs>
        <w:spacing w:before="12" w:line="300" w:lineRule="auto"/>
        <w:ind w:left="340" w:right="567" w:firstLine="0"/>
        <w:jc w:val="center"/>
        <w:outlineLvl w:val="1"/>
        <w:rPr>
          <w:rFonts w:ascii="宋体" w:hAnsi="宋体" w:eastAsia="宋体" w:cs="宋体"/>
          <w:b/>
          <w:bCs/>
          <w:sz w:val="36"/>
          <w:szCs w:val="36"/>
        </w:rPr>
      </w:pPr>
      <w:r>
        <w:rPr>
          <w:rFonts w:hint="eastAsia" w:ascii="宋体" w:hAnsi="宋体" w:eastAsia="宋体" w:cs="宋体"/>
          <w:b/>
          <w:bCs/>
          <w:sz w:val="36"/>
          <w:szCs w:val="36"/>
        </w:rPr>
        <w:t>2021年度</w:t>
      </w:r>
      <w:r>
        <w:rPr>
          <w:rFonts w:hint="eastAsia" w:ascii="宋体" w:hAnsi="宋体" w:eastAsia="宋体" w:cs="宋体"/>
          <w:b/>
          <w:bCs/>
          <w:sz w:val="36"/>
          <w:szCs w:val="36"/>
          <w:lang w:val="en-US"/>
        </w:rPr>
        <w:t>单位</w:t>
      </w:r>
      <w:r>
        <w:rPr>
          <w:rFonts w:ascii="宋体" w:hAnsi="宋体" w:eastAsia="宋体" w:cs="宋体"/>
          <w:b/>
          <w:sz w:val="36"/>
        </w:rPr>
        <w:t>决算表</w:t>
      </w:r>
    </w:p>
    <w:tbl>
      <w:tblPr>
        <w:tblStyle w:val="13"/>
        <w:tblW w:w="10447" w:type="dxa"/>
        <w:jc w:val="center"/>
        <w:tblInd w:w="0" w:type="dxa"/>
        <w:tblLayout w:type="fixed"/>
        <w:tblCellMar>
          <w:top w:w="0" w:type="dxa"/>
          <w:left w:w="108" w:type="dxa"/>
          <w:bottom w:w="0" w:type="dxa"/>
          <w:right w:w="108" w:type="dxa"/>
        </w:tblCellMar>
      </w:tblPr>
      <w:tblGrid>
        <w:gridCol w:w="3784"/>
        <w:gridCol w:w="1461"/>
        <w:gridCol w:w="2035"/>
        <w:gridCol w:w="1709"/>
        <w:gridCol w:w="1458"/>
      </w:tblGrid>
      <w:tr>
        <w:tblPrEx>
          <w:tblLayout w:type="fixed"/>
          <w:tblCellMar>
            <w:top w:w="0" w:type="dxa"/>
            <w:left w:w="108" w:type="dxa"/>
            <w:bottom w:w="0" w:type="dxa"/>
            <w:right w:w="108" w:type="dxa"/>
          </w:tblCellMar>
        </w:tblPrEx>
        <w:trPr>
          <w:trHeight w:val="544" w:hRule="atLeast"/>
          <w:jc w:val="center"/>
        </w:trPr>
        <w:tc>
          <w:tcPr>
            <w:tcW w:w="10447" w:type="dxa"/>
            <w:gridSpan w:val="5"/>
          </w:tcPr>
          <w:p>
            <w:pPr>
              <w:pageBreakBefore/>
              <w:jc w:val="center"/>
              <w:rPr>
                <w:rFonts w:ascii="仿宋" w:hAnsi="仿宋" w:eastAsia="仿宋" w:cs="仿宋"/>
                <w:b/>
                <w:bCs/>
                <w:color w:val="000000"/>
              </w:rPr>
            </w:pPr>
            <w:r>
              <w:rPr>
                <w:rFonts w:hint="eastAsia" w:ascii="宋体" w:hAnsi="宋体" w:eastAsia="宋体" w:cs="宋体"/>
                <w:b/>
                <w:bCs/>
                <w:color w:val="000000"/>
                <w:sz w:val="36"/>
                <w:szCs w:val="36"/>
                <w:lang w:eastAsia="ar-SA"/>
              </w:rPr>
              <w:t>收入支出决算总表</w:t>
            </w:r>
          </w:p>
        </w:tc>
      </w:tr>
      <w:tr>
        <w:tblPrEx>
          <w:tblLayout w:type="fixed"/>
          <w:tblCellMar>
            <w:top w:w="0" w:type="dxa"/>
            <w:left w:w="108" w:type="dxa"/>
            <w:bottom w:w="0" w:type="dxa"/>
            <w:right w:w="108" w:type="dxa"/>
          </w:tblCellMar>
        </w:tblPrEx>
        <w:trPr>
          <w:trHeight w:val="348" w:hRule="atLeast"/>
          <w:jc w:val="center"/>
        </w:trPr>
        <w:tc>
          <w:tcPr>
            <w:tcW w:w="3784" w:type="dxa"/>
          </w:tcPr>
          <w:p>
            <w:pPr>
              <w:rPr>
                <w:rFonts w:ascii="仿宋" w:hAnsi="仿宋" w:eastAsia="仿宋" w:cs="仿宋"/>
                <w:color w:val="000000"/>
                <w:sz w:val="20"/>
              </w:rPr>
            </w:pPr>
          </w:p>
        </w:tc>
        <w:tc>
          <w:tcPr>
            <w:tcW w:w="1461" w:type="dxa"/>
          </w:tcPr>
          <w:p>
            <w:pPr>
              <w:rPr>
                <w:rFonts w:ascii="仿宋" w:hAnsi="仿宋" w:eastAsia="仿宋" w:cs="仿宋"/>
                <w:color w:val="000000"/>
                <w:sz w:val="20"/>
              </w:rPr>
            </w:pPr>
          </w:p>
        </w:tc>
        <w:tc>
          <w:tcPr>
            <w:tcW w:w="5202" w:type="dxa"/>
            <w:gridSpan w:val="3"/>
          </w:tcPr>
          <w:p>
            <w:pPr>
              <w:jc w:val="right"/>
              <w:rPr>
                <w:rFonts w:ascii="仿宋" w:hAnsi="仿宋" w:eastAsia="仿宋" w:cs="仿宋"/>
                <w:color w:val="000000"/>
              </w:rPr>
            </w:pPr>
            <w:r>
              <w:rPr>
                <w:rFonts w:hint="eastAsia" w:ascii="仿宋" w:hAnsi="仿宋" w:eastAsia="仿宋" w:cs="仿宋"/>
                <w:color w:val="000000"/>
                <w:lang w:eastAsia="ar-SA"/>
              </w:rPr>
              <w:t>公开01表</w:t>
            </w:r>
          </w:p>
        </w:tc>
      </w:tr>
      <w:tr>
        <w:tblPrEx>
          <w:tblLayout w:type="fixed"/>
          <w:tblCellMar>
            <w:top w:w="0" w:type="dxa"/>
            <w:left w:w="108" w:type="dxa"/>
            <w:bottom w:w="0" w:type="dxa"/>
            <w:right w:w="108" w:type="dxa"/>
          </w:tblCellMar>
        </w:tblPrEx>
        <w:trPr>
          <w:trHeight w:val="333" w:hRule="atLeast"/>
          <w:jc w:val="center"/>
        </w:trPr>
        <w:tc>
          <w:tcPr>
            <w:tcW w:w="7280" w:type="dxa"/>
            <w:gridSpan w:val="3"/>
            <w:tcBorders>
              <w:bottom w:val="single" w:color="000000" w:sz="4" w:space="0"/>
            </w:tcBorders>
            <w:vAlign w:val="center"/>
          </w:tcPr>
          <w:p>
            <w:pPr>
              <w:rPr>
                <w:rFonts w:ascii="仿宋" w:hAnsi="仿宋" w:eastAsia="仿宋" w:cs="仿宋"/>
                <w:color w:val="00000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color w:val="000000"/>
                <w:lang w:eastAsia="ar-SA"/>
              </w:rPr>
              <w:t>江苏省民政干部学校</w:t>
            </w:r>
          </w:p>
        </w:tc>
        <w:tc>
          <w:tcPr>
            <w:tcW w:w="3167" w:type="dxa"/>
            <w:gridSpan w:val="2"/>
            <w:tcBorders>
              <w:bottom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rPr>
              <w:t>金额单位：万元</w:t>
            </w:r>
          </w:p>
        </w:tc>
      </w:tr>
      <w:tr>
        <w:tblPrEx>
          <w:tblLayout w:type="fixed"/>
          <w:tblCellMar>
            <w:top w:w="0" w:type="dxa"/>
            <w:left w:w="108" w:type="dxa"/>
            <w:bottom w:w="0" w:type="dxa"/>
            <w:right w:w="108" w:type="dxa"/>
          </w:tblCellMar>
        </w:tblPrEx>
        <w:trPr>
          <w:trHeight w:val="450" w:hRule="atLeast"/>
          <w:jc w:val="center"/>
        </w:trPr>
        <w:tc>
          <w:tcPr>
            <w:tcW w:w="52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收入</w:t>
            </w:r>
          </w:p>
        </w:tc>
        <w:tc>
          <w:tcPr>
            <w:tcW w:w="5202"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支出</w:t>
            </w:r>
          </w:p>
        </w:tc>
      </w:tr>
      <w:tr>
        <w:tblPrEx>
          <w:tblLayout w:type="fixed"/>
          <w:tblCellMar>
            <w:top w:w="0" w:type="dxa"/>
            <w:left w:w="108" w:type="dxa"/>
            <w:bottom w:w="0" w:type="dxa"/>
            <w:right w:w="108" w:type="dxa"/>
          </w:tblCellMar>
        </w:tblPrEx>
        <w:trPr>
          <w:trHeight w:val="39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ascii="仿宋" w:hAnsi="仿宋" w:eastAsia="仿宋" w:cs="仿宋"/>
                <w:color w:val="000000"/>
              </w:rPr>
              <w:t>项目</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决算数</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按功能分类</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决算数</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一、一般公共预算财政拨款收入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466.87</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一、一般公共服务支出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二、政府性基金预算财政拨款收入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二、外交支出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三、国有资本经营预算财政拨款收入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三、国防支出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四、上级补助收入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四、公共安全支出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五、事业收入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52.83</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五、教育支出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六、经营收入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六、科学技术支出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七、附属单位上缴收入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七、文化旅游体育与传媒支出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八、其他收入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八、社会保障和就业支出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403.63</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九、卫生健康支出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十、节能环保支出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十一、城乡社区支出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十二、农林水支出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十三、交通运输支出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十四、资源勘探工业信息等支出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十五、商业服务业等支出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十六、金融支出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十七、援助其他地区支出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十八、自然资源海洋气象等支出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十九、住房保障支出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138.94</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二十、粮油物资储备支出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二十一、国有资本经营预算支出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二十二、灾害防治及应急管理支出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二十三、其他支出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二十四、债务还本支出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二十五、债务付息支出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二十六、抗疫特别国债安排的支出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b/>
                <w:bCs/>
                <w:color w:val="000000"/>
                <w:lang w:eastAsia="ar-SA"/>
              </w:rPr>
              <w:t>本年收入合计</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519.70</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b/>
                <w:bCs/>
                <w:color w:val="000000"/>
              </w:rPr>
            </w:pPr>
            <w:r>
              <w:rPr>
                <w:rFonts w:hint="eastAsia" w:ascii="仿宋" w:hAnsi="仿宋" w:eastAsia="仿宋" w:cs="仿宋"/>
                <w:b/>
                <w:bCs/>
                <w:color w:val="000000"/>
                <w:lang w:eastAsia="ar-SA"/>
              </w:rPr>
              <w:t>本年支出合计</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542.57</w:t>
            </w:r>
          </w:p>
        </w:tc>
      </w:tr>
      <w:tr>
        <w:tblPrEx>
          <w:tblLayout w:type="fixed"/>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ind w:firstLine="220" w:firstLineChars="100"/>
              <w:rPr>
                <w:rFonts w:ascii="仿宋" w:hAnsi="仿宋" w:eastAsia="仿宋" w:cs="仿宋"/>
                <w:color w:val="000000"/>
              </w:rPr>
            </w:pPr>
            <w:r>
              <w:rPr>
                <w:rFonts w:hint="eastAsia" w:ascii="仿宋" w:hAnsi="仿宋" w:eastAsia="仿宋" w:cs="仿宋"/>
                <w:color w:val="000000"/>
                <w:lang w:eastAsia="ar-SA"/>
              </w:rPr>
              <w:t>使用非财政拨款结余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lang w:eastAsia="ar-SA"/>
              </w:rPr>
            </w:pPr>
            <w:r>
              <w:rPr>
                <w:rFonts w:hint="eastAsia" w:ascii="仿宋" w:hAnsi="仿宋" w:eastAsia="仿宋" w:cs="仿宋"/>
                <w:color w:val="000000"/>
                <w:lang w:eastAsia="ar-SA"/>
              </w:rPr>
              <w:t>22.87</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ind w:firstLine="220" w:firstLineChars="100"/>
              <w:rPr>
                <w:rFonts w:ascii="仿宋" w:hAnsi="仿宋" w:eastAsia="仿宋" w:cs="仿宋"/>
                <w:color w:val="000000"/>
              </w:rPr>
            </w:pPr>
            <w:r>
              <w:rPr>
                <w:rFonts w:hint="eastAsia" w:ascii="仿宋" w:hAnsi="仿宋" w:eastAsia="仿宋" w:cs="仿宋"/>
                <w:color w:val="000000"/>
                <w:lang w:eastAsia="ar-SA"/>
              </w:rPr>
              <w:t>结余分配</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p>
        </w:tc>
      </w:tr>
      <w:tr>
        <w:tblPrEx>
          <w:tblLayout w:type="fixed"/>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ind w:firstLine="220" w:firstLineChars="100"/>
              <w:rPr>
                <w:rFonts w:ascii="仿宋" w:hAnsi="仿宋" w:eastAsia="仿宋" w:cs="仿宋"/>
                <w:color w:val="000000"/>
              </w:rPr>
            </w:pPr>
            <w:r>
              <w:rPr>
                <w:rFonts w:hint="eastAsia" w:ascii="仿宋" w:hAnsi="仿宋" w:eastAsia="仿宋" w:cs="仿宋"/>
                <w:color w:val="000000"/>
                <w:lang w:eastAsia="ar-SA"/>
              </w:rPr>
              <w:t>年初结转和结余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ind w:firstLine="220" w:firstLineChars="100"/>
              <w:rPr>
                <w:rFonts w:ascii="仿宋" w:hAnsi="仿宋" w:eastAsia="仿宋" w:cs="仿宋"/>
                <w:color w:val="000000"/>
              </w:rPr>
            </w:pPr>
            <w:r>
              <w:rPr>
                <w:rFonts w:hint="eastAsia" w:ascii="仿宋" w:hAnsi="仿宋" w:eastAsia="仿宋" w:cs="仿宋"/>
                <w:color w:val="000000"/>
                <w:lang w:eastAsia="ar-SA"/>
              </w:rPr>
              <w:t>年末结转和结余</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p>
        </w:tc>
      </w:tr>
      <w:tr>
        <w:tblPrEx>
          <w:tblLayout w:type="fixed"/>
          <w:tblCellMar>
            <w:top w:w="0" w:type="dxa"/>
            <w:left w:w="108" w:type="dxa"/>
            <w:bottom w:w="0" w:type="dxa"/>
            <w:right w:w="108" w:type="dxa"/>
          </w:tblCellMar>
        </w:tblPrEx>
        <w:trPr>
          <w:trHeight w:val="383" w:hRule="atLeast"/>
          <w:jc w:val="center"/>
        </w:trPr>
        <w:tc>
          <w:tcPr>
            <w:tcW w:w="3784" w:type="dxa"/>
            <w:tcBorders>
              <w:top w:val="single" w:color="000000" w:sz="4" w:space="0"/>
              <w:left w:val="single" w:color="000000" w:sz="4" w:space="0"/>
              <w:bottom w:val="single" w:color="000000" w:sz="4" w:space="0"/>
              <w:right w:val="single" w:color="000000" w:sz="4" w:space="0"/>
            </w:tcBorders>
          </w:tcPr>
          <w:p>
            <w:pPr>
              <w:rPr>
                <w:rFonts w:ascii="仿宋" w:hAnsi="仿宋" w:eastAsia="仿宋" w:cs="仿宋"/>
                <w:color w:val="000000"/>
              </w:rPr>
            </w:pPr>
          </w:p>
        </w:tc>
        <w:tc>
          <w:tcPr>
            <w:tcW w:w="1461" w:type="dxa"/>
            <w:tcBorders>
              <w:top w:val="single" w:color="000000" w:sz="4" w:space="0"/>
              <w:left w:val="single" w:color="000000" w:sz="4" w:space="0"/>
              <w:bottom w:val="single" w:color="000000" w:sz="4" w:space="0"/>
              <w:right w:val="single" w:color="000000" w:sz="4" w:space="0"/>
            </w:tcBorders>
          </w:tcPr>
          <w:p>
            <w:pPr>
              <w:rPr>
                <w:rFonts w:ascii="仿宋" w:hAnsi="仿宋" w:eastAsia="仿宋" w:cs="仿宋"/>
                <w:color w:val="000000"/>
              </w:rPr>
            </w:pPr>
          </w:p>
        </w:tc>
        <w:tc>
          <w:tcPr>
            <w:tcW w:w="3744" w:type="dxa"/>
            <w:gridSpan w:val="2"/>
            <w:tcBorders>
              <w:top w:val="single" w:color="000000" w:sz="4" w:space="0"/>
              <w:left w:val="single" w:color="000000" w:sz="4" w:space="0"/>
              <w:bottom w:val="single" w:color="000000" w:sz="4" w:space="0"/>
              <w:right w:val="single" w:color="000000" w:sz="4" w:space="0"/>
            </w:tcBorders>
          </w:tcPr>
          <w:p>
            <w:pPr>
              <w:rPr>
                <w:rFonts w:ascii="仿宋" w:hAnsi="仿宋" w:eastAsia="仿宋" w:cs="仿宋"/>
                <w:color w:val="000000"/>
              </w:rPr>
            </w:pPr>
          </w:p>
        </w:tc>
        <w:tc>
          <w:tcPr>
            <w:tcW w:w="1458" w:type="dxa"/>
            <w:tcBorders>
              <w:top w:val="single" w:color="000000" w:sz="4" w:space="0"/>
              <w:left w:val="single" w:color="000000" w:sz="4" w:space="0"/>
              <w:bottom w:val="single" w:color="000000" w:sz="4" w:space="0"/>
              <w:right w:val="single" w:color="000000" w:sz="4" w:space="0"/>
            </w:tcBorders>
          </w:tcPr>
          <w:p>
            <w:pPr>
              <w:rPr>
                <w:rFonts w:ascii="仿宋" w:hAnsi="仿宋" w:eastAsia="仿宋" w:cs="仿宋"/>
                <w:color w:val="000000"/>
              </w:rPr>
            </w:pPr>
          </w:p>
        </w:tc>
      </w:tr>
      <w:tr>
        <w:tblPrEx>
          <w:tblLayout w:type="fixed"/>
          <w:tblCellMar>
            <w:top w:w="0" w:type="dxa"/>
            <w:left w:w="108" w:type="dxa"/>
            <w:bottom w:w="0" w:type="dxa"/>
            <w:right w:w="108" w:type="dxa"/>
          </w:tblCellMar>
        </w:tblPrEx>
        <w:trPr>
          <w:cantSplit/>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b/>
                <w:color w:val="000000"/>
                <w:lang w:eastAsia="ar-SA"/>
              </w:rPr>
              <w:t>总计</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542.57</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b/>
                <w:color w:val="000000"/>
                <w:lang w:eastAsia="ar-SA"/>
              </w:rPr>
              <w:t>总计</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542.57</w:t>
            </w:r>
          </w:p>
        </w:tc>
      </w:tr>
    </w:tbl>
    <w:p>
      <w:pPr>
        <w:spacing w:before="66"/>
        <w:jc w:val="both"/>
        <w:rPr>
          <w:rFonts w:ascii="仿宋" w:hAnsi="仿宋" w:eastAsia="仿宋" w:cs="仿宋"/>
          <w:color w:val="000000"/>
          <w:lang w:val="en-US"/>
        </w:rPr>
      </w:pPr>
      <w:r>
        <w:rPr>
          <w:rFonts w:hint="eastAsia" w:ascii="仿宋" w:hAnsi="仿宋" w:eastAsia="仿宋" w:cs="仿宋"/>
          <w:color w:val="000000"/>
          <w:lang w:val="en-US"/>
        </w:rPr>
        <w:t>注：本表反映本年度的总收支和年末结转结余情况。本表金额单位转换时可能存在尾数误差。</w:t>
      </w:r>
    </w:p>
    <w:p>
      <w:pPr>
        <w:spacing w:before="66"/>
        <w:jc w:val="both"/>
        <w:rPr>
          <w:rFonts w:ascii="仿宋" w:hAnsi="仿宋" w:eastAsia="仿宋" w:cs="仿宋"/>
          <w:color w:val="000000"/>
        </w:rPr>
        <w:sectPr>
          <w:footerReference r:id="rId11" w:type="default"/>
          <w:pgSz w:w="11906" w:h="16838"/>
          <w:pgMar w:top="720" w:right="720" w:bottom="720" w:left="720" w:header="170" w:footer="280" w:gutter="0"/>
          <w:pgNumType w:fmt="numberInDash"/>
          <w:cols w:space="720" w:num="1"/>
          <w:formProt w:val="0"/>
          <w:docGrid w:linePitch="100" w:charSpace="0"/>
        </w:sectPr>
      </w:pPr>
    </w:p>
    <w:tbl>
      <w:tblPr>
        <w:tblStyle w:val="13"/>
        <w:tblW w:w="15439" w:type="dxa"/>
        <w:jc w:val="center"/>
        <w:tblInd w:w="0" w:type="dxa"/>
        <w:tblLayout w:type="fixed"/>
        <w:tblCellMar>
          <w:top w:w="0" w:type="dxa"/>
          <w:left w:w="108" w:type="dxa"/>
          <w:bottom w:w="0" w:type="dxa"/>
          <w:right w:w="108" w:type="dxa"/>
        </w:tblCellMar>
      </w:tblPr>
      <w:tblGrid>
        <w:gridCol w:w="1115"/>
        <w:gridCol w:w="2925"/>
        <w:gridCol w:w="1592"/>
        <w:gridCol w:w="1604"/>
        <w:gridCol w:w="1565"/>
        <w:gridCol w:w="1396"/>
        <w:gridCol w:w="1578"/>
        <w:gridCol w:w="1174"/>
        <w:gridCol w:w="1277"/>
        <w:gridCol w:w="1213"/>
      </w:tblGrid>
      <w:tr>
        <w:tblPrEx>
          <w:tblLayout w:type="fixed"/>
          <w:tblCellMar>
            <w:top w:w="0" w:type="dxa"/>
            <w:left w:w="108" w:type="dxa"/>
            <w:bottom w:w="0" w:type="dxa"/>
            <w:right w:w="108" w:type="dxa"/>
          </w:tblCellMar>
        </w:tblPrEx>
        <w:trPr>
          <w:trHeight w:val="627" w:hRule="atLeast"/>
          <w:jc w:val="center"/>
        </w:trPr>
        <w:tc>
          <w:tcPr>
            <w:tcW w:w="15439" w:type="dxa"/>
            <w:gridSpan w:val="10"/>
            <w:vAlign w:val="center"/>
          </w:tcPr>
          <w:p>
            <w:pPr>
              <w:pStyle w:val="5"/>
              <w:rPr>
                <w:rFonts w:ascii="仿宋" w:hAnsi="仿宋" w:eastAsia="仿宋" w:cs="仿宋"/>
                <w:b/>
                <w:bCs/>
                <w:sz w:val="44"/>
                <w:szCs w:val="44"/>
                <w:lang w:val="en-US"/>
              </w:rPr>
            </w:pPr>
            <w:r>
              <w:rPr>
                <w:rFonts w:hint="eastAsia" w:ascii="宋体" w:hAnsi="宋体" w:eastAsia="宋体" w:cs="宋体"/>
                <w:b/>
                <w:bCs/>
                <w:color w:val="000000"/>
                <w:lang w:eastAsia="ar-SA"/>
              </w:rPr>
              <w:t>收入决算表</w:t>
            </w:r>
          </w:p>
        </w:tc>
      </w:tr>
      <w:tr>
        <w:tblPrEx>
          <w:tblLayout w:type="fixed"/>
          <w:tblCellMar>
            <w:top w:w="0" w:type="dxa"/>
            <w:left w:w="108" w:type="dxa"/>
            <w:bottom w:w="0" w:type="dxa"/>
            <w:right w:w="108" w:type="dxa"/>
          </w:tblCellMar>
        </w:tblPrEx>
        <w:trPr>
          <w:trHeight w:val="314" w:hRule="atLeast"/>
          <w:jc w:val="center"/>
        </w:trPr>
        <w:tc>
          <w:tcPr>
            <w:tcW w:w="4040" w:type="dxa"/>
            <w:gridSpan w:val="2"/>
            <w:vAlign w:val="center"/>
          </w:tcPr>
          <w:p>
            <w:pPr>
              <w:pStyle w:val="22"/>
              <w:jc w:val="center"/>
              <w:rPr>
                <w:rFonts w:ascii="仿宋" w:hAnsi="仿宋" w:eastAsia="仿宋" w:cs="仿宋"/>
              </w:rPr>
            </w:pPr>
          </w:p>
        </w:tc>
        <w:tc>
          <w:tcPr>
            <w:tcW w:w="1592" w:type="dxa"/>
            <w:vAlign w:val="center"/>
          </w:tcPr>
          <w:p>
            <w:pPr>
              <w:pStyle w:val="22"/>
              <w:jc w:val="center"/>
              <w:rPr>
                <w:rFonts w:ascii="仿宋" w:hAnsi="仿宋" w:eastAsia="仿宋" w:cs="仿宋"/>
              </w:rPr>
            </w:pPr>
          </w:p>
        </w:tc>
        <w:tc>
          <w:tcPr>
            <w:tcW w:w="1604" w:type="dxa"/>
            <w:vAlign w:val="center"/>
          </w:tcPr>
          <w:p>
            <w:pPr>
              <w:pStyle w:val="22"/>
              <w:jc w:val="center"/>
              <w:rPr>
                <w:rFonts w:ascii="仿宋" w:hAnsi="仿宋" w:eastAsia="仿宋" w:cs="仿宋"/>
              </w:rPr>
            </w:pPr>
          </w:p>
        </w:tc>
        <w:tc>
          <w:tcPr>
            <w:tcW w:w="1565" w:type="dxa"/>
            <w:vAlign w:val="center"/>
          </w:tcPr>
          <w:p>
            <w:pPr>
              <w:pStyle w:val="22"/>
              <w:jc w:val="center"/>
              <w:rPr>
                <w:rFonts w:ascii="仿宋" w:hAnsi="仿宋" w:eastAsia="仿宋" w:cs="仿宋"/>
              </w:rPr>
            </w:pPr>
          </w:p>
        </w:tc>
        <w:tc>
          <w:tcPr>
            <w:tcW w:w="2974" w:type="dxa"/>
            <w:gridSpan w:val="2"/>
            <w:vAlign w:val="center"/>
          </w:tcPr>
          <w:p>
            <w:pPr>
              <w:pStyle w:val="22"/>
              <w:jc w:val="center"/>
              <w:rPr>
                <w:rFonts w:ascii="仿宋" w:hAnsi="仿宋" w:eastAsia="仿宋" w:cs="仿宋"/>
              </w:rPr>
            </w:pPr>
          </w:p>
        </w:tc>
        <w:tc>
          <w:tcPr>
            <w:tcW w:w="1174" w:type="dxa"/>
            <w:vAlign w:val="center"/>
          </w:tcPr>
          <w:p>
            <w:pPr>
              <w:pStyle w:val="22"/>
              <w:jc w:val="center"/>
              <w:rPr>
                <w:rFonts w:ascii="仿宋" w:hAnsi="仿宋" w:eastAsia="仿宋" w:cs="仿宋"/>
              </w:rPr>
            </w:pPr>
          </w:p>
        </w:tc>
        <w:tc>
          <w:tcPr>
            <w:tcW w:w="2490" w:type="dxa"/>
            <w:gridSpan w:val="2"/>
            <w:vAlign w:val="center"/>
          </w:tcPr>
          <w:p>
            <w:pPr>
              <w:pStyle w:val="22"/>
              <w:jc w:val="right"/>
              <w:rPr>
                <w:rFonts w:ascii="仿宋" w:hAnsi="仿宋" w:eastAsia="仿宋" w:cs="仿宋"/>
              </w:rPr>
            </w:pPr>
            <w:r>
              <w:rPr>
                <w:rFonts w:hint="eastAsia" w:ascii="仿宋" w:hAnsi="仿宋" w:eastAsia="仿宋" w:cs="仿宋"/>
              </w:rPr>
              <w:t>公开02表</w:t>
            </w:r>
          </w:p>
        </w:tc>
      </w:tr>
      <w:tr>
        <w:tblPrEx>
          <w:tblLayout w:type="fixed"/>
          <w:tblCellMar>
            <w:top w:w="0" w:type="dxa"/>
            <w:left w:w="108" w:type="dxa"/>
            <w:bottom w:w="0" w:type="dxa"/>
            <w:right w:w="108" w:type="dxa"/>
          </w:tblCellMar>
        </w:tblPrEx>
        <w:trPr>
          <w:trHeight w:val="376" w:hRule="atLeast"/>
          <w:jc w:val="center"/>
        </w:trPr>
        <w:tc>
          <w:tcPr>
            <w:tcW w:w="12949" w:type="dxa"/>
            <w:gridSpan w:val="8"/>
            <w:vAlign w:val="center"/>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江苏省民政干部学校</w:t>
            </w:r>
          </w:p>
        </w:tc>
        <w:tc>
          <w:tcPr>
            <w:tcW w:w="2490" w:type="dxa"/>
            <w:gridSpan w:val="2"/>
            <w:vAlign w:val="center"/>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0" w:type="dxa"/>
            <w:left w:w="108" w:type="dxa"/>
            <w:bottom w:w="0" w:type="dxa"/>
            <w:right w:w="108" w:type="dxa"/>
          </w:tblCellMar>
        </w:tblPrEx>
        <w:trPr>
          <w:cantSplit/>
          <w:trHeight w:val="312" w:hRule="atLeast"/>
          <w:jc w:val="center"/>
        </w:trPr>
        <w:tc>
          <w:tcPr>
            <w:tcW w:w="4040"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w:t>
            </w:r>
          </w:p>
        </w:tc>
        <w:tc>
          <w:tcPr>
            <w:tcW w:w="1592"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本年收入合计</w:t>
            </w:r>
          </w:p>
        </w:tc>
        <w:tc>
          <w:tcPr>
            <w:tcW w:w="1604"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财政拨款收入</w:t>
            </w:r>
          </w:p>
        </w:tc>
        <w:tc>
          <w:tcPr>
            <w:tcW w:w="1565"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上级补助收入</w:t>
            </w:r>
          </w:p>
        </w:tc>
        <w:tc>
          <w:tcPr>
            <w:tcW w:w="1396"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财政专户管理教育收费</w:t>
            </w:r>
          </w:p>
        </w:tc>
        <w:tc>
          <w:tcPr>
            <w:tcW w:w="1578"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事业收入（不含专户管理教育收费）</w:t>
            </w:r>
          </w:p>
        </w:tc>
        <w:tc>
          <w:tcPr>
            <w:tcW w:w="1174"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经营收入</w:t>
            </w:r>
          </w:p>
        </w:tc>
        <w:tc>
          <w:tcPr>
            <w:tcW w:w="1277"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附属单位上缴收入</w:t>
            </w:r>
          </w:p>
        </w:tc>
        <w:tc>
          <w:tcPr>
            <w:tcW w:w="1213"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其他收入</w:t>
            </w:r>
          </w:p>
        </w:tc>
      </w:tr>
      <w:tr>
        <w:tblPrEx>
          <w:tblLayout w:type="fixed"/>
          <w:tblCellMar>
            <w:top w:w="0" w:type="dxa"/>
            <w:left w:w="108" w:type="dxa"/>
            <w:bottom w:w="0" w:type="dxa"/>
            <w:right w:w="108" w:type="dxa"/>
          </w:tblCellMar>
        </w:tblPrEx>
        <w:trPr>
          <w:cantSplit/>
          <w:trHeight w:val="220" w:hRule="atLeast"/>
          <w:jc w:val="center"/>
        </w:trPr>
        <w:tc>
          <w:tcPr>
            <w:tcW w:w="1115"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2925"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1592" w:type="dxa"/>
            <w:vMerge w:val="continue"/>
            <w:tcBorders>
              <w:left w:val="single" w:color="000000" w:sz="4" w:space="0"/>
              <w:bottom w:val="single" w:color="000000" w:sz="4" w:space="0"/>
            </w:tcBorders>
          </w:tcPr>
          <w:p>
            <w:pPr>
              <w:rPr>
                <w:rFonts w:ascii="仿宋" w:hAnsi="仿宋" w:eastAsia="仿宋" w:cs="仿宋"/>
              </w:rPr>
            </w:pPr>
          </w:p>
        </w:tc>
        <w:tc>
          <w:tcPr>
            <w:tcW w:w="1604" w:type="dxa"/>
            <w:vMerge w:val="continue"/>
            <w:tcBorders>
              <w:left w:val="single" w:color="000000" w:sz="4" w:space="0"/>
              <w:bottom w:val="single" w:color="000000" w:sz="4" w:space="0"/>
            </w:tcBorders>
          </w:tcPr>
          <w:p>
            <w:pPr>
              <w:rPr>
                <w:rFonts w:ascii="仿宋" w:hAnsi="仿宋" w:eastAsia="仿宋" w:cs="仿宋"/>
              </w:rPr>
            </w:pPr>
          </w:p>
        </w:tc>
        <w:tc>
          <w:tcPr>
            <w:tcW w:w="1565" w:type="dxa"/>
            <w:vMerge w:val="continue"/>
            <w:tcBorders>
              <w:left w:val="single" w:color="000000" w:sz="4" w:space="0"/>
              <w:bottom w:val="single" w:color="000000" w:sz="4" w:space="0"/>
            </w:tcBorders>
          </w:tcPr>
          <w:p>
            <w:pPr>
              <w:rPr>
                <w:rFonts w:ascii="仿宋" w:hAnsi="仿宋" w:eastAsia="仿宋" w:cs="仿宋"/>
              </w:rPr>
            </w:pPr>
          </w:p>
        </w:tc>
        <w:tc>
          <w:tcPr>
            <w:tcW w:w="1396" w:type="dxa"/>
            <w:vMerge w:val="continue"/>
            <w:tcBorders>
              <w:left w:val="single" w:color="000000" w:sz="4" w:space="0"/>
              <w:bottom w:val="single" w:color="000000" w:sz="4" w:space="0"/>
            </w:tcBorders>
            <w:vAlign w:val="center"/>
          </w:tcPr>
          <w:p>
            <w:pPr>
              <w:pStyle w:val="22"/>
              <w:jc w:val="center"/>
              <w:rPr>
                <w:rFonts w:ascii="仿宋" w:hAnsi="仿宋" w:eastAsia="仿宋" w:cs="仿宋"/>
              </w:rPr>
            </w:pPr>
          </w:p>
        </w:tc>
        <w:tc>
          <w:tcPr>
            <w:tcW w:w="1578" w:type="dxa"/>
            <w:vMerge w:val="continue"/>
            <w:tcBorders>
              <w:left w:val="single" w:color="000000" w:sz="4" w:space="0"/>
              <w:bottom w:val="single" w:color="000000" w:sz="4" w:space="0"/>
            </w:tcBorders>
            <w:vAlign w:val="center"/>
          </w:tcPr>
          <w:p>
            <w:pPr>
              <w:pStyle w:val="22"/>
              <w:jc w:val="center"/>
              <w:rPr>
                <w:rFonts w:ascii="仿宋" w:hAnsi="仿宋" w:eastAsia="仿宋" w:cs="仿宋"/>
              </w:rPr>
            </w:pPr>
          </w:p>
        </w:tc>
        <w:tc>
          <w:tcPr>
            <w:tcW w:w="1174" w:type="dxa"/>
            <w:vMerge w:val="continue"/>
            <w:tcBorders>
              <w:left w:val="single" w:color="000000" w:sz="4" w:space="0"/>
              <w:bottom w:val="single" w:color="000000" w:sz="4" w:space="0"/>
            </w:tcBorders>
          </w:tcPr>
          <w:p>
            <w:pPr>
              <w:rPr>
                <w:rFonts w:ascii="仿宋" w:hAnsi="仿宋" w:eastAsia="仿宋" w:cs="仿宋"/>
              </w:rPr>
            </w:pPr>
          </w:p>
        </w:tc>
        <w:tc>
          <w:tcPr>
            <w:tcW w:w="1277" w:type="dxa"/>
            <w:vMerge w:val="continue"/>
            <w:tcBorders>
              <w:left w:val="single" w:color="000000" w:sz="4" w:space="0"/>
              <w:bottom w:val="single" w:color="000000" w:sz="4" w:space="0"/>
            </w:tcBorders>
          </w:tcPr>
          <w:p>
            <w:pPr>
              <w:rPr>
                <w:rFonts w:ascii="仿宋" w:hAnsi="仿宋" w:eastAsia="仿宋" w:cs="仿宋"/>
              </w:rPr>
            </w:pPr>
          </w:p>
        </w:tc>
        <w:tc>
          <w:tcPr>
            <w:tcW w:w="1213"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0" w:type="dxa"/>
            <w:left w:w="108" w:type="dxa"/>
            <w:bottom w:w="0" w:type="dxa"/>
            <w:right w:w="108" w:type="dxa"/>
          </w:tblCellMar>
        </w:tblPrEx>
        <w:trPr>
          <w:cantSplit/>
          <w:trHeight w:val="432" w:hRule="exact"/>
          <w:jc w:val="center"/>
        </w:trPr>
        <w:tc>
          <w:tcPr>
            <w:tcW w:w="4040"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合计</w:t>
            </w:r>
          </w:p>
        </w:tc>
        <w:tc>
          <w:tcPr>
            <w:tcW w:w="1592"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519.70</w:t>
            </w:r>
          </w:p>
        </w:tc>
        <w:tc>
          <w:tcPr>
            <w:tcW w:w="1604"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466.87</w:t>
            </w:r>
          </w:p>
        </w:tc>
        <w:tc>
          <w:tcPr>
            <w:tcW w:w="1565" w:type="dxa"/>
            <w:tcBorders>
              <w:left w:val="single" w:color="000000" w:sz="4" w:space="0"/>
              <w:bottom w:val="single" w:color="000000" w:sz="4" w:space="0"/>
            </w:tcBorders>
            <w:vAlign w:val="center"/>
          </w:tcPr>
          <w:p>
            <w:pPr>
              <w:jc w:val="right"/>
              <w:rPr>
                <w:rFonts w:ascii="仿宋" w:hAnsi="仿宋" w:eastAsia="仿宋" w:cs="仿宋"/>
              </w:rPr>
            </w:pPr>
          </w:p>
        </w:tc>
        <w:tc>
          <w:tcPr>
            <w:tcW w:w="1396" w:type="dxa"/>
            <w:tcBorders>
              <w:left w:val="single" w:color="000000" w:sz="4" w:space="0"/>
              <w:bottom w:val="single" w:color="000000" w:sz="4" w:space="0"/>
            </w:tcBorders>
            <w:vAlign w:val="center"/>
          </w:tcPr>
          <w:p>
            <w:pPr>
              <w:jc w:val="right"/>
              <w:rPr>
                <w:rFonts w:ascii="仿宋" w:hAnsi="仿宋" w:eastAsia="仿宋" w:cs="仿宋"/>
              </w:rPr>
            </w:pPr>
          </w:p>
        </w:tc>
        <w:tc>
          <w:tcPr>
            <w:tcW w:w="1578"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52.83</w:t>
            </w:r>
          </w:p>
        </w:tc>
        <w:tc>
          <w:tcPr>
            <w:tcW w:w="1174" w:type="dxa"/>
            <w:tcBorders>
              <w:left w:val="single" w:color="000000" w:sz="4" w:space="0"/>
              <w:bottom w:val="single" w:color="000000" w:sz="4" w:space="0"/>
            </w:tcBorders>
            <w:vAlign w:val="center"/>
          </w:tcPr>
          <w:p>
            <w:pPr>
              <w:jc w:val="right"/>
              <w:rPr>
                <w:rFonts w:ascii="仿宋" w:hAnsi="仿宋" w:eastAsia="仿宋" w:cs="仿宋"/>
              </w:rPr>
            </w:pPr>
          </w:p>
        </w:tc>
        <w:tc>
          <w:tcPr>
            <w:tcW w:w="1277" w:type="dxa"/>
            <w:tcBorders>
              <w:left w:val="single" w:color="000000" w:sz="4" w:space="0"/>
              <w:bottom w:val="single" w:color="000000" w:sz="4" w:space="0"/>
            </w:tcBorders>
            <w:vAlign w:val="center"/>
          </w:tcPr>
          <w:p>
            <w:pPr>
              <w:jc w:val="right"/>
              <w:rPr>
                <w:rFonts w:ascii="仿宋" w:hAnsi="仿宋" w:eastAsia="仿宋" w:cs="仿宋"/>
              </w:rPr>
            </w:pPr>
          </w:p>
        </w:tc>
        <w:tc>
          <w:tcPr>
            <w:tcW w:w="1213" w:type="dxa"/>
            <w:tcBorders>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社会保障和就业支出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380.76</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327.93</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52.83</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民政管理事务</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96.06</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96.06</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2080299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其他民政管理事务支出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96.06</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96.06</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行政事业单位养老支出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24.76</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24.76</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16.51</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16.51</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2080506</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机关事业单位职业年金缴费支出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8.25</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8.25</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其他社会保障和就业支出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259.94</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207.11</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52.83</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2089999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其他社会保障和就业支出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259.94</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207.11</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52.83</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住房保障支出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138.94</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138.94</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住房改革支出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138.94</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138.94</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2210201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住房公积金</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33.44</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33.44</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提租补贴</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105.50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105.50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bl>
    <w:p>
      <w:pPr>
        <w:spacing w:before="66"/>
        <w:jc w:val="both"/>
        <w:rPr>
          <w:rFonts w:ascii="仿宋" w:hAnsi="仿宋" w:eastAsia="仿宋" w:cs="仿宋"/>
        </w:rPr>
      </w:pPr>
      <w:r>
        <w:rPr>
          <w:rFonts w:hint="eastAsia" w:ascii="仿宋" w:hAnsi="仿宋" w:eastAsia="仿宋" w:cs="仿宋"/>
          <w:color w:val="000000"/>
        </w:rPr>
        <w:t>注：</w:t>
      </w:r>
      <w:r>
        <w:rPr>
          <w:rFonts w:hint="eastAsia" w:ascii="仿宋" w:hAnsi="仿宋" w:eastAsia="仿宋" w:cs="仿宋"/>
        </w:rPr>
        <w:t>本表反映本年度取得的各项收入情况。本表金额单位转换时可能存在尾数误差。</w:t>
      </w:r>
    </w:p>
    <w:p>
      <w:pPr>
        <w:spacing w:before="66"/>
        <w:ind w:left="57" w:firstLine="220" w:firstLineChars="100"/>
        <w:jc w:val="both"/>
        <w:rPr>
          <w:rFonts w:ascii="仿宋" w:hAnsi="仿宋" w:eastAsia="仿宋" w:cs="仿宋"/>
        </w:rPr>
        <w:sectPr>
          <w:footerReference r:id="rId12"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4183"/>
        <w:gridCol w:w="2011"/>
        <w:gridCol w:w="1486"/>
        <w:gridCol w:w="1564"/>
        <w:gridCol w:w="1593"/>
        <w:gridCol w:w="1472"/>
        <w:gridCol w:w="1482"/>
      </w:tblGrid>
      <w:tr>
        <w:tblPrEx>
          <w:tblLayout w:type="fixed"/>
          <w:tblCellMar>
            <w:top w:w="55" w:type="dxa"/>
            <w:left w:w="55" w:type="dxa"/>
            <w:bottom w:w="55" w:type="dxa"/>
            <w:right w:w="55" w:type="dxa"/>
          </w:tblCellMar>
        </w:tblPrEx>
        <w:trPr>
          <w:trHeight w:val="341" w:hRule="atLeast"/>
        </w:trPr>
        <w:tc>
          <w:tcPr>
            <w:tcW w:w="15347" w:type="dxa"/>
            <w:gridSpan w:val="8"/>
            <w:vAlign w:val="center"/>
          </w:tcPr>
          <w:p>
            <w:pPr>
              <w:pStyle w:val="5"/>
              <w:rPr>
                <w:rFonts w:ascii="仿宋" w:hAnsi="仿宋" w:eastAsia="仿宋" w:cs="仿宋"/>
                <w:b/>
                <w:bCs/>
                <w:sz w:val="44"/>
                <w:szCs w:val="44"/>
              </w:rPr>
            </w:pPr>
            <w:r>
              <w:rPr>
                <w:rFonts w:hint="eastAsia" w:ascii="宋体" w:hAnsi="宋体" w:eastAsia="宋体" w:cs="宋体"/>
                <w:b/>
                <w:bCs/>
                <w:color w:val="000000"/>
                <w:lang w:eastAsia="ar-SA"/>
              </w:rPr>
              <w:t>支出决算表</w:t>
            </w:r>
          </w:p>
        </w:tc>
      </w:tr>
      <w:tr>
        <w:tblPrEx>
          <w:tblLayout w:type="fixed"/>
          <w:tblCellMar>
            <w:top w:w="55" w:type="dxa"/>
            <w:left w:w="55" w:type="dxa"/>
            <w:bottom w:w="55" w:type="dxa"/>
            <w:right w:w="55" w:type="dxa"/>
          </w:tblCellMar>
        </w:tblPrEx>
        <w:trPr>
          <w:trHeight w:val="321" w:hRule="atLeast"/>
        </w:trPr>
        <w:tc>
          <w:tcPr>
            <w:tcW w:w="5739" w:type="dxa"/>
            <w:gridSpan w:val="2"/>
            <w:vAlign w:val="center"/>
          </w:tcPr>
          <w:p>
            <w:pPr>
              <w:pStyle w:val="22"/>
              <w:jc w:val="center"/>
              <w:rPr>
                <w:rFonts w:ascii="仿宋" w:hAnsi="仿宋" w:eastAsia="仿宋" w:cs="仿宋"/>
              </w:rPr>
            </w:pPr>
          </w:p>
        </w:tc>
        <w:tc>
          <w:tcPr>
            <w:tcW w:w="2011" w:type="dxa"/>
            <w:vAlign w:val="center"/>
          </w:tcPr>
          <w:p>
            <w:pPr>
              <w:pStyle w:val="22"/>
              <w:jc w:val="center"/>
              <w:rPr>
                <w:rFonts w:ascii="仿宋" w:hAnsi="仿宋" w:eastAsia="仿宋" w:cs="仿宋"/>
                <w:sz w:val="20"/>
              </w:rPr>
            </w:pPr>
          </w:p>
        </w:tc>
        <w:tc>
          <w:tcPr>
            <w:tcW w:w="1486" w:type="dxa"/>
            <w:vAlign w:val="center"/>
          </w:tcPr>
          <w:p>
            <w:pPr>
              <w:pStyle w:val="22"/>
              <w:jc w:val="center"/>
              <w:rPr>
                <w:rFonts w:ascii="仿宋" w:hAnsi="仿宋" w:eastAsia="仿宋" w:cs="仿宋"/>
                <w:sz w:val="20"/>
              </w:rPr>
            </w:pPr>
          </w:p>
        </w:tc>
        <w:tc>
          <w:tcPr>
            <w:tcW w:w="1564" w:type="dxa"/>
            <w:vAlign w:val="center"/>
          </w:tcPr>
          <w:p>
            <w:pPr>
              <w:pStyle w:val="22"/>
              <w:jc w:val="center"/>
              <w:rPr>
                <w:rFonts w:ascii="仿宋" w:hAnsi="仿宋" w:eastAsia="仿宋" w:cs="仿宋"/>
                <w:sz w:val="20"/>
              </w:rPr>
            </w:pPr>
          </w:p>
        </w:tc>
        <w:tc>
          <w:tcPr>
            <w:tcW w:w="1593" w:type="dxa"/>
            <w:vAlign w:val="center"/>
          </w:tcPr>
          <w:p>
            <w:pPr>
              <w:pStyle w:val="22"/>
              <w:jc w:val="center"/>
              <w:rPr>
                <w:rFonts w:ascii="仿宋" w:hAnsi="仿宋" w:eastAsia="仿宋" w:cs="仿宋"/>
                <w:sz w:val="20"/>
              </w:rPr>
            </w:pPr>
          </w:p>
        </w:tc>
        <w:tc>
          <w:tcPr>
            <w:tcW w:w="2954" w:type="dxa"/>
            <w:gridSpan w:val="2"/>
            <w:vAlign w:val="center"/>
          </w:tcPr>
          <w:p>
            <w:pPr>
              <w:pStyle w:val="22"/>
              <w:jc w:val="right"/>
              <w:rPr>
                <w:rFonts w:ascii="仿宋" w:hAnsi="仿宋" w:eastAsia="仿宋" w:cs="仿宋"/>
              </w:rPr>
            </w:pPr>
            <w:r>
              <w:rPr>
                <w:rFonts w:hint="eastAsia" w:ascii="仿宋" w:hAnsi="仿宋" w:eastAsia="仿宋" w:cs="仿宋"/>
              </w:rPr>
              <w:t>公开03表</w:t>
            </w:r>
          </w:p>
        </w:tc>
      </w:tr>
      <w:tr>
        <w:tblPrEx>
          <w:tblLayout w:type="fixed"/>
          <w:tblCellMar>
            <w:top w:w="55" w:type="dxa"/>
            <w:left w:w="55" w:type="dxa"/>
            <w:bottom w:w="55" w:type="dxa"/>
            <w:right w:w="55" w:type="dxa"/>
          </w:tblCellMar>
        </w:tblPrEx>
        <w:trPr>
          <w:trHeight w:val="321" w:hRule="atLeast"/>
        </w:trPr>
        <w:tc>
          <w:tcPr>
            <w:tcW w:w="12393" w:type="dxa"/>
            <w:gridSpan w:val="6"/>
            <w:vAlign w:val="center"/>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江苏省民政干部学校</w:t>
            </w:r>
          </w:p>
        </w:tc>
        <w:tc>
          <w:tcPr>
            <w:tcW w:w="2954" w:type="dxa"/>
            <w:gridSpan w:val="2"/>
            <w:vAlign w:val="center"/>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21" w:hRule="atLeast"/>
        </w:trPr>
        <w:tc>
          <w:tcPr>
            <w:tcW w:w="5739"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w:t>
            </w:r>
          </w:p>
        </w:tc>
        <w:tc>
          <w:tcPr>
            <w:tcW w:w="2011"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1486"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1564"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项目支出</w:t>
            </w:r>
          </w:p>
        </w:tc>
        <w:tc>
          <w:tcPr>
            <w:tcW w:w="1593"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上缴上级支出</w:t>
            </w:r>
          </w:p>
        </w:tc>
        <w:tc>
          <w:tcPr>
            <w:tcW w:w="1472"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经营支出</w:t>
            </w:r>
          </w:p>
        </w:tc>
        <w:tc>
          <w:tcPr>
            <w:tcW w:w="1482"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对附属单位补助支出</w:t>
            </w:r>
          </w:p>
        </w:tc>
      </w:tr>
      <w:tr>
        <w:tblPrEx>
          <w:tblLayout w:type="fixed"/>
          <w:tblCellMar>
            <w:top w:w="55" w:type="dxa"/>
            <w:left w:w="55" w:type="dxa"/>
            <w:bottom w:w="55" w:type="dxa"/>
            <w:right w:w="55" w:type="dxa"/>
          </w:tblCellMar>
        </w:tblPrEx>
        <w:trPr>
          <w:trHeight w:val="370" w:hRule="atLeast"/>
        </w:trPr>
        <w:tc>
          <w:tcPr>
            <w:tcW w:w="1556"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4183"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011" w:type="dxa"/>
            <w:vMerge w:val="continue"/>
            <w:tcBorders>
              <w:left w:val="single" w:color="000000" w:sz="4" w:space="0"/>
              <w:bottom w:val="single" w:color="000000" w:sz="4" w:space="0"/>
            </w:tcBorders>
          </w:tcPr>
          <w:p>
            <w:pPr>
              <w:rPr>
                <w:rFonts w:ascii="仿宋" w:hAnsi="仿宋" w:eastAsia="仿宋" w:cs="仿宋"/>
              </w:rPr>
            </w:pPr>
          </w:p>
        </w:tc>
        <w:tc>
          <w:tcPr>
            <w:tcW w:w="1486" w:type="dxa"/>
            <w:vMerge w:val="continue"/>
            <w:tcBorders>
              <w:left w:val="single" w:color="000000" w:sz="4" w:space="0"/>
              <w:bottom w:val="single" w:color="000000" w:sz="4" w:space="0"/>
            </w:tcBorders>
          </w:tcPr>
          <w:p>
            <w:pPr>
              <w:rPr>
                <w:rFonts w:ascii="仿宋" w:hAnsi="仿宋" w:eastAsia="仿宋" w:cs="仿宋"/>
              </w:rPr>
            </w:pPr>
          </w:p>
        </w:tc>
        <w:tc>
          <w:tcPr>
            <w:tcW w:w="1564" w:type="dxa"/>
            <w:vMerge w:val="continue"/>
            <w:tcBorders>
              <w:left w:val="single" w:color="000000" w:sz="4" w:space="0"/>
              <w:bottom w:val="single" w:color="000000" w:sz="4" w:space="0"/>
            </w:tcBorders>
          </w:tcPr>
          <w:p>
            <w:pPr>
              <w:rPr>
                <w:rFonts w:ascii="仿宋" w:hAnsi="仿宋" w:eastAsia="仿宋" w:cs="仿宋"/>
              </w:rPr>
            </w:pPr>
          </w:p>
        </w:tc>
        <w:tc>
          <w:tcPr>
            <w:tcW w:w="1593" w:type="dxa"/>
            <w:vMerge w:val="continue"/>
            <w:tcBorders>
              <w:left w:val="single" w:color="000000" w:sz="4" w:space="0"/>
              <w:bottom w:val="single" w:color="000000" w:sz="4" w:space="0"/>
            </w:tcBorders>
          </w:tcPr>
          <w:p>
            <w:pPr>
              <w:rPr>
                <w:rFonts w:ascii="仿宋" w:hAnsi="仿宋" w:eastAsia="仿宋" w:cs="仿宋"/>
              </w:rPr>
            </w:pPr>
          </w:p>
        </w:tc>
        <w:tc>
          <w:tcPr>
            <w:tcW w:w="1472" w:type="dxa"/>
            <w:vMerge w:val="continue"/>
            <w:tcBorders>
              <w:left w:val="single" w:color="000000" w:sz="4" w:space="0"/>
              <w:bottom w:val="single" w:color="000000" w:sz="4" w:space="0"/>
            </w:tcBorders>
          </w:tcPr>
          <w:p>
            <w:pPr>
              <w:rPr>
                <w:rFonts w:ascii="仿宋" w:hAnsi="仿宋" w:eastAsia="仿宋" w:cs="仿宋"/>
              </w:rPr>
            </w:pPr>
          </w:p>
        </w:tc>
        <w:tc>
          <w:tcPr>
            <w:tcW w:w="1482"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403" w:hRule="exact"/>
        </w:trPr>
        <w:tc>
          <w:tcPr>
            <w:tcW w:w="5739"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合计</w:t>
            </w:r>
          </w:p>
        </w:tc>
        <w:tc>
          <w:tcPr>
            <w:tcW w:w="2011"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542.57</w:t>
            </w:r>
          </w:p>
        </w:tc>
        <w:tc>
          <w:tcPr>
            <w:tcW w:w="1486"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493.14</w:t>
            </w:r>
          </w:p>
        </w:tc>
        <w:tc>
          <w:tcPr>
            <w:tcW w:w="1564"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49.42</w:t>
            </w:r>
          </w:p>
        </w:tc>
        <w:tc>
          <w:tcPr>
            <w:tcW w:w="1593" w:type="dxa"/>
            <w:tcBorders>
              <w:left w:val="single" w:color="000000" w:sz="4" w:space="0"/>
              <w:bottom w:val="single" w:color="000000" w:sz="4" w:space="0"/>
            </w:tcBorders>
            <w:vAlign w:val="center"/>
          </w:tcPr>
          <w:p>
            <w:pPr>
              <w:jc w:val="right"/>
              <w:rPr>
                <w:rFonts w:ascii="仿宋" w:hAnsi="仿宋" w:eastAsia="仿宋" w:cs="仿宋"/>
              </w:rPr>
            </w:pPr>
          </w:p>
        </w:tc>
        <w:tc>
          <w:tcPr>
            <w:tcW w:w="1472" w:type="dxa"/>
            <w:tcBorders>
              <w:left w:val="single" w:color="000000" w:sz="4" w:space="0"/>
              <w:bottom w:val="single" w:color="000000" w:sz="4" w:space="0"/>
            </w:tcBorders>
            <w:vAlign w:val="center"/>
          </w:tcPr>
          <w:p>
            <w:pPr>
              <w:jc w:val="right"/>
              <w:rPr>
                <w:rFonts w:ascii="仿宋" w:hAnsi="仿宋" w:eastAsia="仿宋" w:cs="仿宋"/>
              </w:rPr>
            </w:pPr>
          </w:p>
        </w:tc>
        <w:tc>
          <w:tcPr>
            <w:tcW w:w="1482" w:type="dxa"/>
            <w:tcBorders>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社会保障和就业支出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403.63</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354.20</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49.42</w:t>
            </w: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20802</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民政管理事务</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96.06</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96.06</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2080299</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其他民政管理事务支出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96.06</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96.06</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20805</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行政事业单位养老支出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24.76</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24.76</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2080505</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机关事业单位基本养老保险缴费支出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16.51</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16.51</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2080506</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机关事业单位职业年金缴费支出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8.25</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8.25</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20899</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其他社会保障和就业支出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282.81</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233.38</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49.42</w:t>
            </w: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2089999</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其他社会保障和就业支出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282.81</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233.38</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49.42</w:t>
            </w: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221</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住房保障支出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138.94</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138.94</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22102</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住房改革支出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138.94</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138.94</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2210201</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住房公积金</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33.44</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33.44</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2210202</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提租补贴</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105.50</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105.50</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bl>
    <w:p>
      <w:pPr>
        <w:spacing w:before="59"/>
        <w:rPr>
          <w:rFonts w:ascii="仿宋" w:hAnsi="仿宋" w:eastAsia="仿宋" w:cs="仿宋"/>
        </w:rPr>
      </w:pPr>
      <w:r>
        <w:rPr>
          <w:rFonts w:hint="eastAsia" w:ascii="仿宋" w:hAnsi="仿宋" w:eastAsia="仿宋" w:cs="仿宋"/>
        </w:rPr>
        <w:t>注：本表反映本年度各项支出情况。本表金额单位转换时可能存在尾数误差。</w:t>
      </w:r>
    </w:p>
    <w:p>
      <w:pPr>
        <w:spacing w:before="59"/>
        <w:ind w:left="57"/>
        <w:rPr>
          <w:rFonts w:ascii="仿宋" w:hAnsi="仿宋" w:eastAsia="仿宋" w:cs="仿宋"/>
        </w:rPr>
        <w:sectPr>
          <w:footerReference r:id="rId13"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5372" w:type="dxa"/>
        <w:tblInd w:w="75" w:type="dxa"/>
        <w:tblLayout w:type="fixed"/>
        <w:tblCellMar>
          <w:top w:w="55" w:type="dxa"/>
          <w:left w:w="55" w:type="dxa"/>
          <w:bottom w:w="55" w:type="dxa"/>
          <w:right w:w="55" w:type="dxa"/>
        </w:tblCellMar>
      </w:tblPr>
      <w:tblGrid>
        <w:gridCol w:w="3725"/>
        <w:gridCol w:w="1837"/>
        <w:gridCol w:w="847"/>
        <w:gridCol w:w="1913"/>
        <w:gridCol w:w="907"/>
        <w:gridCol w:w="1728"/>
        <w:gridCol w:w="1194"/>
        <w:gridCol w:w="221"/>
        <w:gridCol w:w="1500"/>
        <w:gridCol w:w="1500"/>
      </w:tblGrid>
      <w:tr>
        <w:tblPrEx>
          <w:tblLayout w:type="fixed"/>
          <w:tblCellMar>
            <w:top w:w="55" w:type="dxa"/>
            <w:left w:w="55" w:type="dxa"/>
            <w:bottom w:w="55" w:type="dxa"/>
            <w:right w:w="55" w:type="dxa"/>
          </w:tblCellMar>
        </w:tblPrEx>
        <w:trPr>
          <w:trHeight w:val="319" w:hRule="atLeast"/>
        </w:trPr>
        <w:tc>
          <w:tcPr>
            <w:tcW w:w="15372" w:type="dxa"/>
            <w:gridSpan w:val="10"/>
          </w:tcPr>
          <w:p>
            <w:pPr>
              <w:pStyle w:val="22"/>
              <w:jc w:val="center"/>
              <w:rPr>
                <w:rFonts w:ascii="仿宋" w:hAnsi="仿宋" w:eastAsia="仿宋" w:cs="仿宋"/>
                <w:b/>
                <w:bCs/>
                <w:sz w:val="44"/>
                <w:szCs w:val="44"/>
              </w:rPr>
            </w:pPr>
            <w:r>
              <w:rPr>
                <w:rFonts w:hint="eastAsia"/>
                <w:b/>
                <w:bCs/>
                <w:color w:val="000000"/>
                <w:sz w:val="36"/>
                <w:szCs w:val="36"/>
                <w:lang w:eastAsia="ar-SA"/>
              </w:rPr>
              <w:t>财政拨款收入支出决算总表</w:t>
            </w:r>
          </w:p>
        </w:tc>
      </w:tr>
      <w:tr>
        <w:tblPrEx>
          <w:tblLayout w:type="fixed"/>
          <w:tblCellMar>
            <w:top w:w="55" w:type="dxa"/>
            <w:left w:w="55" w:type="dxa"/>
            <w:bottom w:w="55" w:type="dxa"/>
            <w:right w:w="55" w:type="dxa"/>
          </w:tblCellMar>
        </w:tblPrEx>
        <w:trPr>
          <w:trHeight w:val="319" w:hRule="atLeast"/>
        </w:trPr>
        <w:tc>
          <w:tcPr>
            <w:tcW w:w="5562" w:type="dxa"/>
            <w:gridSpan w:val="2"/>
          </w:tcPr>
          <w:p>
            <w:pPr>
              <w:pStyle w:val="22"/>
              <w:rPr>
                <w:rFonts w:ascii="仿宋" w:hAnsi="仿宋" w:eastAsia="仿宋" w:cs="仿宋"/>
                <w:sz w:val="20"/>
              </w:rPr>
            </w:pPr>
          </w:p>
        </w:tc>
        <w:tc>
          <w:tcPr>
            <w:tcW w:w="847" w:type="dxa"/>
          </w:tcPr>
          <w:p>
            <w:pPr>
              <w:pStyle w:val="22"/>
              <w:rPr>
                <w:rFonts w:ascii="仿宋" w:hAnsi="仿宋" w:eastAsia="仿宋" w:cs="仿宋"/>
                <w:sz w:val="20"/>
              </w:rPr>
            </w:pPr>
          </w:p>
        </w:tc>
        <w:tc>
          <w:tcPr>
            <w:tcW w:w="1913" w:type="dxa"/>
          </w:tcPr>
          <w:p>
            <w:pPr>
              <w:pStyle w:val="22"/>
              <w:rPr>
                <w:rFonts w:ascii="仿宋" w:hAnsi="仿宋" w:eastAsia="仿宋" w:cs="仿宋"/>
                <w:sz w:val="20"/>
              </w:rPr>
            </w:pPr>
          </w:p>
        </w:tc>
        <w:tc>
          <w:tcPr>
            <w:tcW w:w="2635" w:type="dxa"/>
            <w:gridSpan w:val="2"/>
          </w:tcPr>
          <w:p>
            <w:pPr>
              <w:pStyle w:val="22"/>
              <w:rPr>
                <w:rFonts w:ascii="仿宋" w:hAnsi="仿宋" w:eastAsia="仿宋" w:cs="仿宋"/>
                <w:sz w:val="20"/>
              </w:rPr>
            </w:pPr>
          </w:p>
        </w:tc>
        <w:tc>
          <w:tcPr>
            <w:tcW w:w="1194" w:type="dxa"/>
          </w:tcPr>
          <w:p>
            <w:pPr>
              <w:pStyle w:val="22"/>
              <w:rPr>
                <w:rFonts w:ascii="仿宋" w:hAnsi="仿宋" w:eastAsia="仿宋" w:cs="仿宋"/>
                <w:sz w:val="20"/>
              </w:rPr>
            </w:pPr>
          </w:p>
        </w:tc>
        <w:tc>
          <w:tcPr>
            <w:tcW w:w="3221" w:type="dxa"/>
            <w:gridSpan w:val="3"/>
            <w:vAlign w:val="center"/>
          </w:tcPr>
          <w:p>
            <w:pPr>
              <w:pStyle w:val="22"/>
              <w:jc w:val="right"/>
              <w:rPr>
                <w:rFonts w:ascii="仿宋" w:hAnsi="仿宋" w:eastAsia="仿宋" w:cs="仿宋"/>
              </w:rPr>
            </w:pPr>
            <w:r>
              <w:rPr>
                <w:rFonts w:hint="eastAsia" w:ascii="仿宋" w:hAnsi="仿宋" w:eastAsia="仿宋" w:cs="仿宋"/>
              </w:rPr>
              <w:t>公开04表</w:t>
            </w:r>
          </w:p>
        </w:tc>
      </w:tr>
      <w:tr>
        <w:tblPrEx>
          <w:tblLayout w:type="fixed"/>
          <w:tblCellMar>
            <w:top w:w="55" w:type="dxa"/>
            <w:left w:w="55" w:type="dxa"/>
            <w:bottom w:w="55" w:type="dxa"/>
            <w:right w:w="55" w:type="dxa"/>
          </w:tblCellMar>
        </w:tblPrEx>
        <w:trPr>
          <w:trHeight w:val="319" w:hRule="atLeast"/>
        </w:trPr>
        <w:tc>
          <w:tcPr>
            <w:tcW w:w="12151" w:type="dxa"/>
            <w:gridSpan w:val="7"/>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江苏省民政干部学校</w:t>
            </w:r>
          </w:p>
        </w:tc>
        <w:tc>
          <w:tcPr>
            <w:tcW w:w="3221" w:type="dxa"/>
            <w:gridSpan w:val="3"/>
            <w:vAlign w:val="center"/>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62" w:hRule="atLeast"/>
        </w:trPr>
        <w:tc>
          <w:tcPr>
            <w:tcW w:w="5562" w:type="dxa"/>
            <w:gridSpan w:val="2"/>
            <w:tcBorders>
              <w:top w:val="single" w:color="000000" w:sz="4" w:space="0"/>
              <w:left w:val="single" w:color="000000" w:sz="4" w:space="0"/>
              <w:bottom w:val="single" w:color="000000" w:sz="4" w:space="0"/>
            </w:tcBorders>
          </w:tcPr>
          <w:p>
            <w:pPr>
              <w:pStyle w:val="22"/>
              <w:jc w:val="center"/>
              <w:rPr>
                <w:rFonts w:ascii="仿宋" w:hAnsi="仿宋" w:eastAsia="仿宋" w:cs="仿宋"/>
              </w:rPr>
            </w:pPr>
            <w:r>
              <w:rPr>
                <w:rFonts w:hint="eastAsia" w:ascii="仿宋" w:hAnsi="仿宋" w:eastAsia="仿宋" w:cs="仿宋"/>
              </w:rPr>
              <w:t>收</w:t>
            </w:r>
            <w:r>
              <w:rPr>
                <w:rFonts w:hint="eastAsia" w:ascii="仿宋" w:hAnsi="仿宋" w:eastAsia="仿宋" w:cs="仿宋"/>
              </w:rPr>
              <w:tab/>
            </w:r>
            <w:r>
              <w:rPr>
                <w:rFonts w:hint="eastAsia" w:ascii="仿宋" w:hAnsi="仿宋" w:eastAsia="仿宋" w:cs="仿宋"/>
              </w:rPr>
              <w:t>入</w:t>
            </w:r>
          </w:p>
        </w:tc>
        <w:tc>
          <w:tcPr>
            <w:tcW w:w="9810" w:type="dxa"/>
            <w:gridSpan w:val="8"/>
            <w:tcBorders>
              <w:top w:val="single" w:color="000000" w:sz="4" w:space="0"/>
              <w:left w:val="single" w:color="000000" w:sz="4" w:space="0"/>
              <w:bottom w:val="single" w:color="000000" w:sz="4" w:space="0"/>
              <w:right w:val="single" w:color="000000" w:sz="4" w:space="0"/>
            </w:tcBorders>
          </w:tcPr>
          <w:p>
            <w:pPr>
              <w:pStyle w:val="22"/>
              <w:jc w:val="center"/>
              <w:rPr>
                <w:rFonts w:ascii="仿宋" w:hAnsi="仿宋" w:eastAsia="仿宋" w:cs="仿宋"/>
              </w:rPr>
            </w:pPr>
            <w:r>
              <w:rPr>
                <w:rFonts w:hint="eastAsia" w:ascii="仿宋" w:hAnsi="仿宋" w:eastAsia="仿宋" w:cs="仿宋"/>
              </w:rPr>
              <w:t>支</w:t>
            </w:r>
            <w:r>
              <w:rPr>
                <w:rFonts w:hint="eastAsia" w:ascii="仿宋" w:hAnsi="仿宋" w:eastAsia="仿宋" w:cs="仿宋"/>
              </w:rPr>
              <w:tab/>
            </w:r>
            <w:r>
              <w:rPr>
                <w:rFonts w:hint="eastAsia" w:ascii="仿宋" w:hAnsi="仿宋" w:eastAsia="仿宋" w:cs="仿宋"/>
              </w:rPr>
              <w:t>出</w:t>
            </w:r>
          </w:p>
        </w:tc>
      </w:tr>
      <w:tr>
        <w:tblPrEx>
          <w:tblLayout w:type="fixed"/>
          <w:tblCellMar>
            <w:top w:w="55" w:type="dxa"/>
            <w:left w:w="55" w:type="dxa"/>
            <w:bottom w:w="55" w:type="dxa"/>
            <w:right w:w="55" w:type="dxa"/>
          </w:tblCellMar>
        </w:tblPrEx>
        <w:trPr>
          <w:trHeight w:val="199" w:hRule="atLeast"/>
        </w:trPr>
        <w:tc>
          <w:tcPr>
            <w:tcW w:w="3725"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837"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决算数</w:t>
            </w:r>
          </w:p>
        </w:tc>
        <w:tc>
          <w:tcPr>
            <w:tcW w:w="3667" w:type="dxa"/>
            <w:gridSpan w:val="3"/>
            <w:vMerge w:val="restart"/>
            <w:tcBorders>
              <w:left w:val="single" w:color="000000" w:sz="4" w:space="0"/>
              <w:bottom w:val="single" w:color="000000" w:sz="4" w:space="0"/>
            </w:tcBorders>
            <w:vAlign w:val="center"/>
          </w:tcPr>
          <w:p>
            <w:pPr>
              <w:jc w:val="center"/>
              <w:rPr>
                <w:rFonts w:ascii="仿宋" w:hAnsi="仿宋" w:eastAsia="仿宋" w:cs="仿宋"/>
              </w:rPr>
            </w:pPr>
            <w:r>
              <w:rPr>
                <w:rFonts w:hint="eastAsia" w:ascii="仿宋" w:hAnsi="仿宋" w:eastAsia="仿宋" w:cs="仿宋"/>
              </w:rPr>
              <w:t>按功能分类</w:t>
            </w:r>
          </w:p>
        </w:tc>
        <w:tc>
          <w:tcPr>
            <w:tcW w:w="6143" w:type="dxa"/>
            <w:gridSpan w:val="5"/>
            <w:tcBorders>
              <w:left w:val="single" w:color="000000" w:sz="4" w:space="0"/>
              <w:bottom w:val="single" w:color="000000" w:sz="4" w:space="0"/>
              <w:right w:val="single" w:color="000000" w:sz="4" w:space="0"/>
            </w:tcBorders>
            <w:vAlign w:val="center"/>
          </w:tcPr>
          <w:p>
            <w:pPr>
              <w:jc w:val="center"/>
              <w:rPr>
                <w:rFonts w:ascii="仿宋" w:hAnsi="仿宋" w:eastAsia="仿宋" w:cs="仿宋"/>
              </w:rPr>
            </w:pPr>
            <w:r>
              <w:rPr>
                <w:rFonts w:hint="eastAsia" w:ascii="仿宋" w:hAnsi="仿宋" w:eastAsia="仿宋" w:cs="仿宋"/>
              </w:rPr>
              <w:t>决算数</w:t>
            </w:r>
          </w:p>
        </w:tc>
      </w:tr>
      <w:tr>
        <w:tblPrEx>
          <w:tblLayout w:type="fixed"/>
          <w:tblCellMar>
            <w:top w:w="55" w:type="dxa"/>
            <w:left w:w="55" w:type="dxa"/>
            <w:bottom w:w="55" w:type="dxa"/>
            <w:right w:w="55" w:type="dxa"/>
          </w:tblCellMar>
        </w:tblPrEx>
        <w:trPr>
          <w:trHeight w:val="578" w:hRule="atLeast"/>
        </w:trPr>
        <w:tc>
          <w:tcPr>
            <w:tcW w:w="3725" w:type="dxa"/>
            <w:vMerge w:val="continue"/>
            <w:tcBorders>
              <w:left w:val="single" w:color="000000" w:sz="4" w:space="0"/>
              <w:bottom w:val="single" w:color="000000" w:sz="4" w:space="0"/>
            </w:tcBorders>
          </w:tcPr>
          <w:p>
            <w:pPr>
              <w:pStyle w:val="22"/>
              <w:rPr>
                <w:rFonts w:ascii="仿宋" w:hAnsi="仿宋" w:eastAsia="仿宋" w:cs="仿宋"/>
              </w:rPr>
            </w:pPr>
          </w:p>
        </w:tc>
        <w:tc>
          <w:tcPr>
            <w:tcW w:w="1837" w:type="dxa"/>
            <w:vMerge w:val="continue"/>
            <w:tcBorders>
              <w:left w:val="single" w:color="000000" w:sz="4" w:space="0"/>
              <w:bottom w:val="single" w:color="000000" w:sz="4" w:space="0"/>
            </w:tcBorders>
          </w:tcPr>
          <w:p>
            <w:pPr>
              <w:pStyle w:val="22"/>
              <w:rPr>
                <w:rFonts w:ascii="仿宋" w:hAnsi="仿宋" w:eastAsia="仿宋" w:cs="仿宋"/>
              </w:rPr>
            </w:pPr>
          </w:p>
        </w:tc>
        <w:tc>
          <w:tcPr>
            <w:tcW w:w="3667" w:type="dxa"/>
            <w:gridSpan w:val="3"/>
            <w:vMerge w:val="continue"/>
            <w:tcBorders>
              <w:left w:val="single" w:color="000000" w:sz="4" w:space="0"/>
              <w:bottom w:val="single" w:color="000000" w:sz="4" w:space="0"/>
            </w:tcBorders>
          </w:tcPr>
          <w:p>
            <w:pPr>
              <w:pStyle w:val="22"/>
              <w:rPr>
                <w:rFonts w:ascii="仿宋" w:hAnsi="仿宋" w:eastAsia="仿宋" w:cs="仿宋"/>
              </w:rPr>
            </w:pPr>
          </w:p>
        </w:tc>
        <w:tc>
          <w:tcPr>
            <w:tcW w:w="1728" w:type="dxa"/>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小计</w:t>
            </w:r>
          </w:p>
        </w:tc>
        <w:tc>
          <w:tcPr>
            <w:tcW w:w="1415"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一般公共预算财政拨款</w:t>
            </w:r>
          </w:p>
        </w:tc>
        <w:tc>
          <w:tcPr>
            <w:tcW w:w="150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政府性基金预算财政拨款</w:t>
            </w:r>
          </w:p>
        </w:tc>
        <w:tc>
          <w:tcPr>
            <w:tcW w:w="1500"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国有资本经营预算财政拨款</w:t>
            </w: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一、一般公共预算财政拨款收入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466.87</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一、一般公共服务支出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二、政府性基金预算财政拨款收入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二、外交支出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三、国有资本经营预算财政拨款收入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三、国防支出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四、公共安全支出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五、教育支出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六、科学技术支出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七、文化旅游体育与传媒支出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八、社会保障和就业支出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327.93</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327.93</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九、卫生健康支出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十、节能环保支出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十一、城乡社区支出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十二、农林水支出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十三、交通运输支出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十四、资源勘探工业信息等支出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十五、商业服务业等支出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十六、金融支出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十七、援助其他地区支出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十八、自然资源海洋气象等支出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十九、住房保障支出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138.94</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138.94</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二十、粮油物资储备支出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二十一、国有资本经营预算支出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二十二、灾害防治及应急管理支出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二十三、其他支出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二十四、债务还本支出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二十五、债务付息支出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二十六、抗疫特别国债安排的支出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359" w:hRule="exact"/>
        </w:trPr>
        <w:tc>
          <w:tcPr>
            <w:tcW w:w="3725" w:type="dxa"/>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b/>
                <w:bCs/>
              </w:rPr>
              <w:t>本年收入合计</w:t>
            </w:r>
          </w:p>
        </w:tc>
        <w:tc>
          <w:tcPr>
            <w:tcW w:w="1837" w:type="dxa"/>
            <w:tcBorders>
              <w:top w:val="single" w:color="000000" w:sz="4" w:space="0"/>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466.87</w:t>
            </w:r>
          </w:p>
        </w:tc>
        <w:tc>
          <w:tcPr>
            <w:tcW w:w="3667" w:type="dxa"/>
            <w:gridSpan w:val="3"/>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b/>
                <w:bCs/>
              </w:rPr>
              <w:t>本年支出合计</w:t>
            </w:r>
          </w:p>
        </w:tc>
        <w:tc>
          <w:tcPr>
            <w:tcW w:w="1728" w:type="dxa"/>
            <w:tcBorders>
              <w:top w:val="single" w:color="000000" w:sz="4" w:space="0"/>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466.87</w:t>
            </w:r>
          </w:p>
        </w:tc>
        <w:tc>
          <w:tcPr>
            <w:tcW w:w="1415" w:type="dxa"/>
            <w:gridSpan w:val="2"/>
            <w:tcBorders>
              <w:top w:val="single" w:color="000000" w:sz="4" w:space="0"/>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466.87</w:t>
            </w:r>
          </w:p>
        </w:tc>
        <w:tc>
          <w:tcPr>
            <w:tcW w:w="1500" w:type="dxa"/>
            <w:tcBorders>
              <w:top w:val="single" w:color="000000" w:sz="4" w:space="0"/>
              <w:left w:val="single" w:color="000000" w:sz="4" w:space="0"/>
              <w:bottom w:val="single" w:color="000000" w:sz="4" w:space="0"/>
            </w:tcBorders>
            <w:vAlign w:val="center"/>
          </w:tcPr>
          <w:p>
            <w:pPr>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年初财政拨款结转和结余</w:t>
            </w:r>
          </w:p>
        </w:tc>
        <w:tc>
          <w:tcPr>
            <w:tcW w:w="1837"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3667" w:type="dxa"/>
            <w:gridSpan w:val="3"/>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年末财政拨款结转和结余</w:t>
            </w:r>
          </w:p>
        </w:tc>
        <w:tc>
          <w:tcPr>
            <w:tcW w:w="1728"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415" w:type="dxa"/>
            <w:gridSpan w:val="2"/>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一、一般公共预算财政拨款</w:t>
            </w:r>
          </w:p>
        </w:tc>
        <w:tc>
          <w:tcPr>
            <w:tcW w:w="1837"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3667" w:type="dxa"/>
            <w:gridSpan w:val="3"/>
            <w:tcBorders>
              <w:left w:val="single" w:color="000000" w:sz="4" w:space="0"/>
              <w:bottom w:val="single" w:color="000000" w:sz="4" w:space="0"/>
            </w:tcBorders>
            <w:vAlign w:val="center"/>
          </w:tcPr>
          <w:p>
            <w:pPr>
              <w:pStyle w:val="22"/>
              <w:rPr>
                <w:rFonts w:ascii="仿宋" w:hAnsi="仿宋" w:eastAsia="仿宋" w:cs="仿宋"/>
              </w:rPr>
            </w:pPr>
          </w:p>
        </w:tc>
        <w:tc>
          <w:tcPr>
            <w:tcW w:w="1728"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415" w:type="dxa"/>
            <w:gridSpan w:val="2"/>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二、政府性基金预算财政拨款</w:t>
            </w:r>
          </w:p>
        </w:tc>
        <w:tc>
          <w:tcPr>
            <w:tcW w:w="1837"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3667" w:type="dxa"/>
            <w:gridSpan w:val="3"/>
            <w:tcBorders>
              <w:left w:val="single" w:color="000000" w:sz="4" w:space="0"/>
              <w:bottom w:val="single" w:color="000000" w:sz="4" w:space="0"/>
            </w:tcBorders>
            <w:vAlign w:val="center"/>
          </w:tcPr>
          <w:p>
            <w:pPr>
              <w:pStyle w:val="22"/>
              <w:rPr>
                <w:rFonts w:ascii="仿宋" w:hAnsi="仿宋" w:eastAsia="仿宋" w:cs="仿宋"/>
              </w:rPr>
            </w:pPr>
          </w:p>
        </w:tc>
        <w:tc>
          <w:tcPr>
            <w:tcW w:w="1728"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415" w:type="dxa"/>
            <w:gridSpan w:val="2"/>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三、国有资本经营预算财政拨款</w:t>
            </w:r>
          </w:p>
        </w:tc>
        <w:tc>
          <w:tcPr>
            <w:tcW w:w="1837"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3667" w:type="dxa"/>
            <w:gridSpan w:val="3"/>
            <w:tcBorders>
              <w:left w:val="single" w:color="000000" w:sz="4" w:space="0"/>
              <w:bottom w:val="single" w:color="000000" w:sz="4" w:space="0"/>
            </w:tcBorders>
            <w:vAlign w:val="center"/>
          </w:tcPr>
          <w:p>
            <w:pPr>
              <w:pStyle w:val="22"/>
              <w:rPr>
                <w:rFonts w:ascii="仿宋" w:hAnsi="仿宋" w:eastAsia="仿宋" w:cs="仿宋"/>
              </w:rPr>
            </w:pPr>
          </w:p>
        </w:tc>
        <w:tc>
          <w:tcPr>
            <w:tcW w:w="1728"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415" w:type="dxa"/>
            <w:gridSpan w:val="2"/>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22" w:hRule="exact"/>
        </w:trPr>
        <w:tc>
          <w:tcPr>
            <w:tcW w:w="3725"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b/>
                <w:bCs/>
              </w:rPr>
              <w:t>总计</w:t>
            </w:r>
          </w:p>
        </w:tc>
        <w:tc>
          <w:tcPr>
            <w:tcW w:w="1837"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466.87</w:t>
            </w:r>
          </w:p>
        </w:tc>
        <w:tc>
          <w:tcPr>
            <w:tcW w:w="3667" w:type="dxa"/>
            <w:gridSpan w:val="3"/>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b/>
                <w:bCs/>
              </w:rPr>
              <w:t>总计</w:t>
            </w:r>
          </w:p>
        </w:tc>
        <w:tc>
          <w:tcPr>
            <w:tcW w:w="1728"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466.87</w:t>
            </w:r>
          </w:p>
        </w:tc>
        <w:tc>
          <w:tcPr>
            <w:tcW w:w="1415" w:type="dxa"/>
            <w:gridSpan w:val="2"/>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466.87</w:t>
            </w:r>
          </w:p>
        </w:tc>
        <w:tc>
          <w:tcPr>
            <w:tcW w:w="1500" w:type="dxa"/>
            <w:tcBorders>
              <w:left w:val="single" w:color="000000" w:sz="4" w:space="0"/>
              <w:bottom w:val="single" w:color="000000" w:sz="4" w:space="0"/>
            </w:tcBorders>
            <w:vAlign w:val="center"/>
          </w:tcPr>
          <w:p>
            <w:pPr>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jc w:val="right"/>
              <w:rPr>
                <w:rFonts w:ascii="仿宋" w:hAnsi="仿宋" w:eastAsia="仿宋" w:cs="仿宋"/>
              </w:rPr>
            </w:pPr>
          </w:p>
        </w:tc>
      </w:tr>
    </w:tbl>
    <w:p>
      <w:pPr>
        <w:jc w:val="both"/>
        <w:rPr>
          <w:rFonts w:ascii="仿宋" w:hAnsi="仿宋" w:eastAsia="仿宋" w:cs="仿宋"/>
        </w:rPr>
      </w:pPr>
      <w:r>
        <w:rPr>
          <w:rFonts w:hint="eastAsia" w:ascii="仿宋" w:hAnsi="仿宋" w:eastAsia="仿宋" w:cs="仿宋"/>
          <w:lang w:val="en-US"/>
        </w:rPr>
        <w:t>注：</w:t>
      </w:r>
      <w:r>
        <w:rPr>
          <w:rFonts w:hint="eastAsia" w:ascii="仿宋" w:hAnsi="仿宋" w:eastAsia="仿宋" w:cs="仿宋"/>
        </w:rPr>
        <w:t>本表反映本年度一般公共预算财政拨款、政府性基金预算财政拨款和国有资本经营预算财政拨款的总收支和年末结转结余情况。本表金额单位转换时可能存在尾数误差。</w:t>
      </w:r>
    </w:p>
    <w:p>
      <w:pPr>
        <w:jc w:val="both"/>
        <w:rPr>
          <w:rFonts w:ascii="仿宋" w:hAnsi="仿宋" w:eastAsia="仿宋" w:cs="仿宋"/>
        </w:rPr>
        <w:sectPr>
          <w:footerReference r:id="rId14"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5417" w:type="dxa"/>
        <w:tblInd w:w="44" w:type="dxa"/>
        <w:tblLayout w:type="fixed"/>
        <w:tblCellMar>
          <w:top w:w="55" w:type="dxa"/>
          <w:left w:w="55" w:type="dxa"/>
          <w:bottom w:w="55" w:type="dxa"/>
          <w:right w:w="55" w:type="dxa"/>
        </w:tblCellMar>
      </w:tblPr>
      <w:tblGrid>
        <w:gridCol w:w="1278"/>
        <w:gridCol w:w="5022"/>
        <w:gridCol w:w="3184"/>
        <w:gridCol w:w="2778"/>
        <w:gridCol w:w="3155"/>
      </w:tblGrid>
      <w:tr>
        <w:tblPrEx>
          <w:tblLayout w:type="fixed"/>
          <w:tblCellMar>
            <w:top w:w="55" w:type="dxa"/>
            <w:left w:w="55" w:type="dxa"/>
            <w:bottom w:w="55" w:type="dxa"/>
            <w:right w:w="55" w:type="dxa"/>
          </w:tblCellMar>
        </w:tblPrEx>
        <w:trPr>
          <w:trHeight w:val="321" w:hRule="atLeast"/>
        </w:trPr>
        <w:tc>
          <w:tcPr>
            <w:tcW w:w="15417"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财政拨款支出决算表（功能科目）</w:t>
            </w:r>
          </w:p>
        </w:tc>
      </w:tr>
      <w:tr>
        <w:tblPrEx>
          <w:tblLayout w:type="fixed"/>
          <w:tblCellMar>
            <w:top w:w="55" w:type="dxa"/>
            <w:left w:w="55" w:type="dxa"/>
            <w:bottom w:w="55" w:type="dxa"/>
            <w:right w:w="55" w:type="dxa"/>
          </w:tblCellMar>
        </w:tblPrEx>
        <w:trPr>
          <w:trHeight w:val="321" w:hRule="atLeast"/>
        </w:trPr>
        <w:tc>
          <w:tcPr>
            <w:tcW w:w="6300" w:type="dxa"/>
            <w:gridSpan w:val="2"/>
          </w:tcPr>
          <w:p>
            <w:pPr>
              <w:pStyle w:val="22"/>
              <w:rPr>
                <w:rFonts w:ascii="仿宋" w:hAnsi="仿宋" w:eastAsia="仿宋" w:cs="仿宋"/>
                <w:sz w:val="20"/>
              </w:rPr>
            </w:pPr>
          </w:p>
        </w:tc>
        <w:tc>
          <w:tcPr>
            <w:tcW w:w="3184" w:type="dxa"/>
          </w:tcPr>
          <w:p>
            <w:pPr>
              <w:pStyle w:val="22"/>
              <w:rPr>
                <w:rFonts w:ascii="仿宋" w:hAnsi="仿宋" w:eastAsia="仿宋" w:cs="仿宋"/>
                <w:sz w:val="27"/>
              </w:rPr>
            </w:pPr>
          </w:p>
        </w:tc>
        <w:tc>
          <w:tcPr>
            <w:tcW w:w="5933" w:type="dxa"/>
            <w:gridSpan w:val="2"/>
            <w:vAlign w:val="center"/>
          </w:tcPr>
          <w:p>
            <w:pPr>
              <w:pStyle w:val="22"/>
              <w:jc w:val="right"/>
              <w:rPr>
                <w:rFonts w:ascii="仿宋" w:hAnsi="仿宋" w:eastAsia="仿宋" w:cs="仿宋"/>
                <w:sz w:val="27"/>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trHeight w:val="288" w:hRule="atLeast"/>
        </w:trPr>
        <w:tc>
          <w:tcPr>
            <w:tcW w:w="6300" w:type="dxa"/>
            <w:gridSpan w:val="2"/>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江苏省民政干部学校</w:t>
            </w:r>
          </w:p>
        </w:tc>
        <w:tc>
          <w:tcPr>
            <w:tcW w:w="3184" w:type="dxa"/>
          </w:tcPr>
          <w:p>
            <w:pPr>
              <w:pStyle w:val="22"/>
              <w:rPr>
                <w:rFonts w:ascii="仿宋" w:hAnsi="仿宋" w:eastAsia="仿宋" w:cs="仿宋"/>
                <w:sz w:val="27"/>
              </w:rPr>
            </w:pPr>
          </w:p>
        </w:tc>
        <w:tc>
          <w:tcPr>
            <w:tcW w:w="2778" w:type="dxa"/>
            <w:vAlign w:val="center"/>
          </w:tcPr>
          <w:p>
            <w:pPr>
              <w:pStyle w:val="22"/>
              <w:jc w:val="right"/>
              <w:rPr>
                <w:rFonts w:ascii="仿宋" w:hAnsi="仿宋" w:eastAsia="仿宋" w:cs="仿宋"/>
                <w:sz w:val="27"/>
              </w:rPr>
            </w:pPr>
          </w:p>
        </w:tc>
        <w:tc>
          <w:tcPr>
            <w:tcW w:w="3155" w:type="dxa"/>
            <w:vAlign w:val="center"/>
          </w:tcPr>
          <w:p>
            <w:pPr>
              <w:pStyle w:val="22"/>
              <w:jc w:val="right"/>
              <w:rPr>
                <w:rFonts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300" w:type="dxa"/>
            <w:gridSpan w:val="2"/>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3184" w:type="dxa"/>
            <w:vMerge w:val="restart"/>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3155" w:type="dxa"/>
            <w:vMerge w:val="restart"/>
            <w:tcBorders>
              <w:top w:val="single" w:color="000000" w:sz="6" w:space="0"/>
              <w:left w:val="single" w:color="000000" w:sz="6" w:space="0"/>
              <w:bottom w:val="single" w:color="000000" w:sz="6" w:space="0"/>
              <w:right w:val="single" w:color="000000" w:sz="6" w:space="0"/>
            </w:tcBorders>
            <w:vAlign w:val="center"/>
          </w:tcPr>
          <w:p>
            <w:pPr>
              <w:pStyle w:val="22"/>
              <w:jc w:val="center"/>
              <w:rPr>
                <w:rFonts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341" w:hRule="atLeast"/>
        </w:trPr>
        <w:tc>
          <w:tcPr>
            <w:tcW w:w="1278"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5022"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3184" w:type="dxa"/>
            <w:vMerge w:val="continue"/>
            <w:tcBorders>
              <w:left w:val="single" w:color="000000" w:sz="6" w:space="0"/>
              <w:bottom w:val="single" w:color="000000" w:sz="6" w:space="0"/>
            </w:tcBorders>
          </w:tcPr>
          <w:p>
            <w:pPr>
              <w:rPr>
                <w:rFonts w:ascii="仿宋" w:hAnsi="仿宋" w:eastAsia="仿宋" w:cs="仿宋"/>
              </w:rPr>
            </w:pPr>
          </w:p>
        </w:tc>
        <w:tc>
          <w:tcPr>
            <w:tcW w:w="2778" w:type="dxa"/>
            <w:vMerge w:val="continue"/>
            <w:tcBorders>
              <w:left w:val="single" w:color="000000" w:sz="6" w:space="0"/>
              <w:bottom w:val="single" w:color="000000" w:sz="6" w:space="0"/>
            </w:tcBorders>
          </w:tcPr>
          <w:p>
            <w:pPr>
              <w:rPr>
                <w:rFonts w:ascii="仿宋" w:hAnsi="仿宋" w:eastAsia="仿宋" w:cs="仿宋"/>
              </w:rPr>
            </w:pPr>
          </w:p>
        </w:tc>
        <w:tc>
          <w:tcPr>
            <w:tcW w:w="3155" w:type="dxa"/>
            <w:vMerge w:val="continue"/>
            <w:tcBorders>
              <w:left w:val="single" w:color="000000" w:sz="6" w:space="0"/>
              <w:bottom w:val="single" w:color="000000" w:sz="6" w:space="0"/>
              <w:right w:val="single" w:color="000000" w:sz="6"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6300" w:type="dxa"/>
            <w:gridSpan w:val="2"/>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栏次</w:t>
            </w:r>
          </w:p>
        </w:tc>
        <w:tc>
          <w:tcPr>
            <w:tcW w:w="3184"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1</w:t>
            </w:r>
          </w:p>
        </w:tc>
        <w:tc>
          <w:tcPr>
            <w:tcW w:w="2778"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2</w:t>
            </w:r>
          </w:p>
        </w:tc>
        <w:tc>
          <w:tcPr>
            <w:tcW w:w="3155" w:type="dxa"/>
            <w:tcBorders>
              <w:left w:val="single" w:color="000000" w:sz="6" w:space="0"/>
              <w:bottom w:val="single" w:color="000000" w:sz="6" w:space="0"/>
              <w:right w:val="single" w:color="000000" w:sz="6" w:space="0"/>
            </w:tcBorders>
            <w:vAlign w:val="center"/>
          </w:tcPr>
          <w:p>
            <w:pPr>
              <w:pStyle w:val="22"/>
              <w:jc w:val="center"/>
              <w:rPr>
                <w:rFonts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374" w:hRule="exact"/>
        </w:trPr>
        <w:tc>
          <w:tcPr>
            <w:tcW w:w="6300" w:type="dxa"/>
            <w:gridSpan w:val="2"/>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3184" w:type="dxa"/>
            <w:tcBorders>
              <w:left w:val="single" w:color="000000" w:sz="6" w:space="0"/>
              <w:bottom w:val="single" w:color="000000" w:sz="6" w:space="0"/>
            </w:tcBorders>
          </w:tcPr>
          <w:p>
            <w:pPr>
              <w:pStyle w:val="22"/>
              <w:jc w:val="right"/>
              <w:rPr>
                <w:rFonts w:ascii="仿宋" w:hAnsi="仿宋" w:eastAsia="仿宋" w:cs="仿宋"/>
              </w:rPr>
            </w:pPr>
            <w:r>
              <w:rPr>
                <w:rFonts w:hint="eastAsia" w:ascii="仿宋" w:hAnsi="仿宋" w:eastAsia="仿宋" w:cs="仿宋"/>
              </w:rPr>
              <w:t>466.87</w:t>
            </w:r>
          </w:p>
        </w:tc>
        <w:tc>
          <w:tcPr>
            <w:tcW w:w="2778" w:type="dxa"/>
            <w:tcBorders>
              <w:left w:val="single" w:color="000000" w:sz="6" w:space="0"/>
              <w:bottom w:val="single" w:color="000000" w:sz="6" w:space="0"/>
            </w:tcBorders>
          </w:tcPr>
          <w:p>
            <w:pPr>
              <w:pStyle w:val="22"/>
              <w:jc w:val="right"/>
              <w:rPr>
                <w:rFonts w:ascii="仿宋" w:hAnsi="仿宋" w:eastAsia="仿宋" w:cs="仿宋"/>
              </w:rPr>
            </w:pPr>
            <w:r>
              <w:rPr>
                <w:rFonts w:hint="eastAsia" w:ascii="仿宋" w:hAnsi="仿宋" w:eastAsia="仿宋" w:cs="仿宋"/>
              </w:rPr>
              <w:t>466.87</w:t>
            </w:r>
          </w:p>
        </w:tc>
        <w:tc>
          <w:tcPr>
            <w:tcW w:w="3155" w:type="dxa"/>
            <w:tcBorders>
              <w:left w:val="single" w:color="000000" w:sz="6" w:space="0"/>
              <w:bottom w:val="single" w:color="000000" w:sz="6" w:space="0"/>
              <w:right w:val="single" w:color="000000" w:sz="6" w:space="0"/>
            </w:tcBorders>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327.93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327.93</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民政管理事务</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96.06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96.06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2080299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其他民政管理事务支出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96.06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96.06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24.76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24.76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16.51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16.51</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2080506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机关事业单位职业年金缴费支出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8.25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8.25</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207.11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207.11</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2089999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207.11</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207.11</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221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住房保障支出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138.94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138.94</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住房改革支出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138.94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138.94</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住房公积金</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33.44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33.44</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提租补贴</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105.50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105.50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bl>
    <w:p>
      <w:pPr>
        <w:tabs>
          <w:tab w:val="left" w:pos="0"/>
        </w:tabs>
        <w:jc w:val="both"/>
        <w:rPr>
          <w:rFonts w:ascii="仿宋" w:hAnsi="仿宋" w:eastAsia="仿宋" w:cs="仿宋"/>
        </w:rPr>
      </w:pPr>
      <w:r>
        <w:rPr>
          <w:rFonts w:hint="eastAsia" w:ascii="仿宋" w:hAnsi="仿宋" w:eastAsia="仿宋" w:cs="仿宋"/>
        </w:rPr>
        <w:t>注：本表反映本年度一般公共预算财政拨款、政府性基金预算财政拨款和国有资本经营预算财政拨款支出情况。本表金额单位转换时可能存在尾数误差。</w:t>
      </w:r>
    </w:p>
    <w:p>
      <w:pPr>
        <w:tabs>
          <w:tab w:val="left" w:pos="55"/>
        </w:tabs>
        <w:jc w:val="both"/>
        <w:rPr>
          <w:rFonts w:ascii="仿宋" w:hAnsi="仿宋" w:eastAsia="仿宋" w:cs="仿宋"/>
        </w:rPr>
        <w:sectPr>
          <w:footerReference r:id="rId15"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0515" w:type="dxa"/>
        <w:tblInd w:w="38" w:type="dxa"/>
        <w:tblLayout w:type="fixed"/>
        <w:tblCellMar>
          <w:top w:w="55" w:type="dxa"/>
          <w:left w:w="55" w:type="dxa"/>
          <w:bottom w:w="55" w:type="dxa"/>
          <w:right w:w="55" w:type="dxa"/>
        </w:tblCellMar>
      </w:tblPr>
      <w:tblGrid>
        <w:gridCol w:w="990"/>
        <w:gridCol w:w="3542"/>
        <w:gridCol w:w="2047"/>
        <w:gridCol w:w="2040"/>
        <w:gridCol w:w="1896"/>
      </w:tblGrid>
      <w:tr>
        <w:tblPrEx>
          <w:tblLayout w:type="fixed"/>
          <w:tblCellMar>
            <w:top w:w="55" w:type="dxa"/>
            <w:left w:w="55" w:type="dxa"/>
            <w:bottom w:w="55" w:type="dxa"/>
            <w:right w:w="55" w:type="dxa"/>
          </w:tblCellMar>
        </w:tblPrEx>
        <w:trPr>
          <w:trHeight w:val="319" w:hRule="atLeast"/>
        </w:trPr>
        <w:tc>
          <w:tcPr>
            <w:tcW w:w="10515"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财政拨款基本支出决算表（经济科目）</w:t>
            </w:r>
          </w:p>
        </w:tc>
      </w:tr>
      <w:tr>
        <w:tblPrEx>
          <w:tblLayout w:type="fixed"/>
          <w:tblCellMar>
            <w:top w:w="55" w:type="dxa"/>
            <w:left w:w="55" w:type="dxa"/>
            <w:bottom w:w="55" w:type="dxa"/>
            <w:right w:w="55" w:type="dxa"/>
          </w:tblCellMar>
        </w:tblPrEx>
        <w:trPr>
          <w:trHeight w:val="319" w:hRule="atLeast"/>
        </w:trPr>
        <w:tc>
          <w:tcPr>
            <w:tcW w:w="4532" w:type="dxa"/>
            <w:gridSpan w:val="2"/>
          </w:tcPr>
          <w:p>
            <w:pPr>
              <w:pStyle w:val="22"/>
              <w:rPr>
                <w:rFonts w:ascii="仿宋" w:hAnsi="仿宋" w:eastAsia="仿宋" w:cs="仿宋"/>
                <w:sz w:val="20"/>
              </w:rPr>
            </w:pPr>
          </w:p>
        </w:tc>
        <w:tc>
          <w:tcPr>
            <w:tcW w:w="2047" w:type="dxa"/>
          </w:tcPr>
          <w:p>
            <w:pPr>
              <w:pStyle w:val="22"/>
              <w:rPr>
                <w:rFonts w:ascii="仿宋" w:hAnsi="仿宋" w:eastAsia="仿宋" w:cs="仿宋"/>
                <w:sz w:val="20"/>
              </w:rPr>
            </w:pPr>
          </w:p>
        </w:tc>
        <w:tc>
          <w:tcPr>
            <w:tcW w:w="2040" w:type="dxa"/>
          </w:tcPr>
          <w:p>
            <w:pPr>
              <w:pStyle w:val="22"/>
              <w:rPr>
                <w:rFonts w:ascii="仿宋" w:hAnsi="仿宋" w:eastAsia="仿宋" w:cs="仿宋"/>
                <w:sz w:val="20"/>
              </w:rPr>
            </w:pPr>
          </w:p>
        </w:tc>
        <w:tc>
          <w:tcPr>
            <w:tcW w:w="1896" w:type="dxa"/>
            <w:vAlign w:val="center"/>
          </w:tcPr>
          <w:p>
            <w:pPr>
              <w:pStyle w:val="22"/>
              <w:jc w:val="right"/>
              <w:rPr>
                <w:rFonts w:ascii="仿宋" w:hAnsi="仿宋" w:eastAsia="仿宋" w:cs="仿宋"/>
                <w:sz w:val="20"/>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trHeight w:val="319" w:hRule="atLeast"/>
        </w:trPr>
        <w:tc>
          <w:tcPr>
            <w:tcW w:w="8619" w:type="dxa"/>
            <w:gridSpan w:val="4"/>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江苏省民政干部学校</w:t>
            </w:r>
          </w:p>
        </w:tc>
        <w:tc>
          <w:tcPr>
            <w:tcW w:w="1896" w:type="dxa"/>
            <w:vAlign w:val="center"/>
          </w:tcPr>
          <w:p>
            <w:pPr>
              <w:pStyle w:val="22"/>
              <w:jc w:val="right"/>
              <w:rPr>
                <w:rFonts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43" w:hRule="atLeast"/>
        </w:trPr>
        <w:tc>
          <w:tcPr>
            <w:tcW w:w="4532"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983" w:type="dxa"/>
            <w:gridSpan w:val="3"/>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财政拨款基本支出</w:t>
            </w:r>
          </w:p>
        </w:tc>
      </w:tr>
      <w:tr>
        <w:tblPrEx>
          <w:tblLayout w:type="fixed"/>
          <w:tblCellMar>
            <w:top w:w="55" w:type="dxa"/>
            <w:left w:w="55" w:type="dxa"/>
            <w:bottom w:w="55" w:type="dxa"/>
            <w:right w:w="55" w:type="dxa"/>
          </w:tblCellMar>
        </w:tblPrEx>
        <w:trPr>
          <w:trHeight w:val="483" w:hRule="atLeast"/>
        </w:trPr>
        <w:tc>
          <w:tcPr>
            <w:tcW w:w="99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人员经费</w:t>
            </w:r>
          </w:p>
        </w:tc>
        <w:tc>
          <w:tcPr>
            <w:tcW w:w="1896"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409" w:hRule="exact"/>
        </w:trPr>
        <w:tc>
          <w:tcPr>
            <w:tcW w:w="4532"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466.87</w:t>
            </w:r>
          </w:p>
        </w:tc>
        <w:tc>
          <w:tcPr>
            <w:tcW w:w="2040"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440.43</w:t>
            </w:r>
          </w:p>
        </w:tc>
        <w:tc>
          <w:tcPr>
            <w:tcW w:w="1896"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26.44</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335.05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335.05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52.01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52.01</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10.74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10.74</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138.44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138.44</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18.87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18.87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9.43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9.43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94.60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94.60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9.75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9.75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26.44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26.44</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11.97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11.97</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1.59</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0.02</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0.86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0.86</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1.53</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5.52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5.52</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0.23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0.23</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4.73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4.73</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105.38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105.38</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104.76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104.76</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0.62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0.62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bl>
    <w:p>
      <w:pPr>
        <w:tabs>
          <w:tab w:val="left" w:pos="660"/>
          <w:tab w:val="left" w:pos="10780"/>
        </w:tabs>
        <w:spacing w:before="25" w:line="290" w:lineRule="auto"/>
        <w:jc w:val="both"/>
        <w:rPr>
          <w:rFonts w:ascii="仿宋" w:hAnsi="仿宋" w:eastAsia="仿宋" w:cs="仿宋"/>
        </w:rPr>
      </w:pPr>
      <w:r>
        <w:rPr>
          <w:rFonts w:hint="eastAsia" w:ascii="仿宋" w:hAnsi="仿宋" w:eastAsia="仿宋" w:cs="仿宋"/>
        </w:rPr>
        <w:t>注：本表反映本年度一般公共预算财政拨款、政府性基金预算财政拨款和国有资本经营预算财政拨款基本支出情况。本表金额单位转换时可能存在尾数误差。</w:t>
      </w:r>
    </w:p>
    <w:p>
      <w:pPr>
        <w:spacing w:line="255" w:lineRule="exact"/>
        <w:jc w:val="both"/>
        <w:rPr>
          <w:rFonts w:ascii="仿宋" w:hAnsi="仿宋" w:eastAsia="仿宋" w:cs="仿宋"/>
        </w:rPr>
        <w:sectPr>
          <w:footerReference r:id="rId16" w:type="default"/>
          <w:pgSz w:w="11906" w:h="16838"/>
          <w:pgMar w:top="720" w:right="720" w:bottom="720" w:left="720" w:header="170" w:footer="280" w:gutter="0"/>
          <w:pgNumType w:fmt="numberInDash"/>
          <w:cols w:space="720" w:num="1"/>
          <w:formProt w:val="0"/>
          <w:docGrid w:linePitch="100" w:charSpace="0"/>
        </w:sectPr>
      </w:pPr>
    </w:p>
    <w:tbl>
      <w:tblPr>
        <w:tblStyle w:val="13"/>
        <w:tblW w:w="10446" w:type="dxa"/>
        <w:tblInd w:w="78" w:type="dxa"/>
        <w:tblLayout w:type="fixed"/>
        <w:tblCellMar>
          <w:top w:w="55" w:type="dxa"/>
          <w:left w:w="55" w:type="dxa"/>
          <w:bottom w:w="55" w:type="dxa"/>
          <w:right w:w="55" w:type="dxa"/>
        </w:tblCellMar>
      </w:tblPr>
      <w:tblGrid>
        <w:gridCol w:w="1134"/>
        <w:gridCol w:w="4332"/>
        <w:gridCol w:w="1969"/>
        <w:gridCol w:w="1499"/>
        <w:gridCol w:w="1512"/>
      </w:tblGrid>
      <w:tr>
        <w:tblPrEx>
          <w:tblLayout w:type="fixed"/>
          <w:tblCellMar>
            <w:top w:w="55" w:type="dxa"/>
            <w:left w:w="55" w:type="dxa"/>
            <w:bottom w:w="55" w:type="dxa"/>
            <w:right w:w="55" w:type="dxa"/>
          </w:tblCellMar>
        </w:tblPrEx>
        <w:trPr>
          <w:trHeight w:val="560" w:hRule="atLeast"/>
        </w:trPr>
        <w:tc>
          <w:tcPr>
            <w:tcW w:w="10446"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一般公共预算支出决算表（功能科目）</w:t>
            </w:r>
          </w:p>
        </w:tc>
      </w:tr>
      <w:tr>
        <w:tblPrEx>
          <w:tblLayout w:type="fixed"/>
          <w:tblCellMar>
            <w:top w:w="55" w:type="dxa"/>
            <w:left w:w="55" w:type="dxa"/>
            <w:bottom w:w="55" w:type="dxa"/>
            <w:right w:w="55" w:type="dxa"/>
          </w:tblCellMar>
        </w:tblPrEx>
        <w:trPr>
          <w:trHeight w:val="147" w:hRule="atLeast"/>
        </w:trPr>
        <w:tc>
          <w:tcPr>
            <w:tcW w:w="5466" w:type="dxa"/>
            <w:gridSpan w:val="2"/>
          </w:tcPr>
          <w:p>
            <w:pPr>
              <w:pStyle w:val="22"/>
              <w:rPr>
                <w:rFonts w:ascii="仿宋" w:hAnsi="仿宋" w:eastAsia="仿宋" w:cs="仿宋"/>
                <w:sz w:val="20"/>
              </w:rPr>
            </w:pPr>
          </w:p>
        </w:tc>
        <w:tc>
          <w:tcPr>
            <w:tcW w:w="1969" w:type="dxa"/>
          </w:tcPr>
          <w:p>
            <w:pPr>
              <w:pStyle w:val="22"/>
              <w:rPr>
                <w:rFonts w:ascii="仿宋" w:hAnsi="仿宋" w:eastAsia="仿宋" w:cs="仿宋"/>
                <w:sz w:val="20"/>
              </w:rPr>
            </w:pPr>
          </w:p>
        </w:tc>
        <w:tc>
          <w:tcPr>
            <w:tcW w:w="1499" w:type="dxa"/>
          </w:tcPr>
          <w:p>
            <w:pPr>
              <w:pStyle w:val="22"/>
              <w:rPr>
                <w:rFonts w:ascii="仿宋" w:hAnsi="仿宋" w:eastAsia="仿宋" w:cs="仿宋"/>
                <w:sz w:val="20"/>
              </w:rPr>
            </w:pPr>
          </w:p>
        </w:tc>
        <w:tc>
          <w:tcPr>
            <w:tcW w:w="1512" w:type="dxa"/>
            <w:vAlign w:val="center"/>
          </w:tcPr>
          <w:p>
            <w:pPr>
              <w:pStyle w:val="22"/>
              <w:jc w:val="right"/>
              <w:rPr>
                <w:rFonts w:ascii="仿宋" w:hAnsi="仿宋" w:eastAsia="仿宋" w:cs="仿宋"/>
                <w:sz w:val="20"/>
              </w:rPr>
            </w:pPr>
            <w:r>
              <w:rPr>
                <w:rFonts w:hint="eastAsia" w:ascii="仿宋" w:hAnsi="仿宋" w:eastAsia="仿宋" w:cs="仿宋"/>
              </w:rPr>
              <w:t>公开07表</w:t>
            </w:r>
          </w:p>
        </w:tc>
      </w:tr>
      <w:tr>
        <w:tblPrEx>
          <w:tblLayout w:type="fixed"/>
          <w:tblCellMar>
            <w:top w:w="55" w:type="dxa"/>
            <w:left w:w="55" w:type="dxa"/>
            <w:bottom w:w="55" w:type="dxa"/>
            <w:right w:w="55" w:type="dxa"/>
          </w:tblCellMar>
        </w:tblPrEx>
        <w:trPr>
          <w:trHeight w:val="303" w:hRule="atLeast"/>
        </w:trPr>
        <w:tc>
          <w:tcPr>
            <w:tcW w:w="7435" w:type="dxa"/>
            <w:gridSpan w:val="3"/>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江苏省民政干部学校</w:t>
            </w:r>
          </w:p>
        </w:tc>
        <w:tc>
          <w:tcPr>
            <w:tcW w:w="3011" w:type="dxa"/>
            <w:gridSpan w:val="2"/>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58" w:hRule="atLeast"/>
        </w:trPr>
        <w:tc>
          <w:tcPr>
            <w:tcW w:w="5466" w:type="dxa"/>
            <w:gridSpan w:val="2"/>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969" w:type="dxa"/>
            <w:vMerge w:val="restart"/>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1499" w:type="dxa"/>
            <w:vMerge w:val="restart"/>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1512" w:type="dxa"/>
            <w:vMerge w:val="restart"/>
            <w:tcBorders>
              <w:top w:val="single" w:color="000000" w:sz="6" w:space="0"/>
              <w:left w:val="single" w:color="000000" w:sz="6" w:space="0"/>
              <w:bottom w:val="single" w:color="000000" w:sz="6" w:space="0"/>
              <w:right w:val="single" w:color="000000" w:sz="6" w:space="0"/>
            </w:tcBorders>
            <w:vAlign w:val="center"/>
          </w:tcPr>
          <w:p>
            <w:pPr>
              <w:pStyle w:val="22"/>
              <w:jc w:val="center"/>
              <w:rPr>
                <w:rFonts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561" w:hRule="atLeast"/>
        </w:trPr>
        <w:tc>
          <w:tcPr>
            <w:tcW w:w="1134"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功能分类科目编码</w:t>
            </w:r>
          </w:p>
        </w:tc>
        <w:tc>
          <w:tcPr>
            <w:tcW w:w="4332"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1969" w:type="dxa"/>
            <w:vMerge w:val="continue"/>
            <w:tcBorders>
              <w:left w:val="single" w:color="000000" w:sz="6" w:space="0"/>
              <w:bottom w:val="single" w:color="000000" w:sz="6" w:space="0"/>
            </w:tcBorders>
          </w:tcPr>
          <w:p>
            <w:pPr>
              <w:rPr>
                <w:rFonts w:ascii="仿宋" w:hAnsi="仿宋" w:eastAsia="仿宋" w:cs="仿宋"/>
                <w:sz w:val="2"/>
                <w:szCs w:val="2"/>
              </w:rPr>
            </w:pPr>
          </w:p>
        </w:tc>
        <w:tc>
          <w:tcPr>
            <w:tcW w:w="1499" w:type="dxa"/>
            <w:vMerge w:val="continue"/>
            <w:tcBorders>
              <w:left w:val="single" w:color="000000" w:sz="6" w:space="0"/>
              <w:bottom w:val="single" w:color="000000" w:sz="6" w:space="0"/>
            </w:tcBorders>
          </w:tcPr>
          <w:p>
            <w:pPr>
              <w:rPr>
                <w:rFonts w:ascii="仿宋" w:hAnsi="仿宋" w:eastAsia="仿宋" w:cs="仿宋"/>
                <w:sz w:val="2"/>
                <w:szCs w:val="2"/>
              </w:rPr>
            </w:pPr>
          </w:p>
        </w:tc>
        <w:tc>
          <w:tcPr>
            <w:tcW w:w="1512" w:type="dxa"/>
            <w:vMerge w:val="continue"/>
            <w:tcBorders>
              <w:left w:val="single" w:color="000000" w:sz="6" w:space="0"/>
              <w:bottom w:val="single" w:color="000000" w:sz="6" w:space="0"/>
              <w:right w:val="single" w:color="000000" w:sz="6" w:space="0"/>
            </w:tcBorders>
          </w:tcPr>
          <w:p>
            <w:pPr>
              <w:rPr>
                <w:rFonts w:ascii="仿宋" w:hAnsi="仿宋" w:eastAsia="仿宋" w:cs="仿宋"/>
                <w:sz w:val="2"/>
                <w:szCs w:val="2"/>
              </w:rPr>
            </w:pPr>
          </w:p>
        </w:tc>
      </w:tr>
      <w:tr>
        <w:tblPrEx>
          <w:tblLayout w:type="fixed"/>
          <w:tblCellMar>
            <w:top w:w="55" w:type="dxa"/>
            <w:left w:w="55" w:type="dxa"/>
            <w:bottom w:w="55" w:type="dxa"/>
            <w:right w:w="55" w:type="dxa"/>
          </w:tblCellMar>
        </w:tblPrEx>
        <w:trPr>
          <w:trHeight w:val="152" w:hRule="atLeast"/>
        </w:trPr>
        <w:tc>
          <w:tcPr>
            <w:tcW w:w="5466" w:type="dxa"/>
            <w:gridSpan w:val="2"/>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栏次</w:t>
            </w:r>
          </w:p>
        </w:tc>
        <w:tc>
          <w:tcPr>
            <w:tcW w:w="1969"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1</w:t>
            </w:r>
          </w:p>
        </w:tc>
        <w:tc>
          <w:tcPr>
            <w:tcW w:w="1499"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2</w:t>
            </w:r>
          </w:p>
        </w:tc>
        <w:tc>
          <w:tcPr>
            <w:tcW w:w="1512" w:type="dxa"/>
            <w:tcBorders>
              <w:left w:val="single" w:color="000000" w:sz="6" w:space="0"/>
              <w:bottom w:val="single" w:color="000000" w:sz="6" w:space="0"/>
              <w:right w:val="single" w:color="000000" w:sz="6" w:space="0"/>
            </w:tcBorders>
            <w:vAlign w:val="center"/>
          </w:tcPr>
          <w:p>
            <w:pPr>
              <w:pStyle w:val="22"/>
              <w:jc w:val="center"/>
              <w:rPr>
                <w:rFonts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298" w:hRule="exact"/>
        </w:trPr>
        <w:tc>
          <w:tcPr>
            <w:tcW w:w="5466" w:type="dxa"/>
            <w:gridSpan w:val="2"/>
            <w:tcBorders>
              <w:left w:val="single" w:color="000000" w:sz="6" w:space="0"/>
              <w:bottom w:val="single" w:color="000000" w:sz="6" w:space="0"/>
            </w:tcBorders>
            <w:vAlign w:val="center"/>
          </w:tcPr>
          <w:p>
            <w:pPr>
              <w:pStyle w:val="22"/>
              <w:jc w:val="center"/>
              <w:rPr>
                <w:rFonts w:ascii="仿宋" w:hAnsi="仿宋" w:eastAsia="仿宋" w:cs="仿宋"/>
                <w:sz w:val="20"/>
              </w:rPr>
            </w:pPr>
            <w:r>
              <w:rPr>
                <w:rFonts w:hint="eastAsia" w:ascii="仿宋" w:hAnsi="仿宋" w:eastAsia="仿宋" w:cs="仿宋"/>
              </w:rPr>
              <w:t>合计</w:t>
            </w:r>
          </w:p>
        </w:tc>
        <w:tc>
          <w:tcPr>
            <w:tcW w:w="1969" w:type="dxa"/>
            <w:tcBorders>
              <w:left w:val="single" w:color="000000" w:sz="6" w:space="0"/>
              <w:bottom w:val="single" w:color="000000" w:sz="6" w:space="0"/>
            </w:tcBorders>
            <w:vAlign w:val="center"/>
          </w:tcPr>
          <w:p>
            <w:pPr>
              <w:pStyle w:val="22"/>
              <w:jc w:val="right"/>
              <w:rPr>
                <w:rFonts w:ascii="仿宋" w:hAnsi="仿宋" w:eastAsia="仿宋" w:cs="仿宋"/>
              </w:rPr>
            </w:pPr>
            <w:r>
              <w:rPr>
                <w:rFonts w:hint="eastAsia" w:ascii="仿宋" w:hAnsi="仿宋" w:eastAsia="仿宋" w:cs="仿宋"/>
              </w:rPr>
              <w:t>466.87</w:t>
            </w:r>
          </w:p>
        </w:tc>
        <w:tc>
          <w:tcPr>
            <w:tcW w:w="1499" w:type="dxa"/>
            <w:tcBorders>
              <w:left w:val="single" w:color="000000" w:sz="6" w:space="0"/>
              <w:bottom w:val="single" w:color="000000" w:sz="6" w:space="0"/>
            </w:tcBorders>
            <w:vAlign w:val="center"/>
          </w:tcPr>
          <w:p>
            <w:pPr>
              <w:pStyle w:val="22"/>
              <w:jc w:val="right"/>
              <w:rPr>
                <w:rFonts w:ascii="仿宋" w:hAnsi="仿宋" w:eastAsia="仿宋" w:cs="仿宋"/>
              </w:rPr>
            </w:pPr>
            <w:r>
              <w:rPr>
                <w:rFonts w:hint="eastAsia" w:ascii="仿宋" w:hAnsi="仿宋" w:eastAsia="仿宋" w:cs="仿宋"/>
              </w:rPr>
              <w:t>466.87</w:t>
            </w:r>
          </w:p>
        </w:tc>
        <w:tc>
          <w:tcPr>
            <w:tcW w:w="1512" w:type="dxa"/>
            <w:tcBorders>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327.93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327.93</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民政管理事务</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96.06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96.06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2080299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其他民政管理事务支出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96.06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96.06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24.76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24.76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2080505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16.51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16.51</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2080506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机关事业单位职业年金缴费支出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8.25</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8.25</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其他社会保障和就业支出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207.11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207.11</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2089999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其他社会保障和就业支出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207.11</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207.11</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221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住房保障支出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138.94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138.94</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22102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住房改革支出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138.94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138.94</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2210201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住房公积金</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33.44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33.44</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2210202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提租补贴</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105.50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105.50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bl>
    <w:p>
      <w:pPr>
        <w:tabs>
          <w:tab w:val="left" w:pos="0"/>
        </w:tabs>
        <w:spacing w:before="25"/>
        <w:jc w:val="both"/>
        <w:rPr>
          <w:rFonts w:ascii="仿宋" w:hAnsi="仿宋" w:eastAsia="仿宋" w:cs="仿宋"/>
        </w:rPr>
      </w:pPr>
      <w:r>
        <w:rPr>
          <w:rFonts w:hint="eastAsia" w:ascii="仿宋" w:hAnsi="仿宋" w:eastAsia="仿宋" w:cs="仿宋"/>
        </w:rPr>
        <w:t>注：本表反映本年度一般公共预算财政拨款支出情况。本表金额单位转换时可能存在尾数误差。</w:t>
      </w:r>
    </w:p>
    <w:p>
      <w:pPr>
        <w:spacing w:before="25"/>
        <w:jc w:val="both"/>
        <w:rPr>
          <w:rFonts w:ascii="仿宋" w:hAnsi="仿宋" w:eastAsia="仿宋" w:cs="仿宋"/>
        </w:rPr>
        <w:sectPr>
          <w:footerReference r:id="rId17" w:type="default"/>
          <w:pgSz w:w="11906" w:h="16838"/>
          <w:pgMar w:top="720" w:right="720" w:bottom="720" w:left="720" w:header="170" w:footer="280" w:gutter="0"/>
          <w:pgNumType w:fmt="numberInDash"/>
          <w:cols w:space="720" w:num="1"/>
          <w:formProt w:val="0"/>
          <w:docGrid w:linePitch="100" w:charSpace="0"/>
        </w:sectPr>
      </w:pPr>
    </w:p>
    <w:tbl>
      <w:tblPr>
        <w:tblStyle w:val="13"/>
        <w:tblW w:w="10473" w:type="dxa"/>
        <w:tblInd w:w="65" w:type="dxa"/>
        <w:tblLayout w:type="fixed"/>
        <w:tblCellMar>
          <w:top w:w="55" w:type="dxa"/>
          <w:left w:w="55" w:type="dxa"/>
          <w:bottom w:w="55" w:type="dxa"/>
          <w:right w:w="55" w:type="dxa"/>
        </w:tblCellMar>
      </w:tblPr>
      <w:tblGrid>
        <w:gridCol w:w="1121"/>
        <w:gridCol w:w="3566"/>
        <w:gridCol w:w="2200"/>
        <w:gridCol w:w="1708"/>
        <w:gridCol w:w="1878"/>
      </w:tblGrid>
      <w:tr>
        <w:tblPrEx>
          <w:tblLayout w:type="fixed"/>
          <w:tblCellMar>
            <w:top w:w="55" w:type="dxa"/>
            <w:left w:w="55" w:type="dxa"/>
            <w:bottom w:w="55" w:type="dxa"/>
            <w:right w:w="55" w:type="dxa"/>
          </w:tblCellMar>
        </w:tblPrEx>
        <w:trPr>
          <w:trHeight w:val="319" w:hRule="atLeast"/>
        </w:trPr>
        <w:tc>
          <w:tcPr>
            <w:tcW w:w="10473" w:type="dxa"/>
            <w:gridSpan w:val="5"/>
          </w:tcPr>
          <w:p>
            <w:pPr>
              <w:pStyle w:val="22"/>
              <w:jc w:val="center"/>
              <w:rPr>
                <w:rFonts w:ascii="仿宋" w:hAnsi="仿宋" w:eastAsia="仿宋" w:cs="仿宋"/>
                <w:b/>
                <w:bCs/>
                <w:sz w:val="44"/>
                <w:szCs w:val="44"/>
              </w:rPr>
            </w:pPr>
            <w:r>
              <w:rPr>
                <w:rFonts w:hint="eastAsia"/>
                <w:b/>
                <w:bCs/>
                <w:color w:val="000000"/>
                <w:sz w:val="36"/>
                <w:szCs w:val="36"/>
                <w:lang w:eastAsia="ar-SA"/>
              </w:rPr>
              <w:t>一般公共预算基本支出决算表（经济科目）</w:t>
            </w:r>
          </w:p>
        </w:tc>
      </w:tr>
      <w:tr>
        <w:tblPrEx>
          <w:tblLayout w:type="fixed"/>
          <w:tblCellMar>
            <w:top w:w="55" w:type="dxa"/>
            <w:left w:w="55" w:type="dxa"/>
            <w:bottom w:w="55" w:type="dxa"/>
            <w:right w:w="55" w:type="dxa"/>
          </w:tblCellMar>
        </w:tblPrEx>
        <w:trPr>
          <w:trHeight w:val="199" w:hRule="atLeast"/>
        </w:trPr>
        <w:tc>
          <w:tcPr>
            <w:tcW w:w="8595" w:type="dxa"/>
            <w:gridSpan w:val="4"/>
            <w:vAlign w:val="center"/>
          </w:tcPr>
          <w:p>
            <w:pPr>
              <w:pStyle w:val="22"/>
              <w:jc w:val="right"/>
              <w:rPr>
                <w:rFonts w:ascii="仿宋" w:hAnsi="仿宋" w:eastAsia="仿宋" w:cs="仿宋"/>
                <w:color w:val="000000"/>
              </w:rPr>
            </w:pPr>
          </w:p>
        </w:tc>
        <w:tc>
          <w:tcPr>
            <w:tcW w:w="1878" w:type="dxa"/>
            <w:vAlign w:val="center"/>
          </w:tcPr>
          <w:p>
            <w:pPr>
              <w:pStyle w:val="22"/>
              <w:jc w:val="right"/>
              <w:rPr>
                <w:rFonts w:ascii="仿宋" w:hAnsi="仿宋" w:eastAsia="仿宋" w:cs="仿宋"/>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trHeight w:val="320" w:hRule="atLeast"/>
        </w:trPr>
        <w:tc>
          <w:tcPr>
            <w:tcW w:w="8595" w:type="dxa"/>
            <w:gridSpan w:val="4"/>
            <w:vAlign w:val="center"/>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江苏省民政干部学校</w:t>
            </w:r>
          </w:p>
        </w:tc>
        <w:tc>
          <w:tcPr>
            <w:tcW w:w="1878" w:type="dxa"/>
            <w:vAlign w:val="center"/>
          </w:tcPr>
          <w:p>
            <w:pPr>
              <w:pStyle w:val="22"/>
              <w:jc w:val="right"/>
              <w:rPr>
                <w:rFonts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80" w:hRule="atLeast"/>
        </w:trPr>
        <w:tc>
          <w:tcPr>
            <w:tcW w:w="4687"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786" w:type="dxa"/>
            <w:gridSpan w:val="3"/>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一般公共预算财政拨款基本支出</w:t>
            </w:r>
          </w:p>
        </w:tc>
      </w:tr>
      <w:tr>
        <w:tblPrEx>
          <w:tblLayout w:type="fixed"/>
          <w:tblCellMar>
            <w:top w:w="55" w:type="dxa"/>
            <w:left w:w="55" w:type="dxa"/>
            <w:bottom w:w="55" w:type="dxa"/>
            <w:right w:w="55" w:type="dxa"/>
          </w:tblCellMar>
        </w:tblPrEx>
        <w:trPr>
          <w:trHeight w:val="474" w:hRule="atLeast"/>
        </w:trPr>
        <w:tc>
          <w:tcPr>
            <w:tcW w:w="1121"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经济分类科目编码</w:t>
            </w:r>
          </w:p>
        </w:tc>
        <w:tc>
          <w:tcPr>
            <w:tcW w:w="3566"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20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1708"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人员经费</w:t>
            </w:r>
          </w:p>
        </w:tc>
        <w:tc>
          <w:tcPr>
            <w:tcW w:w="1878"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394" w:hRule="exact"/>
        </w:trPr>
        <w:tc>
          <w:tcPr>
            <w:tcW w:w="4687"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2200"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466.87</w:t>
            </w:r>
          </w:p>
        </w:tc>
        <w:tc>
          <w:tcPr>
            <w:tcW w:w="1708"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440.43</w:t>
            </w:r>
          </w:p>
        </w:tc>
        <w:tc>
          <w:tcPr>
            <w:tcW w:w="1878"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26.44</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335.05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335.05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基本工资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52.01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52.01</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津贴补贴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10.74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10.74</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奖金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伙食补助费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绩效工资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138.44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138.44</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18.87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18.87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职业年金缴费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9.43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9.43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职工基本医疗保险缴费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公务员医疗补助缴费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其他社会保障缴费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住房公积金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94.60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94.60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医疗费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9.75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9.75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26.44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26.44</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11.97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11.97</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印刷费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1.59</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咨询费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手续费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0.02</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邮电费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0.86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0.86</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取暖费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物业管理费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差旅费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1.53</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因公出国（境）费用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维修（护）费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租赁费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会议费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培训费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公务接待费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专用材料费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被装购置费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专用燃料费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劳务费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委托业务费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工会经费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5.52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5.52</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福利费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公务用车运行维护费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0.23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0.23</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30240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税金及附加费用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4.73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4.73</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105.38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105.38</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离休费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退休费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104.76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104.76</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退职（役）费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抚恤金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生活补助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0.62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0.62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救济费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医疗费补助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助学金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奖励金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个人农业生产补贴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代缴社会保险费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债务利息及费用支出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国内债务付息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国外债务付息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国内债务发行费用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国外债务发行费用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房屋建筑物购建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基础设施建设</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大型修缮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信息网络及软件购置更新</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物资储备</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土地补偿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安置补助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地上附着物和青苗补偿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拆迁补偿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其他交通工具购置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文物和陈列品购置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无形资产购置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资本金注入</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政府投资基金股权投资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费用补贴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利息补贴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国家赔偿费用支出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对民间非营利组织和群众性自治组织补贴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bl>
    <w:p>
      <w:pPr>
        <w:spacing w:before="25"/>
        <w:ind w:right="-92" w:rightChars="-42"/>
        <w:jc w:val="both"/>
        <w:rPr>
          <w:rFonts w:ascii="仿宋" w:hAnsi="仿宋" w:eastAsia="仿宋" w:cs="仿宋"/>
        </w:rPr>
      </w:pPr>
      <w:r>
        <w:rPr>
          <w:rFonts w:hint="eastAsia" w:ascii="仿宋" w:hAnsi="仿宋" w:eastAsia="仿宋" w:cs="仿宋"/>
        </w:rPr>
        <w:t>注：本表反映本年度一般公共预算财政拨款基本支出情况。本表金额单位转换时可能存在尾数误差。</w:t>
      </w:r>
    </w:p>
    <w:p>
      <w:pPr>
        <w:spacing w:before="25"/>
        <w:jc w:val="both"/>
        <w:rPr>
          <w:rFonts w:ascii="仿宋" w:hAnsi="仿宋" w:eastAsia="仿宋" w:cs="仿宋"/>
        </w:rPr>
        <w:sectPr>
          <w:footerReference r:id="rId18" w:type="default"/>
          <w:pgSz w:w="11906" w:h="16838"/>
          <w:pgMar w:top="720" w:right="720" w:bottom="720" w:left="720" w:header="170" w:footer="280" w:gutter="0"/>
          <w:pgNumType w:fmt="numberInDash"/>
          <w:cols w:space="720" w:num="1"/>
          <w:formProt w:val="0"/>
          <w:docGrid w:linePitch="100" w:charSpace="0"/>
        </w:sectPr>
      </w:pPr>
    </w:p>
    <w:tbl>
      <w:tblPr>
        <w:tblStyle w:val="13"/>
        <w:tblW w:w="16486" w:type="dxa"/>
        <w:tblInd w:w="62" w:type="dxa"/>
        <w:tblLayout w:type="fixed"/>
        <w:tblCellMar>
          <w:top w:w="55" w:type="dxa"/>
          <w:left w:w="55" w:type="dxa"/>
          <w:bottom w:w="55" w:type="dxa"/>
          <w:right w:w="55" w:type="dxa"/>
        </w:tblCellMar>
      </w:tblPr>
      <w:tblGrid>
        <w:gridCol w:w="1044"/>
        <w:gridCol w:w="1042"/>
        <w:gridCol w:w="1020"/>
        <w:gridCol w:w="1029"/>
        <w:gridCol w:w="998"/>
        <w:gridCol w:w="1026"/>
        <w:gridCol w:w="1043"/>
        <w:gridCol w:w="1010"/>
        <w:gridCol w:w="1058"/>
        <w:gridCol w:w="1010"/>
        <w:gridCol w:w="948"/>
        <w:gridCol w:w="1089"/>
        <w:gridCol w:w="1042"/>
        <w:gridCol w:w="1043"/>
        <w:gridCol w:w="1057"/>
        <w:gridCol w:w="1027"/>
      </w:tblGrid>
      <w:tr>
        <w:tblPrEx>
          <w:tblLayout w:type="fixed"/>
          <w:tblCellMar>
            <w:top w:w="55" w:type="dxa"/>
            <w:left w:w="55" w:type="dxa"/>
            <w:bottom w:w="55" w:type="dxa"/>
            <w:right w:w="55" w:type="dxa"/>
          </w:tblCellMar>
        </w:tblPrEx>
        <w:trPr>
          <w:trHeight w:val="321" w:hRule="atLeast"/>
        </w:trPr>
        <w:tc>
          <w:tcPr>
            <w:tcW w:w="16486" w:type="dxa"/>
            <w:gridSpan w:val="16"/>
          </w:tcPr>
          <w:p>
            <w:pPr>
              <w:pStyle w:val="22"/>
              <w:jc w:val="center"/>
              <w:rPr>
                <w:rFonts w:ascii="仿宋" w:hAnsi="仿宋" w:eastAsia="仿宋" w:cs="仿宋"/>
                <w:b/>
                <w:bCs/>
                <w:sz w:val="44"/>
                <w:szCs w:val="44"/>
              </w:rPr>
            </w:pPr>
            <w:r>
              <w:rPr>
                <w:rFonts w:hint="eastAsia"/>
                <w:b/>
                <w:bCs/>
                <w:color w:val="000000"/>
                <w:sz w:val="36"/>
                <w:szCs w:val="36"/>
                <w:lang w:eastAsia="ar-SA"/>
              </w:rPr>
              <w:t>一般公共预算“三公”经费、会议费、培训费支出决算表</w:t>
            </w:r>
          </w:p>
        </w:tc>
      </w:tr>
      <w:tr>
        <w:tblPrEx>
          <w:tblLayout w:type="fixed"/>
          <w:tblCellMar>
            <w:top w:w="55" w:type="dxa"/>
            <w:left w:w="55" w:type="dxa"/>
            <w:bottom w:w="55" w:type="dxa"/>
            <w:right w:w="55" w:type="dxa"/>
          </w:tblCellMar>
        </w:tblPrEx>
        <w:trPr>
          <w:trHeight w:val="207" w:hRule="atLeast"/>
        </w:trPr>
        <w:tc>
          <w:tcPr>
            <w:tcW w:w="16486" w:type="dxa"/>
            <w:gridSpan w:val="16"/>
          </w:tcPr>
          <w:p>
            <w:pPr>
              <w:pStyle w:val="22"/>
              <w:jc w:val="right"/>
              <w:rPr>
                <w:rFonts w:ascii="仿宋" w:hAnsi="仿宋" w:eastAsia="仿宋" w:cs="仿宋"/>
                <w:sz w:val="20"/>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trHeight w:val="103" w:hRule="atLeast"/>
        </w:trPr>
        <w:tc>
          <w:tcPr>
            <w:tcW w:w="8212" w:type="dxa"/>
            <w:gridSpan w:val="8"/>
            <w:tcBorders>
              <w:bottom w:val="single" w:color="auto" w:sz="4" w:space="0"/>
            </w:tcBorders>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江苏省民政干部学校</w:t>
            </w:r>
          </w:p>
        </w:tc>
        <w:tc>
          <w:tcPr>
            <w:tcW w:w="8274" w:type="dxa"/>
            <w:gridSpan w:val="8"/>
            <w:tcBorders>
              <w:bottom w:val="single" w:color="auto" w:sz="4" w:space="0"/>
            </w:tcBorders>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71" w:hRule="atLeast"/>
        </w:trPr>
        <w:tc>
          <w:tcPr>
            <w:tcW w:w="8212" w:type="dxa"/>
            <w:gridSpan w:val="8"/>
            <w:tcBorders>
              <w:top w:val="single" w:color="auto" w:sz="4" w:space="0"/>
              <w:left w:val="single" w:color="auto" w:sz="4" w:space="0"/>
              <w:bottom w:val="single" w:color="auto" w:sz="4" w:space="0"/>
              <w:right w:val="single" w:color="auto" w:sz="4" w:space="0"/>
            </w:tcBorders>
          </w:tcPr>
          <w:p>
            <w:pPr>
              <w:pStyle w:val="22"/>
              <w:jc w:val="center"/>
              <w:rPr>
                <w:rFonts w:ascii="仿宋" w:hAnsi="仿宋" w:eastAsia="仿宋" w:cs="仿宋"/>
              </w:rPr>
            </w:pPr>
            <w:r>
              <w:rPr>
                <w:rFonts w:hint="eastAsia" w:ascii="仿宋" w:hAnsi="仿宋" w:eastAsia="仿宋" w:cs="仿宋"/>
                <w:lang w:val="en-US"/>
              </w:rPr>
              <w:t>预算数</w:t>
            </w:r>
          </w:p>
        </w:tc>
        <w:tc>
          <w:tcPr>
            <w:tcW w:w="8274" w:type="dxa"/>
            <w:gridSpan w:val="8"/>
            <w:tcBorders>
              <w:top w:val="single" w:color="auto" w:sz="4" w:space="0"/>
              <w:left w:val="single" w:color="auto" w:sz="4" w:space="0"/>
              <w:bottom w:val="single" w:color="auto" w:sz="4" w:space="0"/>
              <w:right w:val="single" w:color="auto" w:sz="4" w:space="0"/>
            </w:tcBorders>
          </w:tcPr>
          <w:p>
            <w:pPr>
              <w:pStyle w:val="22"/>
              <w:jc w:val="center"/>
              <w:rPr>
                <w:rFonts w:ascii="仿宋" w:hAnsi="仿宋" w:eastAsia="仿宋" w:cs="仿宋"/>
                <w:lang w:val="en-US"/>
              </w:rPr>
            </w:pPr>
            <w:r>
              <w:rPr>
                <w:rFonts w:hint="eastAsia" w:ascii="仿宋" w:hAnsi="仿宋" w:eastAsia="仿宋" w:cs="仿宋"/>
                <w:lang w:val="en-US"/>
              </w:rPr>
              <w:t>决算数</w:t>
            </w:r>
          </w:p>
        </w:tc>
      </w:tr>
      <w:tr>
        <w:tblPrEx>
          <w:tblLayout w:type="fixed"/>
          <w:tblCellMar>
            <w:top w:w="55" w:type="dxa"/>
            <w:left w:w="55" w:type="dxa"/>
            <w:bottom w:w="55" w:type="dxa"/>
            <w:right w:w="55" w:type="dxa"/>
          </w:tblCellMar>
        </w:tblPrEx>
        <w:trPr>
          <w:trHeight w:val="179" w:hRule="atLeast"/>
        </w:trPr>
        <w:tc>
          <w:tcPr>
            <w:tcW w:w="6159" w:type="dxa"/>
            <w:gridSpan w:val="6"/>
            <w:tcBorders>
              <w:top w:val="single" w:color="auto"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“三公”经费</w:t>
            </w:r>
          </w:p>
        </w:tc>
        <w:tc>
          <w:tcPr>
            <w:tcW w:w="1043" w:type="dxa"/>
            <w:vMerge w:val="restart"/>
            <w:tcBorders>
              <w:top w:val="single" w:color="auto"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会议费</w:t>
            </w:r>
          </w:p>
        </w:tc>
        <w:tc>
          <w:tcPr>
            <w:tcW w:w="1010" w:type="dxa"/>
            <w:vMerge w:val="restart"/>
            <w:tcBorders>
              <w:top w:val="single" w:color="auto" w:sz="4" w:space="0"/>
              <w:left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培训费</w:t>
            </w:r>
          </w:p>
        </w:tc>
        <w:tc>
          <w:tcPr>
            <w:tcW w:w="6190" w:type="dxa"/>
            <w:gridSpan w:val="6"/>
            <w:tcBorders>
              <w:top w:val="single" w:color="auto"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“三公”经费</w:t>
            </w:r>
          </w:p>
        </w:tc>
        <w:tc>
          <w:tcPr>
            <w:tcW w:w="1057" w:type="dxa"/>
            <w:vMerge w:val="restart"/>
            <w:tcBorders>
              <w:top w:val="single" w:color="auto" w:sz="4" w:space="0"/>
              <w:left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会议费</w:t>
            </w:r>
          </w:p>
        </w:tc>
        <w:tc>
          <w:tcPr>
            <w:tcW w:w="1027" w:type="dxa"/>
            <w:vMerge w:val="restart"/>
            <w:tcBorders>
              <w:top w:val="single" w:color="auto" w:sz="4" w:space="0"/>
              <w:left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trHeight w:val="297" w:hRule="atLeast"/>
        </w:trPr>
        <w:tc>
          <w:tcPr>
            <w:tcW w:w="1044"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“三公”经费合计</w:t>
            </w:r>
          </w:p>
        </w:tc>
        <w:tc>
          <w:tcPr>
            <w:tcW w:w="1042"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因公出国（境）费</w:t>
            </w:r>
          </w:p>
        </w:tc>
        <w:tc>
          <w:tcPr>
            <w:tcW w:w="3047" w:type="dxa"/>
            <w:gridSpan w:val="3"/>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公务用车购置及运行费</w:t>
            </w:r>
          </w:p>
        </w:tc>
        <w:tc>
          <w:tcPr>
            <w:tcW w:w="1026"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w:t>
            </w:r>
          </w:p>
          <w:p>
            <w:pPr>
              <w:pStyle w:val="22"/>
              <w:jc w:val="center"/>
              <w:rPr>
                <w:rFonts w:ascii="仿宋" w:hAnsi="仿宋" w:eastAsia="仿宋" w:cs="仿宋"/>
              </w:rPr>
            </w:pPr>
            <w:r>
              <w:rPr>
                <w:rFonts w:hint="eastAsia" w:ascii="仿宋" w:hAnsi="仿宋" w:eastAsia="仿宋" w:cs="仿宋"/>
              </w:rPr>
              <w:t>接待费</w:t>
            </w:r>
          </w:p>
        </w:tc>
        <w:tc>
          <w:tcPr>
            <w:tcW w:w="1043" w:type="dxa"/>
            <w:vMerge w:val="continue"/>
            <w:tcBorders>
              <w:left w:val="single" w:color="000000" w:sz="4" w:space="0"/>
              <w:bottom w:val="single" w:color="000000" w:sz="4" w:space="0"/>
            </w:tcBorders>
            <w:vAlign w:val="center"/>
          </w:tcPr>
          <w:p>
            <w:pPr>
              <w:jc w:val="center"/>
              <w:rPr>
                <w:rFonts w:ascii="仿宋" w:hAnsi="仿宋" w:eastAsia="仿宋" w:cs="仿宋"/>
                <w:sz w:val="20"/>
              </w:rPr>
            </w:pPr>
          </w:p>
        </w:tc>
        <w:tc>
          <w:tcPr>
            <w:tcW w:w="1010" w:type="dxa"/>
            <w:vMerge w:val="continue"/>
            <w:tcBorders>
              <w:left w:val="single" w:color="000000" w:sz="4" w:space="0"/>
              <w:right w:val="single" w:color="000000" w:sz="4" w:space="0"/>
            </w:tcBorders>
            <w:vAlign w:val="center"/>
          </w:tcPr>
          <w:p>
            <w:pPr>
              <w:jc w:val="center"/>
              <w:rPr>
                <w:rFonts w:ascii="仿宋" w:hAnsi="仿宋" w:eastAsia="仿宋" w:cs="仿宋"/>
                <w:sz w:val="20"/>
              </w:rPr>
            </w:pPr>
          </w:p>
        </w:tc>
        <w:tc>
          <w:tcPr>
            <w:tcW w:w="1058" w:type="dxa"/>
            <w:vMerge w:val="restart"/>
            <w:tcBorders>
              <w:left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“三公”经费合计</w:t>
            </w:r>
          </w:p>
        </w:tc>
        <w:tc>
          <w:tcPr>
            <w:tcW w:w="1010" w:type="dxa"/>
            <w:vMerge w:val="restart"/>
            <w:tcBorders>
              <w:left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因公出国（境）费</w:t>
            </w:r>
          </w:p>
        </w:tc>
        <w:tc>
          <w:tcPr>
            <w:tcW w:w="3079" w:type="dxa"/>
            <w:gridSpan w:val="3"/>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公务用车购置及运行费</w:t>
            </w:r>
          </w:p>
        </w:tc>
        <w:tc>
          <w:tcPr>
            <w:tcW w:w="1043" w:type="dxa"/>
            <w:vMerge w:val="restart"/>
            <w:tcBorders>
              <w:left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w:t>
            </w:r>
          </w:p>
          <w:p>
            <w:pPr>
              <w:pStyle w:val="22"/>
              <w:jc w:val="center"/>
              <w:rPr>
                <w:rFonts w:ascii="仿宋" w:hAnsi="仿宋" w:eastAsia="仿宋" w:cs="仿宋"/>
                <w:sz w:val="20"/>
              </w:rPr>
            </w:pPr>
            <w:r>
              <w:rPr>
                <w:rFonts w:hint="eastAsia" w:ascii="仿宋" w:hAnsi="仿宋" w:eastAsia="仿宋" w:cs="仿宋"/>
              </w:rPr>
              <w:t>接待费</w:t>
            </w:r>
          </w:p>
        </w:tc>
        <w:tc>
          <w:tcPr>
            <w:tcW w:w="1057" w:type="dxa"/>
            <w:vMerge w:val="continue"/>
            <w:tcBorders>
              <w:left w:val="single" w:color="000000" w:sz="4" w:space="0"/>
              <w:right w:val="single" w:color="000000" w:sz="4" w:space="0"/>
            </w:tcBorders>
            <w:vAlign w:val="center"/>
          </w:tcPr>
          <w:p>
            <w:pPr>
              <w:jc w:val="center"/>
              <w:rPr>
                <w:rFonts w:ascii="仿宋" w:hAnsi="仿宋" w:eastAsia="仿宋" w:cs="仿宋"/>
                <w:sz w:val="20"/>
              </w:rPr>
            </w:pPr>
          </w:p>
        </w:tc>
        <w:tc>
          <w:tcPr>
            <w:tcW w:w="1027" w:type="dxa"/>
            <w:vMerge w:val="continue"/>
            <w:tcBorders>
              <w:left w:val="single" w:color="000000" w:sz="4" w:space="0"/>
              <w:right w:val="single" w:color="000000" w:sz="4" w:space="0"/>
            </w:tcBorders>
            <w:vAlign w:val="center"/>
          </w:tcPr>
          <w:p>
            <w:pPr>
              <w:jc w:val="center"/>
              <w:rPr>
                <w:rFonts w:ascii="仿宋" w:hAnsi="仿宋" w:eastAsia="仿宋" w:cs="仿宋"/>
                <w:sz w:val="20"/>
              </w:rPr>
            </w:pPr>
          </w:p>
        </w:tc>
      </w:tr>
      <w:tr>
        <w:tblPrEx>
          <w:tblLayout w:type="fixed"/>
          <w:tblCellMar>
            <w:top w:w="55" w:type="dxa"/>
            <w:left w:w="55" w:type="dxa"/>
            <w:bottom w:w="55" w:type="dxa"/>
            <w:right w:w="55" w:type="dxa"/>
          </w:tblCellMar>
        </w:tblPrEx>
        <w:trPr>
          <w:trHeight w:val="621" w:hRule="exact"/>
        </w:trPr>
        <w:tc>
          <w:tcPr>
            <w:tcW w:w="1044" w:type="dxa"/>
            <w:vMerge w:val="continue"/>
            <w:tcBorders>
              <w:left w:val="single" w:color="000000" w:sz="4" w:space="0"/>
              <w:bottom w:val="single" w:color="000000" w:sz="4" w:space="0"/>
            </w:tcBorders>
          </w:tcPr>
          <w:p>
            <w:pPr>
              <w:rPr>
                <w:rFonts w:ascii="仿宋" w:hAnsi="仿宋" w:eastAsia="仿宋" w:cs="仿宋"/>
                <w:sz w:val="2"/>
                <w:szCs w:val="2"/>
              </w:rPr>
            </w:pPr>
          </w:p>
        </w:tc>
        <w:tc>
          <w:tcPr>
            <w:tcW w:w="1042" w:type="dxa"/>
            <w:vMerge w:val="continue"/>
            <w:tcBorders>
              <w:left w:val="single" w:color="000000" w:sz="4" w:space="0"/>
              <w:bottom w:val="single" w:color="000000" w:sz="4" w:space="0"/>
            </w:tcBorders>
          </w:tcPr>
          <w:p>
            <w:pPr>
              <w:rPr>
                <w:rFonts w:ascii="仿宋" w:hAnsi="仿宋" w:eastAsia="仿宋" w:cs="仿宋"/>
                <w:sz w:val="2"/>
                <w:szCs w:val="2"/>
              </w:rPr>
            </w:pPr>
          </w:p>
        </w:tc>
        <w:tc>
          <w:tcPr>
            <w:tcW w:w="1020" w:type="dxa"/>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小计</w:t>
            </w:r>
          </w:p>
        </w:tc>
        <w:tc>
          <w:tcPr>
            <w:tcW w:w="1029"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公务用车购置费</w:t>
            </w:r>
          </w:p>
        </w:tc>
        <w:tc>
          <w:tcPr>
            <w:tcW w:w="998"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公务用车运行费</w:t>
            </w:r>
          </w:p>
        </w:tc>
        <w:tc>
          <w:tcPr>
            <w:tcW w:w="1026" w:type="dxa"/>
            <w:vMerge w:val="continue"/>
            <w:tcBorders>
              <w:left w:val="single" w:color="000000" w:sz="4" w:space="0"/>
              <w:bottom w:val="single" w:color="000000" w:sz="4" w:space="0"/>
            </w:tcBorders>
          </w:tcPr>
          <w:p>
            <w:pPr>
              <w:rPr>
                <w:rFonts w:ascii="仿宋" w:hAnsi="仿宋" w:eastAsia="仿宋" w:cs="仿宋"/>
                <w:sz w:val="2"/>
                <w:szCs w:val="2"/>
              </w:rPr>
            </w:pPr>
          </w:p>
        </w:tc>
        <w:tc>
          <w:tcPr>
            <w:tcW w:w="1043" w:type="dxa"/>
            <w:vMerge w:val="continue"/>
            <w:tcBorders>
              <w:left w:val="single" w:color="000000" w:sz="4" w:space="0"/>
              <w:bottom w:val="single" w:color="000000" w:sz="4" w:space="0"/>
            </w:tcBorders>
          </w:tcPr>
          <w:p>
            <w:pPr>
              <w:rPr>
                <w:rFonts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1058"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948"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
                <w:szCs w:val="2"/>
              </w:rPr>
            </w:pPr>
            <w:r>
              <w:rPr>
                <w:rFonts w:ascii="仿宋" w:hAnsi="仿宋" w:eastAsia="仿宋" w:cs="仿宋"/>
              </w:rPr>
              <w:t>小计</w:t>
            </w:r>
          </w:p>
        </w:tc>
        <w:tc>
          <w:tcPr>
            <w:tcW w:w="1089"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
                <w:szCs w:val="2"/>
              </w:rPr>
            </w:pPr>
            <w:r>
              <w:rPr>
                <w:rFonts w:hint="eastAsia" w:ascii="仿宋" w:hAnsi="仿宋" w:eastAsia="仿宋" w:cs="仿宋"/>
              </w:rPr>
              <w:t>公务用车购置费</w:t>
            </w:r>
          </w:p>
        </w:tc>
        <w:tc>
          <w:tcPr>
            <w:tcW w:w="1042"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
                <w:szCs w:val="2"/>
              </w:rPr>
            </w:pPr>
            <w:r>
              <w:rPr>
                <w:rFonts w:hint="eastAsia" w:ascii="仿宋" w:hAnsi="仿宋" w:eastAsia="仿宋" w:cs="仿宋"/>
              </w:rPr>
              <w:t>公务用车运行费</w:t>
            </w:r>
          </w:p>
        </w:tc>
        <w:tc>
          <w:tcPr>
            <w:tcW w:w="1043"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1057"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1027"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r>
      <w:tr>
        <w:tblPrEx>
          <w:tblLayout w:type="fixed"/>
          <w:tblCellMar>
            <w:top w:w="55" w:type="dxa"/>
            <w:left w:w="55" w:type="dxa"/>
            <w:bottom w:w="55" w:type="dxa"/>
            <w:right w:w="55" w:type="dxa"/>
          </w:tblCellMar>
        </w:tblPrEx>
        <w:trPr>
          <w:cantSplit/>
          <w:trHeight w:val="380" w:hRule="atLeast"/>
        </w:trPr>
        <w:tc>
          <w:tcPr>
            <w:tcW w:w="1044"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1.00</w:t>
            </w:r>
          </w:p>
        </w:tc>
        <w:tc>
          <w:tcPr>
            <w:tcW w:w="1042"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20"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1.00</w:t>
            </w:r>
          </w:p>
        </w:tc>
        <w:tc>
          <w:tcPr>
            <w:tcW w:w="1029"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998"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1.00</w:t>
            </w:r>
          </w:p>
        </w:tc>
        <w:tc>
          <w:tcPr>
            <w:tcW w:w="1026"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43"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1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58"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0.23</w:t>
            </w:r>
          </w:p>
        </w:tc>
        <w:tc>
          <w:tcPr>
            <w:tcW w:w="101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948"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0.23</w:t>
            </w:r>
          </w:p>
        </w:tc>
        <w:tc>
          <w:tcPr>
            <w:tcW w:w="1089"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0.23</w:t>
            </w:r>
          </w:p>
        </w:tc>
        <w:tc>
          <w:tcPr>
            <w:tcW w:w="1043"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57"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27"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r>
    </w:tbl>
    <w:p>
      <w:pPr>
        <w:spacing w:before="30" w:after="33"/>
        <w:ind w:left="220" w:leftChars="100"/>
        <w:rPr>
          <w:rFonts w:ascii="仿宋" w:hAnsi="仿宋" w:eastAsia="仿宋" w:cs="仿宋"/>
        </w:rPr>
      </w:pPr>
      <w:r>
        <w:rPr>
          <w:rFonts w:hint="eastAsia" w:ascii="仿宋" w:hAnsi="仿宋" w:eastAsia="仿宋" w:cs="仿宋"/>
        </w:rPr>
        <w:t>相关统计数：</w:t>
      </w:r>
    </w:p>
    <w:tbl>
      <w:tblPr>
        <w:tblStyle w:val="13"/>
        <w:tblW w:w="11798" w:type="dxa"/>
        <w:tblInd w:w="62" w:type="dxa"/>
        <w:tblLayout w:type="fixed"/>
        <w:tblCellMar>
          <w:top w:w="55" w:type="dxa"/>
          <w:left w:w="55" w:type="dxa"/>
          <w:bottom w:w="55" w:type="dxa"/>
          <w:right w:w="55" w:type="dxa"/>
        </w:tblCellMar>
      </w:tblPr>
      <w:tblGrid>
        <w:gridCol w:w="4028"/>
        <w:gridCol w:w="1976"/>
        <w:gridCol w:w="3908"/>
        <w:gridCol w:w="1886"/>
      </w:tblGrid>
      <w:tr>
        <w:tblPrEx>
          <w:tblLayout w:type="fixed"/>
          <w:tblCellMar>
            <w:top w:w="55" w:type="dxa"/>
            <w:left w:w="55" w:type="dxa"/>
            <w:bottom w:w="55" w:type="dxa"/>
            <w:right w:w="55" w:type="dxa"/>
          </w:tblCellMar>
        </w:tblPrEx>
        <w:trPr>
          <w:cantSplit/>
          <w:trHeight w:val="214"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ascii="仿宋" w:hAnsi="仿宋" w:eastAsia="仿宋" w:cs="仿宋"/>
              </w:rPr>
              <w:t>项目</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统计数</w:t>
            </w: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r>
              <w:rPr>
                <w:rFonts w:hint="eastAsia" w:ascii="仿宋" w:hAnsi="仿宋" w:eastAsia="仿宋" w:cs="仿宋"/>
              </w:rPr>
              <w:t>统计数</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r>
              <w:rPr>
                <w:rFonts w:hint="eastAsia" w:ascii="仿宋" w:hAnsi="仿宋" w:eastAsia="仿宋" w:cs="仿宋"/>
              </w:rPr>
              <w:t>1</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r>
    </w:tbl>
    <w:p>
      <w:pPr>
        <w:ind w:right="-2"/>
        <w:jc w:val="both"/>
        <w:rPr>
          <w:rFonts w:ascii="仿宋" w:hAnsi="仿宋" w:eastAsia="仿宋" w:cs="仿宋"/>
        </w:rPr>
      </w:pPr>
      <w:r>
        <w:rPr>
          <w:rFonts w:hint="eastAsia" w:ascii="仿宋" w:hAnsi="仿宋" w:eastAsia="仿宋" w:cs="仿宋"/>
        </w:rPr>
        <w:t>注：</w:t>
      </w:r>
      <w:r>
        <w:rPr>
          <w:rFonts w:hint="eastAsia" w:ascii="仿宋" w:hAnsi="仿宋" w:eastAsia="仿宋" w:cs="仿宋"/>
          <w:lang w:val="en-US"/>
        </w:rPr>
        <w:t>本表反映本年度一般公共预算“三公”经费、会议费和培训费支出情况。其中，预算数为全年预算数，反映按规定程序调整后的预算数；决算数是包括当年一般公共预算财政拨款和以前年度结转资金安排的实际支出。本表金额单位转换时可能存在尾数误差</w:t>
      </w:r>
      <w:r>
        <w:rPr>
          <w:rFonts w:hint="eastAsia" w:ascii="仿宋" w:hAnsi="仿宋" w:eastAsia="仿宋" w:cs="仿宋"/>
        </w:rPr>
        <w:t>。</w:t>
      </w:r>
    </w:p>
    <w:p>
      <w:pPr>
        <w:ind w:left="227" w:firstLine="220" w:firstLineChars="100"/>
        <w:jc w:val="both"/>
        <w:rPr>
          <w:rFonts w:ascii="仿宋" w:hAnsi="仿宋" w:eastAsia="仿宋" w:cs="仿宋"/>
        </w:rPr>
        <w:sectPr>
          <w:footerReference r:id="rId19" w:type="default"/>
          <w:pgSz w:w="16838" w:h="11906" w:orient="landscape"/>
          <w:pgMar w:top="720" w:right="153" w:bottom="720" w:left="153" w:header="170" w:footer="280" w:gutter="0"/>
          <w:pgNumType w:fmt="numberInDash"/>
          <w:cols w:space="720" w:num="1"/>
          <w:formProt w:val="0"/>
          <w:docGrid w:linePitch="100" w:charSpace="0"/>
        </w:sectPr>
      </w:pPr>
    </w:p>
    <w:tbl>
      <w:tblPr>
        <w:tblStyle w:val="13"/>
        <w:tblW w:w="15400" w:type="dxa"/>
        <w:tblInd w:w="62" w:type="dxa"/>
        <w:tblLayout w:type="fixed"/>
        <w:tblCellMar>
          <w:top w:w="55" w:type="dxa"/>
          <w:left w:w="55" w:type="dxa"/>
          <w:bottom w:w="55" w:type="dxa"/>
          <w:right w:w="55" w:type="dxa"/>
        </w:tblCellMar>
      </w:tblPr>
      <w:tblGrid>
        <w:gridCol w:w="1431"/>
        <w:gridCol w:w="6995"/>
        <w:gridCol w:w="2684"/>
        <w:gridCol w:w="2432"/>
        <w:gridCol w:w="1858"/>
      </w:tblGrid>
      <w:tr>
        <w:tblPrEx>
          <w:tblLayout w:type="fixed"/>
          <w:tblCellMar>
            <w:top w:w="55" w:type="dxa"/>
            <w:left w:w="55" w:type="dxa"/>
            <w:bottom w:w="55" w:type="dxa"/>
            <w:right w:w="55" w:type="dxa"/>
          </w:tblCellMar>
        </w:tblPrEx>
        <w:trPr>
          <w:trHeight w:val="395" w:hRule="atLeast"/>
        </w:trPr>
        <w:tc>
          <w:tcPr>
            <w:tcW w:w="15400"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政府性基金预算支出决算表</w:t>
            </w:r>
          </w:p>
        </w:tc>
      </w:tr>
      <w:tr>
        <w:tblPrEx>
          <w:tblLayout w:type="fixed"/>
          <w:tblCellMar>
            <w:top w:w="55" w:type="dxa"/>
            <w:left w:w="55" w:type="dxa"/>
            <w:bottom w:w="55" w:type="dxa"/>
            <w:right w:w="55" w:type="dxa"/>
          </w:tblCellMar>
        </w:tblPrEx>
        <w:trPr>
          <w:trHeight w:val="323" w:hRule="atLeast"/>
        </w:trPr>
        <w:tc>
          <w:tcPr>
            <w:tcW w:w="8426" w:type="dxa"/>
            <w:gridSpan w:val="2"/>
          </w:tcPr>
          <w:p>
            <w:pPr>
              <w:pStyle w:val="22"/>
              <w:rPr>
                <w:rFonts w:ascii="仿宋" w:hAnsi="仿宋" w:eastAsia="仿宋" w:cs="仿宋"/>
                <w:sz w:val="20"/>
              </w:rPr>
            </w:pPr>
          </w:p>
        </w:tc>
        <w:tc>
          <w:tcPr>
            <w:tcW w:w="2684" w:type="dxa"/>
          </w:tcPr>
          <w:p>
            <w:pPr>
              <w:pStyle w:val="22"/>
              <w:rPr>
                <w:rFonts w:ascii="仿宋" w:hAnsi="仿宋" w:eastAsia="仿宋" w:cs="仿宋"/>
                <w:sz w:val="27"/>
              </w:rPr>
            </w:pPr>
          </w:p>
        </w:tc>
        <w:tc>
          <w:tcPr>
            <w:tcW w:w="2432" w:type="dxa"/>
          </w:tcPr>
          <w:p>
            <w:pPr>
              <w:pStyle w:val="22"/>
              <w:rPr>
                <w:rFonts w:ascii="仿宋" w:hAnsi="仿宋" w:eastAsia="仿宋" w:cs="仿宋"/>
                <w:sz w:val="20"/>
              </w:rPr>
            </w:pPr>
          </w:p>
        </w:tc>
        <w:tc>
          <w:tcPr>
            <w:tcW w:w="1858" w:type="dxa"/>
            <w:vAlign w:val="center"/>
          </w:tcPr>
          <w:p>
            <w:pPr>
              <w:pStyle w:val="22"/>
              <w:jc w:val="right"/>
              <w:rPr>
                <w:rFonts w:ascii="仿宋" w:hAnsi="仿宋" w:eastAsia="仿宋" w:cs="仿宋"/>
                <w:sz w:val="27"/>
              </w:rPr>
            </w:pPr>
            <w:r>
              <w:rPr>
                <w:rFonts w:hint="eastAsia" w:ascii="仿宋" w:hAnsi="仿宋" w:eastAsia="仿宋" w:cs="仿宋"/>
              </w:rPr>
              <w:t>公开10表</w:t>
            </w:r>
          </w:p>
        </w:tc>
      </w:tr>
      <w:tr>
        <w:tblPrEx>
          <w:tblLayout w:type="fixed"/>
          <w:tblCellMar>
            <w:top w:w="55" w:type="dxa"/>
            <w:left w:w="55" w:type="dxa"/>
            <w:bottom w:w="55" w:type="dxa"/>
            <w:right w:w="55" w:type="dxa"/>
          </w:tblCellMar>
        </w:tblPrEx>
        <w:trPr>
          <w:trHeight w:val="152" w:hRule="atLeast"/>
        </w:trPr>
        <w:tc>
          <w:tcPr>
            <w:tcW w:w="13542" w:type="dxa"/>
            <w:gridSpan w:val="4"/>
            <w:vAlign w:val="center"/>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江苏省民政干部学校</w:t>
            </w:r>
          </w:p>
        </w:tc>
        <w:tc>
          <w:tcPr>
            <w:tcW w:w="1858" w:type="dxa"/>
            <w:vAlign w:val="center"/>
          </w:tcPr>
          <w:p>
            <w:pPr>
              <w:pStyle w:val="22"/>
              <w:jc w:val="right"/>
              <w:rPr>
                <w:rFonts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67" w:hRule="atLeast"/>
        </w:trPr>
        <w:tc>
          <w:tcPr>
            <w:tcW w:w="8426"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684"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2432"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1858"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427" w:hRule="atLeast"/>
        </w:trPr>
        <w:tc>
          <w:tcPr>
            <w:tcW w:w="1431"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6995"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684" w:type="dxa"/>
            <w:vMerge w:val="continue"/>
            <w:tcBorders>
              <w:left w:val="single" w:color="000000" w:sz="4" w:space="0"/>
              <w:bottom w:val="single" w:color="000000" w:sz="4" w:space="0"/>
            </w:tcBorders>
          </w:tcPr>
          <w:p>
            <w:pPr>
              <w:rPr>
                <w:rFonts w:ascii="仿宋" w:hAnsi="仿宋" w:eastAsia="仿宋" w:cs="仿宋"/>
              </w:rPr>
            </w:pPr>
          </w:p>
        </w:tc>
        <w:tc>
          <w:tcPr>
            <w:tcW w:w="2432" w:type="dxa"/>
            <w:vMerge w:val="continue"/>
            <w:tcBorders>
              <w:left w:val="single" w:color="000000" w:sz="4" w:space="0"/>
              <w:bottom w:val="single" w:color="000000" w:sz="4" w:space="0"/>
            </w:tcBorders>
            <w:vAlign w:val="center"/>
          </w:tcPr>
          <w:p>
            <w:pPr>
              <w:pStyle w:val="22"/>
              <w:jc w:val="center"/>
              <w:rPr>
                <w:rFonts w:ascii="仿宋" w:hAnsi="仿宋" w:eastAsia="仿宋" w:cs="仿宋"/>
              </w:rPr>
            </w:pPr>
          </w:p>
        </w:tc>
        <w:tc>
          <w:tcPr>
            <w:tcW w:w="1858"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8426"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栏次</w:t>
            </w:r>
          </w:p>
        </w:tc>
        <w:tc>
          <w:tcPr>
            <w:tcW w:w="2684" w:type="dxa"/>
            <w:tcBorders>
              <w:left w:val="single" w:color="000000" w:sz="4" w:space="0"/>
              <w:bottom w:val="single" w:color="000000" w:sz="4" w:space="0"/>
            </w:tcBorders>
            <w:vAlign w:val="center"/>
          </w:tcPr>
          <w:p>
            <w:pPr>
              <w:pStyle w:val="22"/>
              <w:jc w:val="center"/>
              <w:rPr>
                <w:rFonts w:ascii="仿宋" w:hAnsi="仿宋" w:eastAsia="仿宋" w:cs="仿宋"/>
                <w:lang w:val="en-US"/>
              </w:rPr>
            </w:pPr>
            <w:r>
              <w:rPr>
                <w:rFonts w:hint="eastAsia" w:ascii="仿宋" w:hAnsi="仿宋" w:eastAsia="仿宋" w:cs="仿宋"/>
                <w:lang w:val="en-US"/>
              </w:rPr>
              <w:t>1</w:t>
            </w:r>
          </w:p>
        </w:tc>
        <w:tc>
          <w:tcPr>
            <w:tcW w:w="2432"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2</w:t>
            </w:r>
          </w:p>
        </w:tc>
        <w:tc>
          <w:tcPr>
            <w:tcW w:w="1858"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lang w:val="en-US"/>
              </w:rPr>
            </w:pPr>
            <w:r>
              <w:rPr>
                <w:rFonts w:hint="eastAsia" w:ascii="仿宋" w:hAnsi="仿宋" w:eastAsia="仿宋" w:cs="仿宋"/>
                <w:lang w:val="en-US"/>
              </w:rPr>
              <w:t>2</w:t>
            </w:r>
          </w:p>
        </w:tc>
      </w:tr>
      <w:tr>
        <w:tblPrEx>
          <w:tblLayout w:type="fixed"/>
          <w:tblCellMar>
            <w:top w:w="55" w:type="dxa"/>
            <w:left w:w="55" w:type="dxa"/>
            <w:bottom w:w="55" w:type="dxa"/>
            <w:right w:w="55" w:type="dxa"/>
          </w:tblCellMar>
        </w:tblPrEx>
        <w:trPr>
          <w:trHeight w:val="389" w:hRule="exact"/>
        </w:trPr>
        <w:tc>
          <w:tcPr>
            <w:tcW w:w="8426"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2684"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2432"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858"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bl>
    <w:p>
      <w:pPr>
        <w:spacing w:before="25"/>
        <w:jc w:val="both"/>
        <w:rPr>
          <w:rFonts w:ascii="仿宋" w:hAnsi="仿宋" w:eastAsia="仿宋" w:cs="仿宋"/>
        </w:rPr>
      </w:pPr>
      <w:r>
        <w:rPr>
          <w:rFonts w:hint="eastAsia" w:ascii="仿宋" w:hAnsi="仿宋" w:eastAsia="仿宋" w:cs="仿宋"/>
        </w:rPr>
        <w:t>注：本表反映本年度政府性基金预算财政拨款支出情况。</w:t>
      </w:r>
    </w:p>
    <w:p>
      <w:pPr>
        <w:spacing w:before="25"/>
        <w:ind w:left="440" w:leftChars="200"/>
        <w:jc w:val="both"/>
        <w:rPr>
          <w:rFonts w:ascii="仿宋" w:hAnsi="仿宋" w:eastAsia="仿宋" w:cs="仿宋"/>
          <w:lang w:val="en-US"/>
        </w:rPr>
      </w:pPr>
      <w:r>
        <w:rPr>
          <w:rFonts w:ascii="仿宋" w:hAnsi="仿宋" w:eastAsia="仿宋" w:cs="仿宋"/>
        </w:rPr>
        <w:t>本单位无政府性基金预算收入支出决算，故本表为空。</w:t>
      </w:r>
    </w:p>
    <w:p>
      <w:pPr>
        <w:spacing w:before="25"/>
        <w:jc w:val="both"/>
        <w:rPr>
          <w:rFonts w:ascii="仿宋" w:hAnsi="仿宋" w:eastAsia="仿宋" w:cs="仿宋"/>
          <w:lang w:val="en-US"/>
        </w:rPr>
        <w:sectPr>
          <w:footerReference r:id="rId20"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5400" w:type="dxa"/>
        <w:tblInd w:w="47" w:type="dxa"/>
        <w:tblLayout w:type="fixed"/>
        <w:tblCellMar>
          <w:top w:w="55" w:type="dxa"/>
          <w:left w:w="55" w:type="dxa"/>
          <w:bottom w:w="55" w:type="dxa"/>
          <w:right w:w="55" w:type="dxa"/>
        </w:tblCellMar>
      </w:tblPr>
      <w:tblGrid>
        <w:gridCol w:w="1462"/>
        <w:gridCol w:w="7058"/>
        <w:gridCol w:w="2510"/>
        <w:gridCol w:w="2309"/>
        <w:gridCol w:w="2061"/>
      </w:tblGrid>
      <w:tr>
        <w:tblPrEx>
          <w:tblLayout w:type="fixed"/>
          <w:tblCellMar>
            <w:top w:w="55" w:type="dxa"/>
            <w:left w:w="55" w:type="dxa"/>
            <w:bottom w:w="55" w:type="dxa"/>
            <w:right w:w="55" w:type="dxa"/>
          </w:tblCellMar>
        </w:tblPrEx>
        <w:trPr>
          <w:trHeight w:val="395" w:hRule="atLeast"/>
        </w:trPr>
        <w:tc>
          <w:tcPr>
            <w:tcW w:w="15400"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国有资本经营预算支出决算表</w:t>
            </w:r>
          </w:p>
        </w:tc>
      </w:tr>
      <w:tr>
        <w:tblPrEx>
          <w:tblLayout w:type="fixed"/>
          <w:tblCellMar>
            <w:top w:w="55" w:type="dxa"/>
            <w:left w:w="55" w:type="dxa"/>
            <w:bottom w:w="55" w:type="dxa"/>
            <w:right w:w="55" w:type="dxa"/>
          </w:tblCellMar>
        </w:tblPrEx>
        <w:trPr>
          <w:trHeight w:val="323" w:hRule="atLeast"/>
        </w:trPr>
        <w:tc>
          <w:tcPr>
            <w:tcW w:w="8520" w:type="dxa"/>
            <w:gridSpan w:val="2"/>
          </w:tcPr>
          <w:p>
            <w:pPr>
              <w:pStyle w:val="22"/>
              <w:rPr>
                <w:rFonts w:ascii="仿宋" w:hAnsi="仿宋" w:eastAsia="仿宋" w:cs="仿宋"/>
                <w:sz w:val="20"/>
              </w:rPr>
            </w:pPr>
          </w:p>
        </w:tc>
        <w:tc>
          <w:tcPr>
            <w:tcW w:w="2510" w:type="dxa"/>
          </w:tcPr>
          <w:p>
            <w:pPr>
              <w:pStyle w:val="22"/>
              <w:rPr>
                <w:rFonts w:ascii="仿宋" w:hAnsi="仿宋" w:eastAsia="仿宋" w:cs="仿宋"/>
                <w:sz w:val="27"/>
              </w:rPr>
            </w:pPr>
          </w:p>
        </w:tc>
        <w:tc>
          <w:tcPr>
            <w:tcW w:w="2309" w:type="dxa"/>
          </w:tcPr>
          <w:p>
            <w:pPr>
              <w:pStyle w:val="22"/>
              <w:rPr>
                <w:rFonts w:ascii="仿宋" w:hAnsi="仿宋" w:eastAsia="仿宋" w:cs="仿宋"/>
                <w:sz w:val="20"/>
              </w:rPr>
            </w:pPr>
          </w:p>
        </w:tc>
        <w:tc>
          <w:tcPr>
            <w:tcW w:w="2061" w:type="dxa"/>
            <w:vAlign w:val="center"/>
          </w:tcPr>
          <w:p>
            <w:pPr>
              <w:pStyle w:val="22"/>
              <w:jc w:val="right"/>
              <w:rPr>
                <w:rFonts w:ascii="仿宋" w:hAnsi="仿宋" w:eastAsia="仿宋" w:cs="仿宋"/>
                <w:sz w:val="27"/>
              </w:rPr>
            </w:pPr>
            <w:r>
              <w:rPr>
                <w:rFonts w:hint="eastAsia" w:ascii="仿宋" w:hAnsi="仿宋" w:eastAsia="仿宋" w:cs="仿宋"/>
              </w:rPr>
              <w:t>公开1</w:t>
            </w:r>
            <w:r>
              <w:rPr>
                <w:rFonts w:hint="eastAsia" w:ascii="仿宋" w:hAnsi="仿宋" w:eastAsia="仿宋" w:cs="仿宋"/>
                <w:lang w:val="en-US"/>
              </w:rPr>
              <w:t>1</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152" w:hRule="atLeast"/>
        </w:trPr>
        <w:tc>
          <w:tcPr>
            <w:tcW w:w="13339" w:type="dxa"/>
            <w:gridSpan w:val="4"/>
            <w:vAlign w:val="center"/>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江苏省民政干部学校</w:t>
            </w:r>
          </w:p>
        </w:tc>
        <w:tc>
          <w:tcPr>
            <w:tcW w:w="2061" w:type="dxa"/>
            <w:vAlign w:val="center"/>
          </w:tcPr>
          <w:p>
            <w:pPr>
              <w:pStyle w:val="22"/>
              <w:jc w:val="right"/>
              <w:rPr>
                <w:rFonts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67" w:hRule="atLeast"/>
        </w:trPr>
        <w:tc>
          <w:tcPr>
            <w:tcW w:w="8520"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10"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2309"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2061"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427" w:hRule="atLeast"/>
        </w:trPr>
        <w:tc>
          <w:tcPr>
            <w:tcW w:w="1462"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7058"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510" w:type="dxa"/>
            <w:vMerge w:val="continue"/>
            <w:tcBorders>
              <w:left w:val="single" w:color="000000" w:sz="4" w:space="0"/>
              <w:bottom w:val="single" w:color="000000" w:sz="4" w:space="0"/>
            </w:tcBorders>
          </w:tcPr>
          <w:p>
            <w:pPr>
              <w:rPr>
                <w:rFonts w:ascii="仿宋" w:hAnsi="仿宋" w:eastAsia="仿宋" w:cs="仿宋"/>
              </w:rPr>
            </w:pPr>
          </w:p>
        </w:tc>
        <w:tc>
          <w:tcPr>
            <w:tcW w:w="2309" w:type="dxa"/>
            <w:vMerge w:val="continue"/>
            <w:tcBorders>
              <w:left w:val="single" w:color="000000" w:sz="4" w:space="0"/>
              <w:bottom w:val="single" w:color="000000" w:sz="4" w:space="0"/>
            </w:tcBorders>
            <w:vAlign w:val="center"/>
          </w:tcPr>
          <w:p>
            <w:pPr>
              <w:pStyle w:val="22"/>
              <w:jc w:val="center"/>
              <w:rPr>
                <w:rFonts w:ascii="仿宋" w:hAnsi="仿宋" w:eastAsia="仿宋" w:cs="仿宋"/>
              </w:rPr>
            </w:pPr>
          </w:p>
        </w:tc>
        <w:tc>
          <w:tcPr>
            <w:tcW w:w="2061"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8520"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栏次</w:t>
            </w:r>
          </w:p>
        </w:tc>
        <w:tc>
          <w:tcPr>
            <w:tcW w:w="2510" w:type="dxa"/>
            <w:tcBorders>
              <w:left w:val="single" w:color="000000" w:sz="4" w:space="0"/>
              <w:bottom w:val="single" w:color="000000" w:sz="4" w:space="0"/>
            </w:tcBorders>
            <w:vAlign w:val="center"/>
          </w:tcPr>
          <w:p>
            <w:pPr>
              <w:pStyle w:val="22"/>
              <w:jc w:val="center"/>
              <w:rPr>
                <w:rFonts w:ascii="仿宋" w:hAnsi="仿宋" w:eastAsia="仿宋" w:cs="仿宋"/>
                <w:lang w:val="en-US"/>
              </w:rPr>
            </w:pPr>
            <w:r>
              <w:rPr>
                <w:rFonts w:hint="eastAsia" w:ascii="仿宋" w:hAnsi="仿宋" w:eastAsia="仿宋" w:cs="仿宋"/>
                <w:lang w:val="en-US"/>
              </w:rPr>
              <w:t>1</w:t>
            </w:r>
          </w:p>
        </w:tc>
        <w:tc>
          <w:tcPr>
            <w:tcW w:w="2309"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2</w:t>
            </w:r>
          </w:p>
        </w:tc>
        <w:tc>
          <w:tcPr>
            <w:tcW w:w="2061"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lang w:val="en-US"/>
              </w:rPr>
            </w:pPr>
            <w:r>
              <w:rPr>
                <w:rFonts w:hint="eastAsia" w:ascii="仿宋" w:hAnsi="仿宋" w:eastAsia="仿宋" w:cs="仿宋"/>
                <w:lang w:val="en-US"/>
              </w:rPr>
              <w:t>2</w:t>
            </w:r>
          </w:p>
        </w:tc>
      </w:tr>
      <w:tr>
        <w:tblPrEx>
          <w:tblLayout w:type="fixed"/>
          <w:tblCellMar>
            <w:top w:w="55" w:type="dxa"/>
            <w:left w:w="55" w:type="dxa"/>
            <w:bottom w:w="55" w:type="dxa"/>
            <w:right w:w="55" w:type="dxa"/>
          </w:tblCellMar>
        </w:tblPrEx>
        <w:trPr>
          <w:trHeight w:val="389" w:hRule="exact"/>
        </w:trPr>
        <w:tc>
          <w:tcPr>
            <w:tcW w:w="8520"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251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2309"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2061"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bl>
    <w:p>
      <w:pPr>
        <w:jc w:val="both"/>
        <w:rPr>
          <w:rFonts w:ascii="仿宋" w:hAnsi="仿宋" w:eastAsia="仿宋" w:cs="仿宋"/>
        </w:rPr>
      </w:pPr>
      <w:r>
        <w:rPr>
          <w:rFonts w:hint="eastAsia" w:ascii="仿宋" w:hAnsi="仿宋" w:eastAsia="仿宋" w:cs="仿宋"/>
        </w:rPr>
        <w:t>注：本表反映本年度国有资本经营预算财政拨款支出情况。</w:t>
      </w:r>
    </w:p>
    <w:p>
      <w:pPr>
        <w:ind w:left="440" w:leftChars="200"/>
        <w:jc w:val="both"/>
        <w:rPr>
          <w:rFonts w:ascii="仿宋" w:hAnsi="仿宋" w:eastAsia="仿宋" w:cs="仿宋"/>
          <w:lang w:val="en-US"/>
        </w:rPr>
      </w:pPr>
      <w:r>
        <w:rPr>
          <w:rFonts w:ascii="仿宋" w:hAnsi="仿宋" w:eastAsia="仿宋" w:cs="仿宋"/>
        </w:rPr>
        <w:t>本单位无</w:t>
      </w:r>
      <w:r>
        <w:rPr>
          <w:rFonts w:hint="eastAsia" w:ascii="仿宋" w:hAnsi="仿宋" w:eastAsia="仿宋" w:cs="仿宋"/>
        </w:rPr>
        <w:t>国有资本经营预算支出</w:t>
      </w:r>
      <w:r>
        <w:rPr>
          <w:rFonts w:hint="eastAsia" w:ascii="仿宋" w:hAnsi="仿宋" w:eastAsia="仿宋" w:cs="仿宋"/>
          <w:lang w:val="en-US"/>
        </w:rPr>
        <w:t>决算，故本表为空。</w:t>
      </w:r>
    </w:p>
    <w:p>
      <w:pPr>
        <w:spacing w:before="25"/>
        <w:ind w:left="-220" w:leftChars="-100"/>
        <w:jc w:val="both"/>
        <w:rPr>
          <w:rFonts w:ascii="仿宋" w:hAnsi="仿宋" w:eastAsia="仿宋" w:cs="仿宋"/>
          <w:lang w:val="en-US"/>
        </w:rPr>
        <w:sectPr>
          <w:pgSz w:w="16838" w:h="11906" w:orient="landscape"/>
          <w:pgMar w:top="720" w:right="720" w:bottom="720" w:left="720" w:header="170" w:footer="280" w:gutter="0"/>
          <w:pgNumType w:fmt="numberInDash"/>
          <w:cols w:space="720" w:num="1"/>
          <w:formProt w:val="0"/>
          <w:docGrid w:linePitch="100" w:charSpace="0"/>
        </w:sectPr>
      </w:pPr>
    </w:p>
    <w:tbl>
      <w:tblPr>
        <w:tblStyle w:val="13"/>
        <w:tblW w:w="10466" w:type="dxa"/>
        <w:tblInd w:w="53" w:type="dxa"/>
        <w:tblLayout w:type="fixed"/>
        <w:tblCellMar>
          <w:top w:w="55" w:type="dxa"/>
          <w:left w:w="55" w:type="dxa"/>
          <w:bottom w:w="55" w:type="dxa"/>
          <w:right w:w="55" w:type="dxa"/>
        </w:tblCellMar>
      </w:tblPr>
      <w:tblGrid>
        <w:gridCol w:w="1642"/>
        <w:gridCol w:w="4990"/>
        <w:gridCol w:w="3834"/>
      </w:tblGrid>
      <w:tr>
        <w:tblPrEx>
          <w:tblLayout w:type="fixed"/>
          <w:tblCellMar>
            <w:top w:w="55" w:type="dxa"/>
            <w:left w:w="55" w:type="dxa"/>
            <w:bottom w:w="55" w:type="dxa"/>
            <w:right w:w="55" w:type="dxa"/>
          </w:tblCellMar>
        </w:tblPrEx>
        <w:trPr>
          <w:trHeight w:val="319" w:hRule="atLeast"/>
        </w:trPr>
        <w:tc>
          <w:tcPr>
            <w:tcW w:w="10466" w:type="dxa"/>
            <w:gridSpan w:val="3"/>
          </w:tcPr>
          <w:p>
            <w:pPr>
              <w:pStyle w:val="22"/>
              <w:tabs>
                <w:tab w:val="left" w:pos="610"/>
              </w:tabs>
              <w:spacing w:before="28"/>
              <w:ind w:left="8"/>
              <w:jc w:val="center"/>
              <w:rPr>
                <w:rFonts w:ascii="仿宋" w:hAnsi="仿宋" w:eastAsia="仿宋" w:cs="仿宋"/>
                <w:b/>
                <w:bCs/>
                <w:sz w:val="44"/>
                <w:szCs w:val="44"/>
              </w:rPr>
            </w:pPr>
            <w:r>
              <w:rPr>
                <w:rFonts w:hint="eastAsia"/>
                <w:b/>
                <w:bCs/>
                <w:color w:val="000000"/>
                <w:sz w:val="36"/>
                <w:szCs w:val="36"/>
                <w:lang w:eastAsia="ar-SA"/>
              </w:rPr>
              <w:t>一般公共预算机关运行经费支出决算表</w:t>
            </w:r>
          </w:p>
        </w:tc>
      </w:tr>
      <w:tr>
        <w:tblPrEx>
          <w:tblLayout w:type="fixed"/>
          <w:tblCellMar>
            <w:top w:w="55" w:type="dxa"/>
            <w:left w:w="55" w:type="dxa"/>
            <w:bottom w:w="55" w:type="dxa"/>
            <w:right w:w="55" w:type="dxa"/>
          </w:tblCellMar>
        </w:tblPrEx>
        <w:trPr>
          <w:trHeight w:val="90" w:hRule="atLeast"/>
        </w:trPr>
        <w:tc>
          <w:tcPr>
            <w:tcW w:w="6632" w:type="dxa"/>
            <w:gridSpan w:val="2"/>
          </w:tcPr>
          <w:p>
            <w:pPr>
              <w:pStyle w:val="22"/>
              <w:rPr>
                <w:rFonts w:ascii="仿宋" w:hAnsi="仿宋" w:eastAsia="仿宋" w:cs="仿宋"/>
                <w:sz w:val="20"/>
              </w:rPr>
            </w:pPr>
          </w:p>
        </w:tc>
        <w:tc>
          <w:tcPr>
            <w:tcW w:w="3834" w:type="dxa"/>
            <w:vAlign w:val="center"/>
          </w:tcPr>
          <w:p>
            <w:pPr>
              <w:pStyle w:val="22"/>
              <w:jc w:val="right"/>
              <w:rPr>
                <w:rFonts w:ascii="仿宋" w:hAnsi="仿宋" w:eastAsia="仿宋" w:cs="仿宋"/>
              </w:rPr>
            </w:pPr>
            <w:r>
              <w:rPr>
                <w:rFonts w:hint="eastAsia" w:ascii="仿宋" w:hAnsi="仿宋" w:eastAsia="仿宋" w:cs="仿宋"/>
              </w:rPr>
              <w:t>公开1</w:t>
            </w:r>
            <w:r>
              <w:rPr>
                <w:rFonts w:hint="eastAsia" w:ascii="仿宋" w:hAnsi="仿宋" w:eastAsia="仿宋" w:cs="仿宋"/>
                <w:lang w:val="en-US"/>
              </w:rPr>
              <w:t>2</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90" w:hRule="atLeast"/>
        </w:trPr>
        <w:tc>
          <w:tcPr>
            <w:tcW w:w="6632" w:type="dxa"/>
            <w:gridSpan w:val="2"/>
            <w:vAlign w:val="center"/>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江苏省民政干部学校</w:t>
            </w:r>
          </w:p>
        </w:tc>
        <w:tc>
          <w:tcPr>
            <w:tcW w:w="3834" w:type="dxa"/>
            <w:vAlign w:val="center"/>
          </w:tcPr>
          <w:p>
            <w:pPr>
              <w:pStyle w:val="22"/>
              <w:jc w:val="right"/>
              <w:rPr>
                <w:rFonts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632" w:type="dxa"/>
            <w:gridSpan w:val="2"/>
            <w:tcBorders>
              <w:top w:val="single" w:color="000000" w:sz="4" w:space="0"/>
              <w:left w:val="single" w:color="000000" w:sz="4" w:space="0"/>
              <w:bottom w:val="single" w:color="000000" w:sz="4" w:space="0"/>
            </w:tcBorders>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3834"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机关运行经费支出决算</w:t>
            </w:r>
          </w:p>
        </w:tc>
      </w:tr>
      <w:tr>
        <w:tblPrEx>
          <w:tblLayout w:type="fixed"/>
          <w:tblCellMar>
            <w:top w:w="55" w:type="dxa"/>
            <w:left w:w="55" w:type="dxa"/>
            <w:bottom w:w="55" w:type="dxa"/>
            <w:right w:w="55" w:type="dxa"/>
          </w:tblCellMar>
        </w:tblPrEx>
        <w:trPr>
          <w:trHeight w:val="363" w:hRule="atLeast"/>
        </w:trPr>
        <w:tc>
          <w:tcPr>
            <w:tcW w:w="1642"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科目编码</w:t>
            </w:r>
          </w:p>
        </w:tc>
        <w:tc>
          <w:tcPr>
            <w:tcW w:w="499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3834"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229" w:hRule="atLeast"/>
        </w:trPr>
        <w:tc>
          <w:tcPr>
            <w:tcW w:w="6632"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3834"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印刷费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咨询费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手续费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水费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邮电费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取暖费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物业管理费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差旅费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因公出国（境）费用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维修（护）费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租赁费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会议费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培训费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公务接待费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专用材料费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被装购置费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专用燃料费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劳务费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委托业务费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工会经费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福利费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公务用车运行维护费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30240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税金及附加费用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债务利息及费用支出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房屋建筑物购建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基础设施建设</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大型修缮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信息网络及软件购置更新</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物资储备</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土地补偿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安置补助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地上附着物和青苗补偿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拆迁补偿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其他交通工具购置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文物和陈列品购置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无形资产购置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对企业补助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其他支出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bl>
    <w:p>
      <w:pPr>
        <w:spacing w:before="25"/>
        <w:ind w:right="-92" w:rightChars="-42"/>
        <w:jc w:val="both"/>
        <w:rPr>
          <w:rFonts w:ascii="仿宋" w:hAnsi="仿宋" w:eastAsia="仿宋" w:cs="仿宋"/>
          <w:lang w:val="en-US"/>
        </w:rPr>
      </w:pPr>
      <w:r>
        <w:rPr>
          <w:rFonts w:hint="eastAsia" w:ascii="仿宋" w:hAnsi="仿宋" w:eastAsia="仿宋" w:cs="仿宋"/>
        </w:rPr>
        <w:t>注：“机关运行经费”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tabs>
          <w:tab w:val="left" w:pos="440"/>
        </w:tabs>
        <w:spacing w:before="25"/>
        <w:ind w:left="440" w:leftChars="200"/>
        <w:jc w:val="both"/>
        <w:rPr>
          <w:rFonts w:ascii="仿宋" w:hAnsi="仿宋" w:eastAsia="仿宋" w:cs="仿宋"/>
        </w:rPr>
      </w:pPr>
      <w:r>
        <w:rPr>
          <w:rFonts w:hint="eastAsia" w:ascii="仿宋" w:hAnsi="仿宋" w:eastAsia="仿宋" w:cs="仿宋"/>
        </w:rPr>
        <w:t>本</w:t>
      </w:r>
      <w:r>
        <w:rPr>
          <w:rFonts w:ascii="仿宋" w:hAnsi="仿宋" w:eastAsia="仿宋" w:cs="仿宋"/>
        </w:rPr>
        <w:t>单位</w:t>
      </w:r>
      <w:r>
        <w:rPr>
          <w:rFonts w:hint="eastAsia" w:ascii="仿宋" w:hAnsi="仿宋" w:eastAsia="仿宋" w:cs="仿宋"/>
        </w:rPr>
        <w:t>无一般公共预算机关运行经费支出决算，故本表为空。</w:t>
      </w:r>
    </w:p>
    <w:p>
      <w:pPr>
        <w:tabs>
          <w:tab w:val="left" w:pos="440"/>
        </w:tabs>
        <w:spacing w:before="25"/>
        <w:ind w:left="440" w:leftChars="200"/>
        <w:jc w:val="both"/>
        <w:rPr>
          <w:rFonts w:ascii="仿宋" w:hAnsi="仿宋" w:eastAsia="仿宋" w:cs="仿宋"/>
          <w:lang w:val="en-US"/>
        </w:rPr>
        <w:sectPr>
          <w:footerReference r:id="rId21" w:type="default"/>
          <w:type w:val="continuous"/>
          <w:pgSz w:w="11906" w:h="16838"/>
          <w:pgMar w:top="720" w:right="720" w:bottom="720" w:left="720" w:header="170" w:footer="280" w:gutter="0"/>
          <w:pgNumType w:fmt="numberInDash"/>
          <w:cols w:space="720" w:num="1"/>
          <w:formProt w:val="0"/>
          <w:docGrid w:linePitch="100" w:charSpace="0"/>
        </w:sectPr>
      </w:pPr>
    </w:p>
    <w:tbl>
      <w:tblPr>
        <w:tblStyle w:val="13"/>
        <w:tblW w:w="10459" w:type="dxa"/>
        <w:tblInd w:w="45" w:type="dxa"/>
        <w:tblLayout w:type="fixed"/>
        <w:tblCellMar>
          <w:top w:w="55" w:type="dxa"/>
          <w:left w:w="55" w:type="dxa"/>
          <w:bottom w:w="55" w:type="dxa"/>
          <w:right w:w="55" w:type="dxa"/>
        </w:tblCellMar>
      </w:tblPr>
      <w:tblGrid>
        <w:gridCol w:w="4472"/>
        <w:gridCol w:w="722"/>
        <w:gridCol w:w="1992"/>
        <w:gridCol w:w="3273"/>
      </w:tblGrid>
      <w:tr>
        <w:tblPrEx>
          <w:tblLayout w:type="fixed"/>
          <w:tblCellMar>
            <w:top w:w="55" w:type="dxa"/>
            <w:left w:w="55" w:type="dxa"/>
            <w:bottom w:w="55" w:type="dxa"/>
            <w:right w:w="55" w:type="dxa"/>
          </w:tblCellMar>
        </w:tblPrEx>
        <w:trPr>
          <w:trHeight w:val="333" w:hRule="atLeast"/>
        </w:trPr>
        <w:tc>
          <w:tcPr>
            <w:tcW w:w="10459" w:type="dxa"/>
            <w:gridSpan w:val="4"/>
            <w:vAlign w:val="center"/>
          </w:tcPr>
          <w:p>
            <w:pPr>
              <w:pStyle w:val="22"/>
              <w:jc w:val="center"/>
              <w:rPr>
                <w:rFonts w:ascii="仿宋" w:hAnsi="仿宋" w:eastAsia="仿宋" w:cs="仿宋"/>
                <w:b/>
                <w:bCs/>
                <w:sz w:val="44"/>
                <w:szCs w:val="44"/>
              </w:rPr>
            </w:pPr>
            <w:r>
              <w:rPr>
                <w:rFonts w:hint="eastAsia"/>
                <w:b/>
                <w:bCs/>
                <w:color w:val="000000"/>
                <w:sz w:val="36"/>
                <w:szCs w:val="36"/>
                <w:lang w:eastAsia="ar-SA"/>
              </w:rPr>
              <w:t>政府采购支出决算表</w:t>
            </w:r>
          </w:p>
        </w:tc>
      </w:tr>
      <w:tr>
        <w:tblPrEx>
          <w:tblLayout w:type="fixed"/>
          <w:tblCellMar>
            <w:top w:w="55" w:type="dxa"/>
            <w:left w:w="55" w:type="dxa"/>
            <w:bottom w:w="55" w:type="dxa"/>
            <w:right w:w="55" w:type="dxa"/>
          </w:tblCellMar>
        </w:tblPrEx>
        <w:trPr>
          <w:trHeight w:val="333" w:hRule="atLeast"/>
        </w:trPr>
        <w:tc>
          <w:tcPr>
            <w:tcW w:w="4472" w:type="dxa"/>
          </w:tcPr>
          <w:p>
            <w:pPr>
              <w:pStyle w:val="22"/>
              <w:rPr>
                <w:rFonts w:ascii="仿宋" w:hAnsi="仿宋" w:eastAsia="仿宋" w:cs="仿宋"/>
              </w:rPr>
            </w:pPr>
          </w:p>
        </w:tc>
        <w:tc>
          <w:tcPr>
            <w:tcW w:w="722" w:type="dxa"/>
          </w:tcPr>
          <w:p>
            <w:pPr>
              <w:pStyle w:val="22"/>
              <w:rPr>
                <w:rFonts w:ascii="仿宋" w:hAnsi="仿宋" w:eastAsia="仿宋" w:cs="仿宋"/>
              </w:rPr>
            </w:pPr>
          </w:p>
        </w:tc>
        <w:tc>
          <w:tcPr>
            <w:tcW w:w="1992" w:type="dxa"/>
          </w:tcPr>
          <w:p>
            <w:pPr>
              <w:pStyle w:val="22"/>
              <w:rPr>
                <w:rFonts w:ascii="仿宋" w:hAnsi="仿宋" w:eastAsia="仿宋" w:cs="仿宋"/>
              </w:rPr>
            </w:pPr>
          </w:p>
        </w:tc>
        <w:tc>
          <w:tcPr>
            <w:tcW w:w="3273" w:type="dxa"/>
            <w:vAlign w:val="center"/>
          </w:tcPr>
          <w:p>
            <w:pPr>
              <w:pStyle w:val="22"/>
              <w:jc w:val="right"/>
              <w:rPr>
                <w:rFonts w:ascii="仿宋" w:hAnsi="仿宋" w:eastAsia="仿宋" w:cs="仿宋"/>
              </w:rPr>
            </w:pPr>
            <w:r>
              <w:rPr>
                <w:rFonts w:hint="eastAsia" w:ascii="仿宋" w:hAnsi="仿宋" w:eastAsia="仿宋" w:cs="仿宋"/>
              </w:rPr>
              <w:t>公开1</w:t>
            </w:r>
            <w:r>
              <w:rPr>
                <w:rFonts w:hint="eastAsia" w:ascii="仿宋" w:hAnsi="仿宋" w:eastAsia="仿宋" w:cs="仿宋"/>
                <w:lang w:val="en-US"/>
              </w:rPr>
              <w:t>3</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90" w:hRule="atLeast"/>
        </w:trPr>
        <w:tc>
          <w:tcPr>
            <w:tcW w:w="7186" w:type="dxa"/>
            <w:gridSpan w:val="3"/>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江苏省民政干部学校</w:t>
            </w:r>
          </w:p>
        </w:tc>
        <w:tc>
          <w:tcPr>
            <w:tcW w:w="3273" w:type="dxa"/>
            <w:vAlign w:val="center"/>
          </w:tcPr>
          <w:p>
            <w:pPr>
              <w:pStyle w:val="22"/>
              <w:jc w:val="right"/>
              <w:rPr>
                <w:rFonts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trHeight w:val="244" w:hRule="atLeast"/>
        </w:trPr>
        <w:tc>
          <w:tcPr>
            <w:tcW w:w="4472" w:type="dxa"/>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lang w:val="en-US"/>
              </w:rPr>
            </w:pPr>
            <w:r>
              <w:rPr>
                <w:rFonts w:ascii="仿宋" w:hAnsi="仿宋" w:eastAsia="仿宋" w:cs="仿宋"/>
              </w:rPr>
              <w:t>项目</w:t>
            </w:r>
          </w:p>
        </w:tc>
        <w:tc>
          <w:tcPr>
            <w:tcW w:w="5987" w:type="dxa"/>
            <w:gridSpan w:val="3"/>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一、政府采购支出合计</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3.15</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（一）政府采购货物支出</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3.15</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（二）政府采购工程支出</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（三）政府采购服务支出</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二、政府采购授予中小企业合同金额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3.15</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其中：授予小微企业合同金额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bl>
    <w:p>
      <w:pPr>
        <w:jc w:val="both"/>
        <w:rPr>
          <w:rFonts w:ascii="仿宋" w:hAnsi="仿宋" w:eastAsia="仿宋" w:cs="仿宋"/>
          <w:lang w:val="en-US"/>
        </w:rPr>
      </w:pPr>
      <w:r>
        <w:rPr>
          <w:rFonts w:hint="eastAsia" w:ascii="仿宋" w:hAnsi="仿宋" w:eastAsia="仿宋" w:cs="仿宋"/>
        </w:rPr>
        <w:t>注：</w:t>
      </w:r>
      <w:r>
        <w:rPr>
          <w:rFonts w:hint="eastAsia" w:ascii="仿宋" w:hAnsi="仿宋" w:eastAsia="仿宋" w:cs="仿宋"/>
          <w:lang w:val="en-US"/>
        </w:rPr>
        <w:t>政府采购支出信息为单位纳入部门预算范围的各项政府采购支出情况。本表金额单位转换时可能存在尾数误差</w:t>
      </w:r>
      <w:r>
        <w:rPr>
          <w:rFonts w:hint="eastAsia" w:ascii="仿宋" w:hAnsi="仿宋" w:eastAsia="仿宋" w:cs="仿宋"/>
        </w:rPr>
        <w:t>。</w:t>
      </w:r>
    </w:p>
    <w:p>
      <w:pPr>
        <w:ind w:left="440" w:leftChars="200"/>
        <w:jc w:val="both"/>
        <w:rPr>
          <w:rFonts w:ascii="仿宋" w:hAnsi="仿宋" w:eastAsia="仿宋" w:cs="仿宋"/>
        </w:rPr>
        <w:sectPr>
          <w:pgSz w:w="11906" w:h="16838"/>
          <w:pgMar w:top="720" w:right="720" w:bottom="720" w:left="720" w:header="170" w:footer="280" w:gutter="0"/>
          <w:pgNumType w:fmt="numberInDash"/>
          <w:cols w:space="720" w:num="1"/>
          <w:formProt w:val="0"/>
          <w:docGrid w:linePitch="100" w:charSpace="0"/>
        </w:sectPr>
      </w:pPr>
    </w:p>
    <w:p>
      <w:pPr>
        <w:pStyle w:val="5"/>
        <w:tabs>
          <w:tab w:val="left" w:pos="3077"/>
        </w:tabs>
        <w:spacing w:line="616" w:lineRule="exact"/>
        <w:rPr>
          <w:rFonts w:ascii="宋体" w:hAnsi="宋体" w:eastAsia="宋体" w:cs="宋体"/>
          <w:b/>
          <w:bCs/>
          <w:color w:val="000000"/>
          <w:lang w:eastAsia="ar-SA"/>
        </w:rPr>
      </w:pPr>
      <w:r>
        <w:rPr>
          <w:rFonts w:hint="eastAsia" w:ascii="宋体" w:hAnsi="宋体" w:eastAsia="宋体" w:cs="宋体"/>
          <w:b/>
          <w:bCs/>
          <w:color w:val="000000"/>
          <w:lang w:eastAsia="ar-SA"/>
        </w:rPr>
        <w:t>第三部分</w:t>
      </w:r>
      <w:r>
        <w:rPr>
          <w:rFonts w:hint="eastAsia" w:ascii="宋体" w:hAnsi="宋体" w:eastAsia="宋体" w:cs="宋体"/>
          <w:b/>
          <w:bCs/>
          <w:color w:val="000000"/>
        </w:rPr>
        <w:t>2021</w:t>
      </w:r>
      <w:r>
        <w:rPr>
          <w:rFonts w:hint="eastAsia" w:ascii="宋体" w:hAnsi="宋体" w:eastAsia="宋体" w:cs="宋体"/>
          <w:b/>
          <w:bCs/>
          <w:color w:val="000000"/>
          <w:lang w:eastAsia="ar-SA"/>
        </w:rPr>
        <w:t>年度</w:t>
      </w:r>
      <w:r>
        <w:rPr>
          <w:rFonts w:ascii="宋体" w:hAnsi="宋体" w:eastAsia="宋体" w:cs="宋体"/>
          <w:b/>
          <w:color w:val="000000"/>
        </w:rPr>
        <w:t>单位决算情况说明</w:t>
      </w:r>
    </w:p>
    <w:p>
      <w:pPr>
        <w:pStyle w:val="8"/>
        <w:tabs>
          <w:tab w:val="left" w:pos="3864"/>
          <w:tab w:val="left" w:pos="6248"/>
          <w:tab w:val="left" w:pos="7386"/>
        </w:tabs>
        <w:spacing w:before="1" w:line="360" w:lineRule="auto"/>
        <w:ind w:left="348" w:right="420" w:firstLine="640"/>
        <w:jc w:val="both"/>
        <w:rPr>
          <w:rFonts w:ascii="仿宋" w:hAnsi="仿宋" w:eastAsia="仿宋" w:cs="仿宋"/>
          <w:lang w:val="en-US"/>
        </w:rPr>
      </w:pP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一、收入支出决算总体情况说明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2021年度收入、支出决算总计542.57万元。与上年相比，收、支总计各增加11.15万元，增长2.1%。其中：</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（一）收入决算总计542.57万元。包括：</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1.本年收入决算合计519.7万元。与上年相比，增加56.42万元，增长12.18%，变动原因：培训收入增加、人员变动及工资政策性调整。</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2.使用非财政拨款结余22.87万元。与上年相比，减少45.27万元，减少66.44%，变动原因：使用非财政拨款结余数减少。</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3.年初结转和结余0万元。与上年决算数相同。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（二）支出决算总计542.57万元。包括：</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1.本年支出决算合计542.57万元。与上年相比，增加11.15万元，增长2.1%，变动原因：培训支出增加、人员变动及工资政策性调整。</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2.结余分配0万元。与上年决算数相同。</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3.年末结转和结余0万元。与上年决算数相同。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二、收入决算情况说明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本年收入决算合计519.7万元，其中：财政拨款收入466.87万元，占89.83%；上级补助收入0万元，占0%；财政专户管理教育收费0万元，占0%；事业收入（不含专户管理教育收费）52.83万元，占10.17%；经营收入0万元，占0%；附属单位上缴收入0万元，占0%；其他收入0万元，占0%。</w:t>
      </w:r>
    </w:p>
    <w:p>
      <w:pPr>
        <w:pStyle w:val="8"/>
        <w:tabs>
          <w:tab w:val="left" w:pos="3864"/>
          <w:tab w:val="left" w:pos="6248"/>
          <w:tab w:val="left" w:pos="7386"/>
        </w:tabs>
        <w:overflowPunct w:val="0"/>
        <w:spacing w:before="1" w:line="360" w:lineRule="auto"/>
        <w:ind w:left="-3" w:right="420" w:firstLine="3"/>
        <w:jc w:val="center"/>
        <w:rPr>
          <w:rFonts w:ascii="仿宋" w:hAnsi="仿宋" w:eastAsia="仿宋" w:cs="仿宋"/>
          <w:lang w:val="en-US"/>
        </w:rPr>
      </w:pPr>
      <w:r>
        <w:rPr>
          <w:rFonts w:hint="eastAsia" w:ascii="仿宋" w:hAnsi="仿宋" w:eastAsia="仿宋" w:cs="仿宋"/>
          <w:lang w:val="en-US" w:bidi="ar-SA"/>
        </w:rPr>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3"/>
                    <a:stretch>
                      <a:fillRect/>
                    </a:stretch>
                  </pic:blipFill>
                  <pic:spPr>
                    <a:xfrm>
                      <a:off x="0" y="0"/>
                      <a:ext cx="6134100" cy="3429000"/>
                    </a:xfrm>
                    <a:prstGeom prst="rect">
                      <a:avLst/>
                    </a:prstGeom>
                  </pic:spPr>
                </pic:pic>
              </a:graphicData>
            </a:graphic>
          </wp:inline>
        </w:drawing>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三、支出决算情况说明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2021年度本年支出决算合计542.57万元，其中：基本支出493.14万元，占90.89%；项目支出49.42万元，占9.11%；上缴上级支出0万元，占0%；经营支出0万元，占0%；对附属单位补助支出0万元，占0%。</w:t>
      </w:r>
    </w:p>
    <w:p>
      <w:pPr>
        <w:pStyle w:val="8"/>
        <w:tabs>
          <w:tab w:val="left" w:pos="3864"/>
          <w:tab w:val="left" w:pos="6248"/>
          <w:tab w:val="left" w:pos="7386"/>
        </w:tabs>
        <w:overflowPunct w:val="0"/>
        <w:spacing w:before="1" w:line="360" w:lineRule="auto"/>
        <w:ind w:left="-3" w:right="420" w:firstLine="3"/>
        <w:jc w:val="center"/>
        <w:rPr>
          <w:rFonts w:ascii="仿宋" w:hAnsi="仿宋" w:eastAsia="仿宋" w:cs="仿宋"/>
          <w:lang w:val="en-US"/>
        </w:rPr>
      </w:pPr>
      <w:r>
        <w:rPr>
          <w:rFonts w:hint="eastAsia" w:ascii="仿宋" w:hAnsi="仿宋" w:eastAsia="仿宋" w:cs="仿宋"/>
          <w:lang w:val="en-US" w:bidi="ar-SA"/>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4"/>
                    <a:stretch>
                      <a:fillRect/>
                    </a:stretch>
                  </pic:blipFill>
                  <pic:spPr>
                    <a:xfrm>
                      <a:off x="0" y="0"/>
                      <a:ext cx="6134100" cy="3429000"/>
                    </a:xfrm>
                    <a:prstGeom prst="rect">
                      <a:avLst/>
                    </a:prstGeom>
                  </pic:spPr>
                </pic:pic>
              </a:graphicData>
            </a:graphic>
          </wp:inline>
        </w:drawing>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四、财政拨款收入支出决算总体情况说明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2021年度财政拨款收入、支出决算总计466.87万元。与上年相比，收、支总计各增加80.75万元，增长20.91%，变动原因：培训支出增加、人员变动及工资政策性调整。</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五、财政拨款支出决算情况说明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财政拨款发生的支出，也包括使用上年度财政拨款结转资金发生的支出。</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2021年度财政拨款支出决算466.87万元，占本年支出合计的86.05%。与2021年度财政拨款支出年初预算398.57万元相比，完成年初预算的117.14%。其中：</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（一）社会保障和就业支出（类）</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1.民政管理事务（款）其他民政管理事务支出（项）。年初预算96.06万元，支出决算96.06万元，完成年初预算的100%。决算数与年初预算数相同。</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2.行政事业单位养老支出（款）机关事业单位基本养老保险缴费支出（项）。年初预算16.51万元，支出决算16.51万元，完成年初预算的100%。决算数与年初预算数相同。</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3.行政事业单位养老支出（款）机关事业单位职业年金缴费支出（项）。年初预算8.65万元，支出决算8.25万元，完成年初预算的95.38%。决算数与年初预算数的差异原因：人员变动及工资政策性调整。</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4.其他社会保障和就业支出（款）其他社会保障和就业支出（项）。年初预算138.41万元，支出决算207.11万元，完成年初预算的149.64%。决算数与年初预算数的差异原因：培训支出增加，人员变动及工资政策性调整。</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（二）住房保障支出（类）</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1.住房改革支出（款）住房公积金（项）。年初预算33.44万元，支出决算33.44万元，完成年初预算的100%。决算数与年初预算数相同。</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2.住房改革支出（款）提租补贴（项）。年初预算105.5万元，支出决算105.5万元，完成年初预算的100%。决算数与年初预算数相同。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六、财政拨款基本支出决算情况说明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2021年度财政拨款基本支出决算466.87万元，其中：</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楷体" w:hAnsi="楷体" w:eastAsia="楷体" w:cs="楷体"/>
        </w:rPr>
        <w:t>（一）人员经费440.43万元。</w:t>
      </w:r>
      <w:r>
        <w:rPr>
          <w:rFonts w:ascii="仿宋" w:hAnsi="仿宋" w:eastAsia="仿宋" w:cs="仿宋"/>
        </w:rPr>
        <w:t>主要包括：基本工资、津贴补贴、绩效工资、机关事业单位基本养老保险缴费、职业年金缴费、其他社会保障缴费、住房公积金、其他工资福利支出、退休费、生活补助。</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楷体" w:hAnsi="楷体" w:eastAsia="楷体" w:cs="楷体"/>
        </w:rPr>
        <w:t>（二）公用经费26.44万元。</w:t>
      </w:r>
      <w:r>
        <w:rPr>
          <w:rFonts w:ascii="仿宋" w:hAnsi="仿宋" w:eastAsia="仿宋" w:cs="仿宋"/>
        </w:rPr>
        <w:t>主要包括：办公费、印刷费、手续费、邮电费、差旅费、工会经费、公务用车运行维护费、其他商品和服务支出。</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七、一般公共预算支出决算情况说明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2021年度一般公共预算财政拨款支出决算466.87万元。与上年相比，增加80.75万元，增长20.91%，变动原因：培训支出增加，人员变动及工资政策性调整。</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八、一般公共预算基本支出决算情况说明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2021年度一般公共预算财政拨款基本支出决算466.87万元，其中：</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楷体" w:hAnsi="楷体" w:eastAsia="楷体" w:cs="楷体"/>
        </w:rPr>
        <w:t>（一）人员经费440.43万元。</w:t>
      </w:r>
      <w:r>
        <w:rPr>
          <w:rFonts w:ascii="仿宋" w:hAnsi="仿宋" w:eastAsia="仿宋" w:cs="仿宋"/>
        </w:rPr>
        <w:t>主要包括：基本工资、津贴补贴、绩效工资、机关事业单位基本养老保险缴费、职业年金缴费、其他社会保障缴费、住房公积金、其他工资福利支出、退休费、生活补助。</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楷体" w:hAnsi="楷体" w:eastAsia="楷体" w:cs="楷体"/>
        </w:rPr>
        <w:t>（二）公用经费26.44万元。</w:t>
      </w:r>
      <w:r>
        <w:rPr>
          <w:rFonts w:ascii="仿宋" w:hAnsi="仿宋" w:eastAsia="仿宋" w:cs="仿宋"/>
        </w:rPr>
        <w:t>主要包括：办公费、印刷费、手续费、邮电费、差旅费、工会经费、公务用车运行维护费、其他商品和服务支出。</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九、一般公共预算“三公”经费、会议费、培训费支出情况说明</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（一）一般公共预算“三公”经费支出总体情况说明。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三公”经费支出决算0.23万元。与上年相比，增加0.19万元，变动原因：公务用车支出增加。其中，因公出国（境）费支出0万元，占“三公”经费的0%；公务用车购置及运行维护费支出0.23万元，占“三公”经费的100%；公务接待费支出0万元，占“三公”经费的0%。</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（二）一般公共预算“三公”经费支出具体情况说明。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1．因公出国（境）费支出预算0万元，支出决算0万元，完成预算的100%，决算数与预算数相同。全年使用一般公共预算财政拨款涉及的出国（境）团组0个，累计0人次。</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2．公务用车购置及运行维护费支出预算1万元，支出决算0.23万元，完成预算的23%，决算数与预算数的差异原因：公务用车维护实际支出为0.23万。其中：</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（1）公务用车购置支出决算0万元。本年度使用一般公共预算财政拨款购置公务用车0辆。</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公务用车运行维护费支出决算0.23万元。公务用车运行维护费主要用于按规定保留的公务用车的燃料费、维修费、过桥过路费、保险费、安全奖励费用等支出。截至2021年12月31日，使用一般公共预算财政拨款开支的公务用车保有量为1辆。</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3．公务接待费支出预算0万元，支出决算0万元，完成预算的100%，决算数与预算数相同。其中：国内公务接待支出0万元，接待0批次，0人次；国（境）外公务接待支出0万元，接待0批次0人次。</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（三）一般公共预算会议费支出决算情况说明。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2021年度一般公共预算财政拨款会议费支出预算0万元，支出决算0万元，完成预算的100%，决算数与预算数相同。2021年度全年召开会议0个，参加会议0人次。</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（四）一般公共预算培训费支出决算情况说明。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2021年度一般公共预算财政拨款培训费支出预算0万元，支出决算0万元，完成预算的100%，决算数与预算数相同。2021年度全年组织培训0个，组织培训0人次。</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十、政府性基金预算财政拨款支出决算情况说明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2021年度政府性基金预算财政拨款支出决算0万元。与上年决算数相同。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十一、国有资本经营预算财政拨款支出决算情况说明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2021年度国有资本经营预算财政拨款支出决算0万元。与上年决算数相同。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十二、一般公共预算机关运行经费支出决算情况说明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2021年度机关运行经费支出决算0万元。与上年决算数相同。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十三、政府采购支出决算情况说明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政府采购支出总额3.15万元，其中：政府采购货物支出3.15万元、政府采购工程支出0万元、政府采购服务支出0万元。政府采购授予中小企业合同金额3.15万元，占政府采购支出总额的100%，其中：授予小微企业合同金额0万元，占政府采购支出总额的0%。</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十四、国有资产占用情况说明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截至2021年12月31日，本单位共有车辆1辆，其中：副部(省)级及以上领导用车0辆、主要领导干部用车0辆、机要通信用车0辆、应急保障用车0辆、执法执勤用车0辆、特种专业技术用车0辆、离退休干部用车0辆、其他用车1辆；单价50万元（含）以上的通用设备0台（套），单价100万元（含）以上的专用设备0台（套）。</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十五、预算绩效评价工作开展情况</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2021年度，本单位共0个项目开展了财政重点绩效评价，涉及财政性资金合计0万元；本单位未开展单位整体支出财政重点绩效评价，涉及财政性资金0万元。</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本单位共对上年度已实施完成的1个项目开展了绩效自评价，涉及财政性资金合计96.06万元；本单位共开展1项单位整体支出绩效自评价，涉及财政性资金合计466.87万元。</w:t>
      </w:r>
    </w:p>
    <w:p>
      <w:pPr>
        <w:pStyle w:val="5"/>
        <w:tabs>
          <w:tab w:val="left" w:pos="3077"/>
        </w:tabs>
        <w:spacing w:line="616" w:lineRule="exact"/>
        <w:rPr>
          <w:rFonts w:ascii="宋体" w:hAnsi="宋体" w:eastAsia="宋体" w:cs="宋体"/>
          <w:b/>
          <w:bCs/>
        </w:rPr>
      </w:pPr>
      <w:r>
        <w:rPr>
          <w:rFonts w:hint="eastAsia" w:ascii="宋体" w:hAnsi="宋体" w:eastAsia="宋体" w:cs="宋体"/>
          <w:b/>
          <w:bCs/>
        </w:rPr>
        <w:t>第四部分 名词</w:t>
      </w:r>
      <w:r>
        <w:rPr>
          <w:rFonts w:hint="eastAsia" w:ascii="宋体" w:hAnsi="宋体" w:eastAsia="宋体" w:cs="宋体"/>
          <w:b/>
          <w:bCs/>
          <w:color w:val="000000"/>
          <w:lang w:eastAsia="ar-SA"/>
        </w:rPr>
        <w:t>解释</w:t>
      </w:r>
    </w:p>
    <w:p>
      <w:pPr>
        <w:pStyle w:val="8"/>
        <w:tabs>
          <w:tab w:val="left" w:pos="3864"/>
          <w:tab w:val="left" w:pos="6248"/>
          <w:tab w:val="left" w:pos="7386"/>
        </w:tabs>
        <w:ind w:left="440" w:leftChars="200" w:firstLine="659" w:firstLineChars="206"/>
        <w:jc w:val="both"/>
        <w:rPr>
          <w:rFonts w:ascii="仿宋" w:hAnsi="仿宋" w:eastAsia="仿宋" w:cs="仿宋"/>
        </w:rPr>
      </w:pP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指单位从同级财政部门取得的各类财政拨款，包括一般公共预算财政拨款、政府性基金预算财政拨款、国有资本经营预算财政拨款。</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三、财政专户管理教育收费</w:t>
      </w:r>
      <w:r>
        <w:rPr>
          <w:rFonts w:ascii="仿宋" w:hAnsi="仿宋" w:eastAsia="仿宋" w:cs="仿宋"/>
          <w:b/>
        </w:rPr>
        <w:t>：</w:t>
      </w:r>
      <w:r>
        <w:rPr>
          <w:rFonts w:hint="eastAsia" w:ascii="仿宋" w:hAnsi="仿宋" w:eastAsia="仿宋" w:cs="仿宋"/>
        </w:rPr>
        <w:t>指缴入财政专户、实行专项管理的高中以上学费、住宿费、高校委托培养费、函大、电大、夜大及短训班培训费等教育收费。</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四、事业收入</w:t>
      </w:r>
      <w:r>
        <w:rPr>
          <w:rFonts w:ascii="仿宋" w:hAnsi="仿宋" w:eastAsia="仿宋" w:cs="仿宋"/>
          <w:b/>
        </w:rPr>
        <w:t>：</w:t>
      </w:r>
      <w:r>
        <w:rPr>
          <w:rFonts w:hint="eastAsia" w:ascii="仿宋" w:hAnsi="仿宋" w:eastAsia="仿宋" w:cs="仿宋"/>
        </w:rPr>
        <w:t>指事业单位开展专业业务活动及其辅助活动取得的收入。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五、经营收入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六、附属单位上缴收入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七、其他收入</w:t>
      </w:r>
      <w:r>
        <w:rPr>
          <w:rFonts w:ascii="仿宋" w:hAnsi="仿宋" w:eastAsia="仿宋" w:cs="仿宋"/>
          <w:b/>
        </w:rPr>
        <w:t>：</w:t>
      </w:r>
      <w:r>
        <w:rPr>
          <w:rFonts w:hint="eastAsia" w:ascii="仿宋" w:hAnsi="仿宋" w:eastAsia="仿宋" w:cs="仿宋"/>
        </w:rPr>
        <w:t>指单位取得的除上述“财政拨款收入”、 “上级补助收入”、“事业收入”、“经营收入”、“附属单位上缴收入”等以外的各项收入。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八、使用非财政拨款结余</w:t>
      </w:r>
      <w:r>
        <w:rPr>
          <w:rFonts w:ascii="仿宋" w:hAnsi="仿宋" w:eastAsia="仿宋" w:cs="仿宋"/>
          <w:b/>
        </w:rPr>
        <w:t>：</w:t>
      </w:r>
      <w:r>
        <w:rPr>
          <w:rFonts w:hint="eastAsia" w:ascii="仿宋" w:hAnsi="仿宋" w:eastAsia="仿宋" w:cs="仿宋"/>
        </w:rPr>
        <w:t>指事业单位按照预算管理要求使用非财政拨款结余（原事业基金）弥补当年收支差额的数额。</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九、年初结转和结余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指单位上年结转本年使用的基本支出结转、项目支出结转和结余、经营结余。</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十、结余分配</w:t>
      </w:r>
      <w:r>
        <w:rPr>
          <w:rFonts w:ascii="仿宋" w:hAnsi="仿宋" w:eastAsia="仿宋" w:cs="仿宋"/>
          <w:b/>
        </w:rPr>
        <w:t>：</w:t>
      </w:r>
      <w:r>
        <w:rPr>
          <w:rFonts w:hint="eastAsia" w:ascii="仿宋" w:hAnsi="仿宋" w:eastAsia="仿宋" w:cs="仿宋"/>
        </w:rPr>
        <w:t>指事业单位按规定缴纳的所得税以及从非财政拨款结余中提取各类结余的情况。</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十一、年末结转和结余资金</w:t>
      </w:r>
      <w:r>
        <w:rPr>
          <w:rFonts w:ascii="仿宋" w:hAnsi="仿宋" w:eastAsia="仿宋" w:cs="仿宋"/>
          <w:b/>
        </w:rPr>
        <w:t>：</w:t>
      </w:r>
      <w:r>
        <w:rPr>
          <w:rFonts w:hint="eastAsia" w:ascii="仿宋" w:hAnsi="仿宋" w:eastAsia="仿宋" w:cs="仿宋"/>
        </w:rPr>
        <w:t>指单位结转下年的基本支出结转、项目支出结转和结余、经营结余。</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十二、基本支出</w:t>
      </w:r>
      <w:r>
        <w:rPr>
          <w:rFonts w:ascii="仿宋" w:hAnsi="仿宋" w:eastAsia="仿宋" w:cs="仿宋"/>
          <w:b/>
        </w:rPr>
        <w:t>：</w:t>
      </w:r>
      <w:r>
        <w:rPr>
          <w:rFonts w:hint="eastAsia" w:ascii="仿宋" w:hAnsi="仿宋" w:eastAsia="仿宋" w:cs="仿宋"/>
        </w:rPr>
        <w:t>指为保障机构正常运转、完成日常工作任务所发生的支出，包括人员经费和公用经费。</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十三、项目支出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十四、上缴上级支出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十五、经营支出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十六、对附属单位补助支出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十七、“三公”经费</w:t>
      </w:r>
      <w:r>
        <w:rPr>
          <w:rFonts w:ascii="仿宋" w:hAnsi="仿宋" w:eastAsia="仿宋" w:cs="仿宋"/>
          <w:b/>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十八、机关运行经费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十九、社会保障和就业支出(类)民政管理事务(款)其他民政管理事务支出(项)</w:t>
      </w:r>
      <w:r>
        <w:rPr>
          <w:rFonts w:ascii="仿宋" w:hAnsi="仿宋" w:eastAsia="仿宋" w:cs="仿宋"/>
          <w:b/>
        </w:rPr>
        <w:t>：</w:t>
      </w:r>
      <w:r>
        <w:rPr>
          <w:rFonts w:hint="eastAsia" w:ascii="仿宋" w:hAnsi="仿宋" w:eastAsia="仿宋" w:cs="仿宋"/>
        </w:rPr>
        <w:t>反映民政部门接待来访、法制建设、政策宣传方面的支出，以及开展社会救助、社会福利、养老服务、社会事务、信息化建设等方面的支出。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二十一、社会保障和就业支出(类)行政事业单位养老支出(款)机关事业单位职业年金缴费支出(项)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二十二、社会保障和就业支出(类)其他社会保障和就业支出(款)其他社会保障和就业支出(项)</w:t>
      </w:r>
      <w:r>
        <w:rPr>
          <w:rFonts w:ascii="仿宋" w:hAnsi="仿宋" w:eastAsia="仿宋" w:cs="仿宋"/>
          <w:b/>
        </w:rPr>
        <w:t>：</w:t>
      </w:r>
      <w:r>
        <w:rPr>
          <w:rFonts w:hint="eastAsia" w:ascii="仿宋" w:hAnsi="仿宋" w:eastAsia="仿宋" w:cs="仿宋"/>
        </w:rPr>
        <w:t>反映除上述项目以外其他用于社会保障和就业方面的支出。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二十三、住房保障支出(类)住房改革支出(款)住房公积金(项)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二十四、住房保障支出(类)住房改革支出(款)提租补贴(项)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sectPr>
      <w:pgSz w:w="11906" w:h="16838"/>
      <w:pgMar w:top="1440" w:right="1080" w:bottom="1440" w:left="1080" w:header="170" w:footer="280" w:gutter="0"/>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6"/>
    <w:family w:val="swiss"/>
    <w:pitch w:val="default"/>
    <w:sig w:usb0="FFFFFFFF" w:usb1="E9FFFFFF" w:usb2="0000003F" w:usb3="00000000" w:csb0="603F01FF" w:csb1="FFFF0000"/>
  </w:font>
  <w:font w:name="Liberation Sans">
    <w:altName w:val="Arial Unicode MS"/>
    <w:panose1 w:val="00000000000000000000"/>
    <w:charset w:val="86"/>
    <w:family w:val="roman"/>
    <w:pitch w:val="default"/>
    <w:sig w:usb0="00000000" w:usb1="00000000" w:usb2="00000021" w:usb3="00000000" w:csb0="600001BF" w:csb1="DFF70000"/>
  </w:font>
  <w:font w:name="Liberation Mono">
    <w:altName w:val="宋体"/>
    <w:panose1 w:val="00000000000000000000"/>
    <w:charset w:val="86"/>
    <w:family w:val="roman"/>
    <w:pitch w:val="default"/>
    <w:sig w:usb0="00000000" w:usb1="00000000" w:usb2="00000001" w:usb3="00000000" w:csb0="600001BF" w:csb1="DFF7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1" o:spid="_x0000_s4101"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- 15 -</w:t>
                </w:r>
                <w:r>
                  <w:rPr>
                    <w:rFonts w:hint="eastAsia"/>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2" o:spid="_x0000_s4102"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- 18 -</w:t>
                </w:r>
                <w:r>
                  <w:rPr>
                    <w:rFonts w:hint="eastAsia"/>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3" o:spid="_x0000_s410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- 19 -</w:t>
                </w:r>
                <w:r>
                  <w:rPr>
                    <w:rFonts w:hint="eastAsia"/>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4" o:spid="_x0000_s410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- 22 -</w:t>
                </w:r>
                <w:r>
                  <w:rPr>
                    <w:rFonts w:hint="eastAsia"/>
                  </w:rPr>
                  <w:fldChar w:fldCharType="end"/>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5" o:spid="_x0000_s4105"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- 23 -</w:t>
                </w:r>
                <w:r>
                  <w:rPr>
                    <w:rFonts w:hint="eastAsia"/>
                  </w:rPr>
                  <w:fldChar w:fldCharType="end"/>
                </w:r>
              </w:p>
            </w:txbxContent>
          </v:textbox>
        </v:shape>
      </w:pic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6" o:spid="_x0000_s4106"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- 25 -</w:t>
                </w:r>
                <w:r>
                  <w:rPr>
                    <w:rFonts w:hint="eastAsia"/>
                  </w:rPr>
                  <w:fldChar w:fldCharType="end"/>
                </w:r>
              </w:p>
            </w:txbxContent>
          </v:textbox>
        </v:shape>
      </w:pic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10" o:spid="_x0000_s4110"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- 30 -</w:t>
                </w:r>
                <w:r>
                  <w:rPr>
                    <w:rFonts w:hint="eastAsia"/>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ascii="黑体" w:hAnsi="黑体" w:eastAsia="黑体" w:cs="黑体"/>
      </w:rPr>
    </w:pPr>
    <w:r>
      <w:rPr>
        <w:rFonts w:ascii="黑体" w:hAnsi="黑体" w:eastAsia="黑体" w:cs="黑体"/>
      </w:rPr>
      <w:pict>
        <v:shape id="_x0000_s4097" o:spid="_x0000_s4097" o:spt="202" type="#_x0000_t202" style="position:absolute;left:0pt;margin-top:0pt;height:144pt;width:144pt;mso-position-horizontal:center;mso-position-horizontal-relative:margin;mso-wrap-style:none;z-index:251652096;mso-width-relative:page;mso-height-relative:page;" filled="f" stroked="f" coordsize="21600,21600">
          <v:path/>
          <v:fill on="f" focussize="0,0"/>
          <v:stroke on="f" joinstyle="miter"/>
          <v:imagedata o:title=""/>
          <o:lock v:ext="edit"/>
          <v:textbox inset="0mm,0mm,0mm,0mm" style="mso-fit-shape-to-text:t;">
            <w:txbxContent>
              <w:p>
                <w:pPr>
                  <w:pStyle w:val="9"/>
                  <w:rPr>
                    <w:rFonts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PAGE  \* MERGEFORMAT </w:instrText>
                </w:r>
                <w:r>
                  <w:rPr>
                    <w:rFonts w:hint="eastAsia" w:ascii="黑体" w:hAnsi="黑体" w:eastAsia="黑体" w:cs="黑体"/>
                  </w:rPr>
                  <w:fldChar w:fldCharType="separate"/>
                </w:r>
                <w:r>
                  <w:rPr>
                    <w:rFonts w:ascii="黑体" w:hAnsi="黑体" w:eastAsia="黑体" w:cs="黑体"/>
                  </w:rPr>
                  <w:t>- 1 -</w:t>
                </w:r>
                <w:r>
                  <w:rPr>
                    <w:rFonts w:hint="eastAsia" w:ascii="黑体" w:hAnsi="黑体" w:eastAsia="黑体" w:cs="黑体"/>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ascii="黑体" w:hAnsi="黑体" w:eastAsia="黑体" w:cs="黑体"/>
      </w:rPr>
    </w:pPr>
    <w:r>
      <w:rPr>
        <w:rFonts w:ascii="黑体" w:hAnsi="黑体" w:eastAsia="黑体" w:cs="黑体"/>
      </w:rPr>
      <w:pict>
        <v:shape id="_x0000_s4113" o:spid="_x0000_s4113" o:spt="202" type="#_x0000_t202" style="position:absolute;left:0pt;margin-top:0pt;height:144pt;width:144pt;mso-position-horizontal:center;mso-position-horizontal-relative:margin;mso-wrap-style:none;z-index:251653120;mso-width-relative:page;mso-height-relative:page;" filled="f" stroked="f" coordsize="21600,21600">
          <v:path/>
          <v:fill on="f" focussize="0,0"/>
          <v:stroke on="f" joinstyle="miter"/>
          <v:imagedata o:title=""/>
          <o:lock v:ext="edit"/>
          <v:textbox inset="0mm,0mm,0mm,0mm" style="mso-fit-shape-to-text:t;">
            <w:txbxContent>
              <w:p>
                <w:pPr>
                  <w:pStyle w:val="9"/>
                  <w:rPr>
                    <w:rFonts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PAGE  \* MERGEFORMAT </w:instrText>
                </w:r>
                <w:r>
                  <w:rPr>
                    <w:rFonts w:hint="eastAsia" w:ascii="黑体" w:hAnsi="黑体" w:eastAsia="黑体" w:cs="黑体"/>
                  </w:rPr>
                  <w:fldChar w:fldCharType="separate"/>
                </w:r>
                <w:r>
                  <w:rPr>
                    <w:rFonts w:ascii="黑体" w:hAnsi="黑体" w:eastAsia="黑体" w:cs="黑体"/>
                  </w:rPr>
                  <w:t>- 8 -</w:t>
                </w:r>
                <w:r>
                  <w:rPr>
                    <w:rFonts w:hint="eastAsia" w:ascii="黑体" w:hAnsi="黑体" w:eastAsia="黑体" w:cs="黑体"/>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11" o:spid="_x0000_s4111" o:spt="202" type="#_x0000_t202" style="position:absolute;left:0pt;margin-top:0pt;height:144pt;width:144pt;mso-position-horizontal:center;mso-position-horizontal-relative:margin;mso-wrap-style:none;z-index:251654144;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- 10 -</w:t>
                </w:r>
                <w:r>
                  <w:rPr>
                    <w:rFonts w:hint="eastAsia"/>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12" o:spid="_x0000_s4112" o:spt="202" type="#_x0000_t202" style="position:absolute;left:0pt;margin-top:0pt;height:144pt;width:144pt;mso-position-horizontal:center;mso-position-horizontal-relative:margin;mso-wrap-style:none;z-index:251655168;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- 11 -</w:t>
                </w:r>
                <w:r>
                  <w:rPr>
                    <w:rFonts w:hint="eastAsia"/>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099" o:spid="_x0000_s4099" o:spt="202" type="#_x0000_t202" style="position:absolute;left:0pt;margin-top:0pt;height:144pt;width:144pt;mso-position-horizontal:center;mso-position-horizontal-relative:margin;mso-wrap-style:none;z-index:251656192;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- 12 -</w:t>
                </w:r>
                <w:r>
                  <w:rPr>
                    <w:rFonts w:hint="eastAsia"/>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0" o:spid="_x0000_s4100" o:spt="202" type="#_x0000_t202" style="position:absolute;left:0pt;margin-top:0pt;height:144pt;width:144pt;mso-position-horizontal:center;mso-position-horizontal-relative:margin;mso-wrap-style:none;z-index:251657216;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- 14 -</w:t>
                </w:r>
                <w:r>
                  <w:rPr>
                    <w:rFonts w:hint="eastAsia"/>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lang w:val="en-US"/>
      </w:rPr>
    </w:pPr>
    <w:r>
      <w:rPr>
        <w:rFonts w:hint="eastAsia"/>
        <w:lang w:val="en-US"/>
      </w:rPr>
      <w:t>江苏省民政干部学校</w:t>
    </w:r>
    <w:r>
      <w:t>2021年度单位决算公开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documentProtection w:enforcement="0"/>
  <w:defaultTabStop w:val="0"/>
  <w:autoHyphenation/>
  <w:noPunctuationKerning w:val="1"/>
  <w:characterSpacingControl w:val="doNotCompress"/>
  <w:hdrShapeDefaults>
    <o:shapelayout v:ext="edit">
      <o:idmap v:ext="edit" data="3,4"/>
    </o:shapelayout>
  </w:hdrShapeDefaults>
  <w:compat>
    <w:doNotExpandShiftReturn/>
    <w:doNotWrapTextWithPunct/>
    <w:doNotUseEastAsianBreakRules/>
    <w:useFELayout/>
    <w:doNotUseIndentAsNumberingTabStop/>
    <w:useAltKinsokuLineBreakRules/>
    <w:compatSetting w:name="compatibilityMode" w:uri="http://schemas.microsoft.com/office/word" w:val="12"/>
  </w:compat>
  <w:docVars>
    <w:docVar w:name="commondata" w:val="eyJoZGlkIjoiMGUwNWYwNGFmYzNiMTMwMzI4MzFhMzI2ZWRjOTFjMmMifQ=="/>
  </w:docVars>
  <w:rsids>
    <w:rsidRoot w:val="00762A26"/>
    <w:rsid w:val="00064984"/>
    <w:rsid w:val="00071789"/>
    <w:rsid w:val="000F12AB"/>
    <w:rsid w:val="001C31F9"/>
    <w:rsid w:val="002E63B1"/>
    <w:rsid w:val="00382299"/>
    <w:rsid w:val="00407CA7"/>
    <w:rsid w:val="00413AD8"/>
    <w:rsid w:val="004C0647"/>
    <w:rsid w:val="00671ED7"/>
    <w:rsid w:val="00672164"/>
    <w:rsid w:val="006732F1"/>
    <w:rsid w:val="00761D6A"/>
    <w:rsid w:val="00762A26"/>
    <w:rsid w:val="008322BB"/>
    <w:rsid w:val="00867423"/>
    <w:rsid w:val="008B5B05"/>
    <w:rsid w:val="009965EA"/>
    <w:rsid w:val="00A6752E"/>
    <w:rsid w:val="00B92181"/>
    <w:rsid w:val="00BD7F33"/>
    <w:rsid w:val="00C15920"/>
    <w:rsid w:val="00C82582"/>
    <w:rsid w:val="00FA3233"/>
    <w:rsid w:val="010F1E77"/>
    <w:rsid w:val="01536131"/>
    <w:rsid w:val="01657C13"/>
    <w:rsid w:val="017240DE"/>
    <w:rsid w:val="01875334"/>
    <w:rsid w:val="018E7014"/>
    <w:rsid w:val="019803DB"/>
    <w:rsid w:val="01C22655"/>
    <w:rsid w:val="01C61170"/>
    <w:rsid w:val="01D4677F"/>
    <w:rsid w:val="01F17DF5"/>
    <w:rsid w:val="01FA65AD"/>
    <w:rsid w:val="01FF1E15"/>
    <w:rsid w:val="02005B8D"/>
    <w:rsid w:val="021F4E94"/>
    <w:rsid w:val="023277C7"/>
    <w:rsid w:val="02377801"/>
    <w:rsid w:val="02420B21"/>
    <w:rsid w:val="02443CCC"/>
    <w:rsid w:val="0247556A"/>
    <w:rsid w:val="02624152"/>
    <w:rsid w:val="026604FF"/>
    <w:rsid w:val="027F398B"/>
    <w:rsid w:val="0284231A"/>
    <w:rsid w:val="02987B74"/>
    <w:rsid w:val="02A822D0"/>
    <w:rsid w:val="02AF69EA"/>
    <w:rsid w:val="02B14230"/>
    <w:rsid w:val="02C378BB"/>
    <w:rsid w:val="02D43672"/>
    <w:rsid w:val="02DD471D"/>
    <w:rsid w:val="02E5431C"/>
    <w:rsid w:val="02E8449D"/>
    <w:rsid w:val="02F0175E"/>
    <w:rsid w:val="02F513AC"/>
    <w:rsid w:val="02FE6DAE"/>
    <w:rsid w:val="03005360"/>
    <w:rsid w:val="03060F81"/>
    <w:rsid w:val="03121471"/>
    <w:rsid w:val="033F3F8A"/>
    <w:rsid w:val="034C108A"/>
    <w:rsid w:val="03673847"/>
    <w:rsid w:val="03690F36"/>
    <w:rsid w:val="03793778"/>
    <w:rsid w:val="037E4FBC"/>
    <w:rsid w:val="03802AE2"/>
    <w:rsid w:val="039F7320"/>
    <w:rsid w:val="03F86EFB"/>
    <w:rsid w:val="04137DFA"/>
    <w:rsid w:val="04156348"/>
    <w:rsid w:val="04461F7D"/>
    <w:rsid w:val="044E689B"/>
    <w:rsid w:val="0458580D"/>
    <w:rsid w:val="045E5FB7"/>
    <w:rsid w:val="049256F0"/>
    <w:rsid w:val="0495610D"/>
    <w:rsid w:val="04C730A4"/>
    <w:rsid w:val="04DA4474"/>
    <w:rsid w:val="04DF580C"/>
    <w:rsid w:val="04E946A2"/>
    <w:rsid w:val="04EA46EB"/>
    <w:rsid w:val="05185546"/>
    <w:rsid w:val="052126A9"/>
    <w:rsid w:val="05247FC3"/>
    <w:rsid w:val="05346113"/>
    <w:rsid w:val="05423E9C"/>
    <w:rsid w:val="05600A24"/>
    <w:rsid w:val="056A1C9B"/>
    <w:rsid w:val="057525F6"/>
    <w:rsid w:val="05843580"/>
    <w:rsid w:val="05856AD5"/>
    <w:rsid w:val="058C526F"/>
    <w:rsid w:val="05AB4AE4"/>
    <w:rsid w:val="05AB7BBE"/>
    <w:rsid w:val="05BD2716"/>
    <w:rsid w:val="05BE6B06"/>
    <w:rsid w:val="05C432C0"/>
    <w:rsid w:val="05C73A91"/>
    <w:rsid w:val="05DB04A3"/>
    <w:rsid w:val="05DB339C"/>
    <w:rsid w:val="05E80F9E"/>
    <w:rsid w:val="05F04613"/>
    <w:rsid w:val="05FE3016"/>
    <w:rsid w:val="06006806"/>
    <w:rsid w:val="060D1C4C"/>
    <w:rsid w:val="061C50DF"/>
    <w:rsid w:val="062B491C"/>
    <w:rsid w:val="06417385"/>
    <w:rsid w:val="064A6451"/>
    <w:rsid w:val="064C13A1"/>
    <w:rsid w:val="06542957"/>
    <w:rsid w:val="0681129C"/>
    <w:rsid w:val="06824DC3"/>
    <w:rsid w:val="0695552F"/>
    <w:rsid w:val="069B5E85"/>
    <w:rsid w:val="06C87B62"/>
    <w:rsid w:val="06EB2968"/>
    <w:rsid w:val="06F23CF7"/>
    <w:rsid w:val="07293490"/>
    <w:rsid w:val="072A453E"/>
    <w:rsid w:val="073A470E"/>
    <w:rsid w:val="07520D7A"/>
    <w:rsid w:val="075575FE"/>
    <w:rsid w:val="07580A5A"/>
    <w:rsid w:val="07656047"/>
    <w:rsid w:val="077C711D"/>
    <w:rsid w:val="078F7797"/>
    <w:rsid w:val="079361A1"/>
    <w:rsid w:val="07AE39F0"/>
    <w:rsid w:val="07BE007D"/>
    <w:rsid w:val="07C509DD"/>
    <w:rsid w:val="080041F1"/>
    <w:rsid w:val="08031AA7"/>
    <w:rsid w:val="0806186F"/>
    <w:rsid w:val="080C528C"/>
    <w:rsid w:val="080F6B2A"/>
    <w:rsid w:val="08214CF0"/>
    <w:rsid w:val="083B723A"/>
    <w:rsid w:val="084A5DB4"/>
    <w:rsid w:val="08582C83"/>
    <w:rsid w:val="085D1644"/>
    <w:rsid w:val="0860441B"/>
    <w:rsid w:val="08694955"/>
    <w:rsid w:val="08913758"/>
    <w:rsid w:val="08A333FC"/>
    <w:rsid w:val="08D342E7"/>
    <w:rsid w:val="08E003AE"/>
    <w:rsid w:val="08E93645"/>
    <w:rsid w:val="08FC0605"/>
    <w:rsid w:val="09165D85"/>
    <w:rsid w:val="091D32CD"/>
    <w:rsid w:val="0947142F"/>
    <w:rsid w:val="095F763D"/>
    <w:rsid w:val="096204B4"/>
    <w:rsid w:val="096B0C35"/>
    <w:rsid w:val="09891979"/>
    <w:rsid w:val="098926B4"/>
    <w:rsid w:val="09896468"/>
    <w:rsid w:val="09931095"/>
    <w:rsid w:val="09984875"/>
    <w:rsid w:val="09B3067A"/>
    <w:rsid w:val="09E82283"/>
    <w:rsid w:val="09EB3C7D"/>
    <w:rsid w:val="09F00295"/>
    <w:rsid w:val="09F032D5"/>
    <w:rsid w:val="09F45579"/>
    <w:rsid w:val="09F6640F"/>
    <w:rsid w:val="09FE0C6E"/>
    <w:rsid w:val="0A112BB9"/>
    <w:rsid w:val="0A1D215F"/>
    <w:rsid w:val="0A2639C8"/>
    <w:rsid w:val="0A2D2344"/>
    <w:rsid w:val="0A3F45FE"/>
    <w:rsid w:val="0A434869"/>
    <w:rsid w:val="0A516F86"/>
    <w:rsid w:val="0A6273E5"/>
    <w:rsid w:val="0A636CB9"/>
    <w:rsid w:val="0A7F08D2"/>
    <w:rsid w:val="0A964BFD"/>
    <w:rsid w:val="0A9D666F"/>
    <w:rsid w:val="0ADA70C2"/>
    <w:rsid w:val="0AFD463B"/>
    <w:rsid w:val="0B05614C"/>
    <w:rsid w:val="0B134992"/>
    <w:rsid w:val="0B160131"/>
    <w:rsid w:val="0B2B4189"/>
    <w:rsid w:val="0B392278"/>
    <w:rsid w:val="0B675A67"/>
    <w:rsid w:val="0B752A0F"/>
    <w:rsid w:val="0B813D25"/>
    <w:rsid w:val="0B89728A"/>
    <w:rsid w:val="0B9E71AD"/>
    <w:rsid w:val="0BAC43D1"/>
    <w:rsid w:val="0BB91287"/>
    <w:rsid w:val="0BBA4FFF"/>
    <w:rsid w:val="0BCD6A8D"/>
    <w:rsid w:val="0BCF6DAD"/>
    <w:rsid w:val="0BD87EAC"/>
    <w:rsid w:val="0BE46B89"/>
    <w:rsid w:val="0BF41C52"/>
    <w:rsid w:val="0C047996"/>
    <w:rsid w:val="0C0E112C"/>
    <w:rsid w:val="0C1337D7"/>
    <w:rsid w:val="0C2215AA"/>
    <w:rsid w:val="0C64719F"/>
    <w:rsid w:val="0C6536DB"/>
    <w:rsid w:val="0C797590"/>
    <w:rsid w:val="0C9B273A"/>
    <w:rsid w:val="0CA00951"/>
    <w:rsid w:val="0CBD0903"/>
    <w:rsid w:val="0CC51EAD"/>
    <w:rsid w:val="0CD230A9"/>
    <w:rsid w:val="0CD65166"/>
    <w:rsid w:val="0CDB2BBC"/>
    <w:rsid w:val="0CE84C0B"/>
    <w:rsid w:val="0CEF2113"/>
    <w:rsid w:val="0CEF2581"/>
    <w:rsid w:val="0D05225F"/>
    <w:rsid w:val="0D1424ED"/>
    <w:rsid w:val="0D261419"/>
    <w:rsid w:val="0D42705A"/>
    <w:rsid w:val="0D545049"/>
    <w:rsid w:val="0D617032"/>
    <w:rsid w:val="0D673696"/>
    <w:rsid w:val="0D6C5D61"/>
    <w:rsid w:val="0D760FDB"/>
    <w:rsid w:val="0D7F345D"/>
    <w:rsid w:val="0D991370"/>
    <w:rsid w:val="0DAC0D2B"/>
    <w:rsid w:val="0DAD6BC9"/>
    <w:rsid w:val="0DBA3094"/>
    <w:rsid w:val="0DD06A00"/>
    <w:rsid w:val="0DDF0D4D"/>
    <w:rsid w:val="0DFC3CDF"/>
    <w:rsid w:val="0DFD772C"/>
    <w:rsid w:val="0DFF5826"/>
    <w:rsid w:val="0E0A51F9"/>
    <w:rsid w:val="0E1F1C4F"/>
    <w:rsid w:val="0E27451D"/>
    <w:rsid w:val="0E4806AD"/>
    <w:rsid w:val="0E5E7568"/>
    <w:rsid w:val="0E662847"/>
    <w:rsid w:val="0E854C8B"/>
    <w:rsid w:val="0E94230E"/>
    <w:rsid w:val="0E946F22"/>
    <w:rsid w:val="0EA37FCC"/>
    <w:rsid w:val="0EE7610B"/>
    <w:rsid w:val="0EF65551"/>
    <w:rsid w:val="0EFE25F0"/>
    <w:rsid w:val="0F135152"/>
    <w:rsid w:val="0F711E78"/>
    <w:rsid w:val="0F807B33"/>
    <w:rsid w:val="0F8C6CB2"/>
    <w:rsid w:val="0F8F17E6"/>
    <w:rsid w:val="0FB029A1"/>
    <w:rsid w:val="0FB02B15"/>
    <w:rsid w:val="0FB21F29"/>
    <w:rsid w:val="0FB47D1E"/>
    <w:rsid w:val="0FCE598D"/>
    <w:rsid w:val="0FD77F2D"/>
    <w:rsid w:val="0FD849C7"/>
    <w:rsid w:val="0FE03B0E"/>
    <w:rsid w:val="0FE663C2"/>
    <w:rsid w:val="0FEF37CA"/>
    <w:rsid w:val="100928FC"/>
    <w:rsid w:val="10093E5F"/>
    <w:rsid w:val="101A62D4"/>
    <w:rsid w:val="10260EB5"/>
    <w:rsid w:val="1027035F"/>
    <w:rsid w:val="102A2753"/>
    <w:rsid w:val="102A69EF"/>
    <w:rsid w:val="102C3484"/>
    <w:rsid w:val="103D6600"/>
    <w:rsid w:val="10463305"/>
    <w:rsid w:val="106204CB"/>
    <w:rsid w:val="1068327B"/>
    <w:rsid w:val="1069097D"/>
    <w:rsid w:val="10703EDE"/>
    <w:rsid w:val="108C6F6A"/>
    <w:rsid w:val="10A90FB7"/>
    <w:rsid w:val="10B95885"/>
    <w:rsid w:val="10F845FF"/>
    <w:rsid w:val="11092167"/>
    <w:rsid w:val="110C3973"/>
    <w:rsid w:val="110D47B0"/>
    <w:rsid w:val="11110225"/>
    <w:rsid w:val="111930E1"/>
    <w:rsid w:val="111E1B8C"/>
    <w:rsid w:val="11252430"/>
    <w:rsid w:val="112E0021"/>
    <w:rsid w:val="1143676B"/>
    <w:rsid w:val="11471791"/>
    <w:rsid w:val="117C1012"/>
    <w:rsid w:val="11872569"/>
    <w:rsid w:val="11AB09B5"/>
    <w:rsid w:val="11B7025F"/>
    <w:rsid w:val="11C36B1F"/>
    <w:rsid w:val="11C52DC5"/>
    <w:rsid w:val="11E46932"/>
    <w:rsid w:val="11F221C7"/>
    <w:rsid w:val="11F2605E"/>
    <w:rsid w:val="11F724E3"/>
    <w:rsid w:val="122227BF"/>
    <w:rsid w:val="12313173"/>
    <w:rsid w:val="12313682"/>
    <w:rsid w:val="12437AFC"/>
    <w:rsid w:val="127A1044"/>
    <w:rsid w:val="128157F4"/>
    <w:rsid w:val="12AA36D7"/>
    <w:rsid w:val="12B566A2"/>
    <w:rsid w:val="12C448B1"/>
    <w:rsid w:val="12D32267"/>
    <w:rsid w:val="12E60488"/>
    <w:rsid w:val="12F05187"/>
    <w:rsid w:val="13142710"/>
    <w:rsid w:val="1335650B"/>
    <w:rsid w:val="133E1FA2"/>
    <w:rsid w:val="13871C6A"/>
    <w:rsid w:val="139377AA"/>
    <w:rsid w:val="13A44407"/>
    <w:rsid w:val="13A46379"/>
    <w:rsid w:val="13BD743A"/>
    <w:rsid w:val="13E2730D"/>
    <w:rsid w:val="13F85ED3"/>
    <w:rsid w:val="140626B0"/>
    <w:rsid w:val="140C350F"/>
    <w:rsid w:val="14207DA2"/>
    <w:rsid w:val="142101C9"/>
    <w:rsid w:val="143164E8"/>
    <w:rsid w:val="14341A45"/>
    <w:rsid w:val="146856DB"/>
    <w:rsid w:val="146B3433"/>
    <w:rsid w:val="14795A57"/>
    <w:rsid w:val="14933F94"/>
    <w:rsid w:val="14A34882"/>
    <w:rsid w:val="14A95C11"/>
    <w:rsid w:val="14AA0D30"/>
    <w:rsid w:val="14BA3B44"/>
    <w:rsid w:val="14CD6BF6"/>
    <w:rsid w:val="14EE3158"/>
    <w:rsid w:val="1504334D"/>
    <w:rsid w:val="15085477"/>
    <w:rsid w:val="152578C2"/>
    <w:rsid w:val="154755A3"/>
    <w:rsid w:val="15664CCA"/>
    <w:rsid w:val="156C1118"/>
    <w:rsid w:val="159E0364"/>
    <w:rsid w:val="15A959CF"/>
    <w:rsid w:val="15B93CF7"/>
    <w:rsid w:val="15D36B14"/>
    <w:rsid w:val="16053674"/>
    <w:rsid w:val="16146EAD"/>
    <w:rsid w:val="161A451C"/>
    <w:rsid w:val="161E395E"/>
    <w:rsid w:val="1621543B"/>
    <w:rsid w:val="163E1726"/>
    <w:rsid w:val="16565924"/>
    <w:rsid w:val="167F1A6B"/>
    <w:rsid w:val="16971C37"/>
    <w:rsid w:val="16A448E1"/>
    <w:rsid w:val="16BE14E7"/>
    <w:rsid w:val="16BE34FA"/>
    <w:rsid w:val="16DA6212"/>
    <w:rsid w:val="16ED632E"/>
    <w:rsid w:val="1705386D"/>
    <w:rsid w:val="170A0BE8"/>
    <w:rsid w:val="170D692B"/>
    <w:rsid w:val="1717031D"/>
    <w:rsid w:val="17451C21"/>
    <w:rsid w:val="175D47C3"/>
    <w:rsid w:val="176B2704"/>
    <w:rsid w:val="178C5AA1"/>
    <w:rsid w:val="178D35C8"/>
    <w:rsid w:val="17BC2D29"/>
    <w:rsid w:val="17EC4792"/>
    <w:rsid w:val="18025D64"/>
    <w:rsid w:val="1808589E"/>
    <w:rsid w:val="181B6E25"/>
    <w:rsid w:val="18272F04"/>
    <w:rsid w:val="183F0D66"/>
    <w:rsid w:val="1847137D"/>
    <w:rsid w:val="18473583"/>
    <w:rsid w:val="18585984"/>
    <w:rsid w:val="188B47DF"/>
    <w:rsid w:val="18916DBC"/>
    <w:rsid w:val="18AA3C15"/>
    <w:rsid w:val="18BA5D81"/>
    <w:rsid w:val="18C07826"/>
    <w:rsid w:val="18C77023"/>
    <w:rsid w:val="18E45469"/>
    <w:rsid w:val="18EE62E8"/>
    <w:rsid w:val="18FD3C01"/>
    <w:rsid w:val="190E24E6"/>
    <w:rsid w:val="19195D82"/>
    <w:rsid w:val="193033EC"/>
    <w:rsid w:val="19322678"/>
    <w:rsid w:val="194A216C"/>
    <w:rsid w:val="19517451"/>
    <w:rsid w:val="19562DE7"/>
    <w:rsid w:val="19603977"/>
    <w:rsid w:val="196D1879"/>
    <w:rsid w:val="19810F0A"/>
    <w:rsid w:val="199D3E22"/>
    <w:rsid w:val="19A676CD"/>
    <w:rsid w:val="19B34CEE"/>
    <w:rsid w:val="19C57B31"/>
    <w:rsid w:val="19CE54E8"/>
    <w:rsid w:val="19DA0E66"/>
    <w:rsid w:val="1A0868DE"/>
    <w:rsid w:val="1A386BB6"/>
    <w:rsid w:val="1A3E0B9C"/>
    <w:rsid w:val="1A5A0D30"/>
    <w:rsid w:val="1A641248"/>
    <w:rsid w:val="1A6B178B"/>
    <w:rsid w:val="1A6E7911"/>
    <w:rsid w:val="1AA11864"/>
    <w:rsid w:val="1ABF618E"/>
    <w:rsid w:val="1AD90120"/>
    <w:rsid w:val="1AEB035A"/>
    <w:rsid w:val="1AF0114F"/>
    <w:rsid w:val="1AF61156"/>
    <w:rsid w:val="1B114FF8"/>
    <w:rsid w:val="1B136BC2"/>
    <w:rsid w:val="1B1C5890"/>
    <w:rsid w:val="1B2C6156"/>
    <w:rsid w:val="1B363B76"/>
    <w:rsid w:val="1B394ECA"/>
    <w:rsid w:val="1B4D379A"/>
    <w:rsid w:val="1B612DA1"/>
    <w:rsid w:val="1B6F2A95"/>
    <w:rsid w:val="1B7011A6"/>
    <w:rsid w:val="1B894395"/>
    <w:rsid w:val="1BC84BF9"/>
    <w:rsid w:val="1BDD4B1E"/>
    <w:rsid w:val="1BE008E5"/>
    <w:rsid w:val="1BE426E0"/>
    <w:rsid w:val="1BEF5EDC"/>
    <w:rsid w:val="1BF3045F"/>
    <w:rsid w:val="1C171374"/>
    <w:rsid w:val="1C324768"/>
    <w:rsid w:val="1C383244"/>
    <w:rsid w:val="1C4928ED"/>
    <w:rsid w:val="1C706707"/>
    <w:rsid w:val="1C881C55"/>
    <w:rsid w:val="1C8C6E3B"/>
    <w:rsid w:val="1C8F4549"/>
    <w:rsid w:val="1C9B1094"/>
    <w:rsid w:val="1C9D7829"/>
    <w:rsid w:val="1CA25487"/>
    <w:rsid w:val="1CC01D49"/>
    <w:rsid w:val="1CCB706C"/>
    <w:rsid w:val="1CD36541"/>
    <w:rsid w:val="1CD53375"/>
    <w:rsid w:val="1CD770E1"/>
    <w:rsid w:val="1CDF3C35"/>
    <w:rsid w:val="1CDF48C5"/>
    <w:rsid w:val="1CED64E7"/>
    <w:rsid w:val="1CF10155"/>
    <w:rsid w:val="1CF655C7"/>
    <w:rsid w:val="1CF70CE3"/>
    <w:rsid w:val="1D083787"/>
    <w:rsid w:val="1D0E4D1B"/>
    <w:rsid w:val="1D1B1576"/>
    <w:rsid w:val="1D201166"/>
    <w:rsid w:val="1D235D75"/>
    <w:rsid w:val="1D5A4782"/>
    <w:rsid w:val="1D623037"/>
    <w:rsid w:val="1D660B43"/>
    <w:rsid w:val="1D672CB3"/>
    <w:rsid w:val="1D7C0925"/>
    <w:rsid w:val="1D817975"/>
    <w:rsid w:val="1D951979"/>
    <w:rsid w:val="1DAF110E"/>
    <w:rsid w:val="1DB61054"/>
    <w:rsid w:val="1DC835AB"/>
    <w:rsid w:val="1DC94431"/>
    <w:rsid w:val="1DD41F50"/>
    <w:rsid w:val="1DF7725D"/>
    <w:rsid w:val="1DFC3255"/>
    <w:rsid w:val="1DFD14A7"/>
    <w:rsid w:val="1E107489"/>
    <w:rsid w:val="1E120047"/>
    <w:rsid w:val="1E2456FC"/>
    <w:rsid w:val="1E387717"/>
    <w:rsid w:val="1E426EBA"/>
    <w:rsid w:val="1E5227F5"/>
    <w:rsid w:val="1E5B1486"/>
    <w:rsid w:val="1E6037E4"/>
    <w:rsid w:val="1E6C2CB1"/>
    <w:rsid w:val="1E86604F"/>
    <w:rsid w:val="1E8B2478"/>
    <w:rsid w:val="1EA55F87"/>
    <w:rsid w:val="1EB06519"/>
    <w:rsid w:val="1EBB4C20"/>
    <w:rsid w:val="1EC57AB3"/>
    <w:rsid w:val="1ECE40F1"/>
    <w:rsid w:val="1EEE7042"/>
    <w:rsid w:val="1EEF2C2E"/>
    <w:rsid w:val="1EF87EC0"/>
    <w:rsid w:val="1EF93282"/>
    <w:rsid w:val="1EFC05DA"/>
    <w:rsid w:val="1F242409"/>
    <w:rsid w:val="1F260691"/>
    <w:rsid w:val="1F274302"/>
    <w:rsid w:val="1F2F1476"/>
    <w:rsid w:val="1F342CDC"/>
    <w:rsid w:val="1F364345"/>
    <w:rsid w:val="1F3C055E"/>
    <w:rsid w:val="1F3F5AEF"/>
    <w:rsid w:val="1F5350F7"/>
    <w:rsid w:val="1F5838AB"/>
    <w:rsid w:val="1F65551D"/>
    <w:rsid w:val="1F721347"/>
    <w:rsid w:val="1F724421"/>
    <w:rsid w:val="1F8B39C7"/>
    <w:rsid w:val="1F925C1F"/>
    <w:rsid w:val="1FA17CC2"/>
    <w:rsid w:val="1FAE057F"/>
    <w:rsid w:val="1FB77434"/>
    <w:rsid w:val="1FCB1131"/>
    <w:rsid w:val="1FD866E0"/>
    <w:rsid w:val="1FEA282E"/>
    <w:rsid w:val="1FF73CD4"/>
    <w:rsid w:val="1FF92872"/>
    <w:rsid w:val="1FFE4976"/>
    <w:rsid w:val="20054643"/>
    <w:rsid w:val="200945DD"/>
    <w:rsid w:val="200B03E4"/>
    <w:rsid w:val="200E293D"/>
    <w:rsid w:val="201802D4"/>
    <w:rsid w:val="20362A4E"/>
    <w:rsid w:val="2043516B"/>
    <w:rsid w:val="204A1446"/>
    <w:rsid w:val="20571955"/>
    <w:rsid w:val="20594713"/>
    <w:rsid w:val="20632091"/>
    <w:rsid w:val="20834EBA"/>
    <w:rsid w:val="20900DEF"/>
    <w:rsid w:val="209B6228"/>
    <w:rsid w:val="20B61DE1"/>
    <w:rsid w:val="20CA13E8"/>
    <w:rsid w:val="20CA3D8E"/>
    <w:rsid w:val="20D245C5"/>
    <w:rsid w:val="20E47858"/>
    <w:rsid w:val="20EE2134"/>
    <w:rsid w:val="20F375E8"/>
    <w:rsid w:val="20F544F1"/>
    <w:rsid w:val="211508B6"/>
    <w:rsid w:val="21182154"/>
    <w:rsid w:val="21206CAA"/>
    <w:rsid w:val="213F3B84"/>
    <w:rsid w:val="2148186B"/>
    <w:rsid w:val="21776D10"/>
    <w:rsid w:val="218F0CEB"/>
    <w:rsid w:val="21A47E8B"/>
    <w:rsid w:val="21B52099"/>
    <w:rsid w:val="21EA64FE"/>
    <w:rsid w:val="223236E9"/>
    <w:rsid w:val="223F0861"/>
    <w:rsid w:val="224A27E1"/>
    <w:rsid w:val="224D407F"/>
    <w:rsid w:val="22543660"/>
    <w:rsid w:val="225F78FB"/>
    <w:rsid w:val="227347E3"/>
    <w:rsid w:val="227D4749"/>
    <w:rsid w:val="22B66C67"/>
    <w:rsid w:val="22B96619"/>
    <w:rsid w:val="22C34214"/>
    <w:rsid w:val="22C9349D"/>
    <w:rsid w:val="22CF4CB9"/>
    <w:rsid w:val="22E5714F"/>
    <w:rsid w:val="23073234"/>
    <w:rsid w:val="23153D35"/>
    <w:rsid w:val="231859C4"/>
    <w:rsid w:val="233651B2"/>
    <w:rsid w:val="233C5C01"/>
    <w:rsid w:val="23655593"/>
    <w:rsid w:val="23873CA0"/>
    <w:rsid w:val="23A668C2"/>
    <w:rsid w:val="23B5012E"/>
    <w:rsid w:val="23C6058D"/>
    <w:rsid w:val="23CC2CE3"/>
    <w:rsid w:val="23E97DD8"/>
    <w:rsid w:val="23F81D1C"/>
    <w:rsid w:val="24004EF0"/>
    <w:rsid w:val="242552B4"/>
    <w:rsid w:val="242D23BA"/>
    <w:rsid w:val="24361C71"/>
    <w:rsid w:val="245222E6"/>
    <w:rsid w:val="2455798C"/>
    <w:rsid w:val="246851A0"/>
    <w:rsid w:val="246E4FE1"/>
    <w:rsid w:val="247771B1"/>
    <w:rsid w:val="24797436"/>
    <w:rsid w:val="24893698"/>
    <w:rsid w:val="248A0DA1"/>
    <w:rsid w:val="248B0DC9"/>
    <w:rsid w:val="24AC7248"/>
    <w:rsid w:val="24B228BF"/>
    <w:rsid w:val="24DE364C"/>
    <w:rsid w:val="24EF440E"/>
    <w:rsid w:val="25007ACF"/>
    <w:rsid w:val="25076767"/>
    <w:rsid w:val="25191A92"/>
    <w:rsid w:val="25290357"/>
    <w:rsid w:val="253C3B25"/>
    <w:rsid w:val="25513E86"/>
    <w:rsid w:val="255F5B0A"/>
    <w:rsid w:val="25664EB1"/>
    <w:rsid w:val="257302A1"/>
    <w:rsid w:val="2573629D"/>
    <w:rsid w:val="257B7E43"/>
    <w:rsid w:val="25A7022D"/>
    <w:rsid w:val="25C32FD6"/>
    <w:rsid w:val="25C603D0"/>
    <w:rsid w:val="25E1520A"/>
    <w:rsid w:val="25E2513A"/>
    <w:rsid w:val="25F45922"/>
    <w:rsid w:val="25FD2F48"/>
    <w:rsid w:val="261E645E"/>
    <w:rsid w:val="262E21CA"/>
    <w:rsid w:val="26713F63"/>
    <w:rsid w:val="26753166"/>
    <w:rsid w:val="267B561B"/>
    <w:rsid w:val="267C5A99"/>
    <w:rsid w:val="2682148D"/>
    <w:rsid w:val="268D22B5"/>
    <w:rsid w:val="269240CC"/>
    <w:rsid w:val="269A47B4"/>
    <w:rsid w:val="269E759F"/>
    <w:rsid w:val="26A526DC"/>
    <w:rsid w:val="26A5448A"/>
    <w:rsid w:val="26BF5BA2"/>
    <w:rsid w:val="26CB1A16"/>
    <w:rsid w:val="26EC7F5B"/>
    <w:rsid w:val="27016CF5"/>
    <w:rsid w:val="27175BDC"/>
    <w:rsid w:val="271B299E"/>
    <w:rsid w:val="271E071C"/>
    <w:rsid w:val="272B00CD"/>
    <w:rsid w:val="27381EB7"/>
    <w:rsid w:val="275E5E47"/>
    <w:rsid w:val="276C4FA7"/>
    <w:rsid w:val="27924AA1"/>
    <w:rsid w:val="27942BC4"/>
    <w:rsid w:val="27962E21"/>
    <w:rsid w:val="279768B3"/>
    <w:rsid w:val="279A19EA"/>
    <w:rsid w:val="27B169B4"/>
    <w:rsid w:val="27B21745"/>
    <w:rsid w:val="27B32BD6"/>
    <w:rsid w:val="27B911ED"/>
    <w:rsid w:val="27D27F60"/>
    <w:rsid w:val="27E744FA"/>
    <w:rsid w:val="27F83B89"/>
    <w:rsid w:val="27FE146D"/>
    <w:rsid w:val="28037CCB"/>
    <w:rsid w:val="28321D4D"/>
    <w:rsid w:val="283E36E3"/>
    <w:rsid w:val="283F446A"/>
    <w:rsid w:val="284675E2"/>
    <w:rsid w:val="284E0B22"/>
    <w:rsid w:val="28543497"/>
    <w:rsid w:val="28630B61"/>
    <w:rsid w:val="286C012F"/>
    <w:rsid w:val="286E4D4F"/>
    <w:rsid w:val="289B5942"/>
    <w:rsid w:val="28B77612"/>
    <w:rsid w:val="28BB465F"/>
    <w:rsid w:val="28D728F5"/>
    <w:rsid w:val="28E55011"/>
    <w:rsid w:val="28F25980"/>
    <w:rsid w:val="29012269"/>
    <w:rsid w:val="291451AB"/>
    <w:rsid w:val="29157417"/>
    <w:rsid w:val="29285E0F"/>
    <w:rsid w:val="294477FD"/>
    <w:rsid w:val="2947617E"/>
    <w:rsid w:val="29505C1F"/>
    <w:rsid w:val="296323DA"/>
    <w:rsid w:val="297158AB"/>
    <w:rsid w:val="29807966"/>
    <w:rsid w:val="299D065B"/>
    <w:rsid w:val="29B50FF4"/>
    <w:rsid w:val="29C02FCD"/>
    <w:rsid w:val="29C63807"/>
    <w:rsid w:val="29EB45D3"/>
    <w:rsid w:val="2A0312F6"/>
    <w:rsid w:val="2A07685B"/>
    <w:rsid w:val="2A0A72B2"/>
    <w:rsid w:val="2A102562"/>
    <w:rsid w:val="2A125E2D"/>
    <w:rsid w:val="2A2569D8"/>
    <w:rsid w:val="2A2F7528"/>
    <w:rsid w:val="2A3E46F3"/>
    <w:rsid w:val="2A5F36CE"/>
    <w:rsid w:val="2A613F70"/>
    <w:rsid w:val="2A7975D0"/>
    <w:rsid w:val="2A7B46D0"/>
    <w:rsid w:val="2A7E694A"/>
    <w:rsid w:val="2A88405F"/>
    <w:rsid w:val="2AB54EB7"/>
    <w:rsid w:val="2AC03F74"/>
    <w:rsid w:val="2AC86999"/>
    <w:rsid w:val="2ACD4D90"/>
    <w:rsid w:val="2ADC43C4"/>
    <w:rsid w:val="2AE07B98"/>
    <w:rsid w:val="2AE337D3"/>
    <w:rsid w:val="2B1B36C2"/>
    <w:rsid w:val="2B3C1AAA"/>
    <w:rsid w:val="2B77216D"/>
    <w:rsid w:val="2B7A42C1"/>
    <w:rsid w:val="2B82668D"/>
    <w:rsid w:val="2B8C19B3"/>
    <w:rsid w:val="2B9A7EB4"/>
    <w:rsid w:val="2BB8407D"/>
    <w:rsid w:val="2BBE24DE"/>
    <w:rsid w:val="2BBF0C02"/>
    <w:rsid w:val="2BDD28EB"/>
    <w:rsid w:val="2BE5357A"/>
    <w:rsid w:val="2BEC66B7"/>
    <w:rsid w:val="2BF43094"/>
    <w:rsid w:val="2BF909AA"/>
    <w:rsid w:val="2BFC0D12"/>
    <w:rsid w:val="2C016606"/>
    <w:rsid w:val="2C0757B7"/>
    <w:rsid w:val="2C153E60"/>
    <w:rsid w:val="2C1E422F"/>
    <w:rsid w:val="2C3818FC"/>
    <w:rsid w:val="2C5950A4"/>
    <w:rsid w:val="2C660130"/>
    <w:rsid w:val="2C73502A"/>
    <w:rsid w:val="2CB9711D"/>
    <w:rsid w:val="2CEA52EC"/>
    <w:rsid w:val="2CF3363A"/>
    <w:rsid w:val="2D000C25"/>
    <w:rsid w:val="2D0F4DB4"/>
    <w:rsid w:val="2D2D36A5"/>
    <w:rsid w:val="2D365B16"/>
    <w:rsid w:val="2D4B38B1"/>
    <w:rsid w:val="2D5646DC"/>
    <w:rsid w:val="2D584691"/>
    <w:rsid w:val="2D6D2070"/>
    <w:rsid w:val="2D9D0838"/>
    <w:rsid w:val="2D9E1C33"/>
    <w:rsid w:val="2DB652A4"/>
    <w:rsid w:val="2DB943B8"/>
    <w:rsid w:val="2DBB2419"/>
    <w:rsid w:val="2DBF7001"/>
    <w:rsid w:val="2DC26166"/>
    <w:rsid w:val="2DD13DB6"/>
    <w:rsid w:val="2DD903A8"/>
    <w:rsid w:val="2DEA2F76"/>
    <w:rsid w:val="2DF041FF"/>
    <w:rsid w:val="2DF76E1B"/>
    <w:rsid w:val="2DFD2DFD"/>
    <w:rsid w:val="2E10357E"/>
    <w:rsid w:val="2E177A17"/>
    <w:rsid w:val="2E1B30B3"/>
    <w:rsid w:val="2E310CF9"/>
    <w:rsid w:val="2E3E487D"/>
    <w:rsid w:val="2E41360C"/>
    <w:rsid w:val="2E450300"/>
    <w:rsid w:val="2E607FBE"/>
    <w:rsid w:val="2E615CAF"/>
    <w:rsid w:val="2E64456A"/>
    <w:rsid w:val="2E7264C5"/>
    <w:rsid w:val="2E7653DE"/>
    <w:rsid w:val="2E842882"/>
    <w:rsid w:val="2E8C6A3D"/>
    <w:rsid w:val="2EB508B8"/>
    <w:rsid w:val="2ED71BB4"/>
    <w:rsid w:val="2EF47A31"/>
    <w:rsid w:val="2F04472C"/>
    <w:rsid w:val="2F066396"/>
    <w:rsid w:val="2F2220C8"/>
    <w:rsid w:val="2F2655A5"/>
    <w:rsid w:val="2F30138F"/>
    <w:rsid w:val="2F5628C1"/>
    <w:rsid w:val="2F666780"/>
    <w:rsid w:val="2F6C2646"/>
    <w:rsid w:val="2F715851"/>
    <w:rsid w:val="2F81781A"/>
    <w:rsid w:val="2F8310E0"/>
    <w:rsid w:val="2FBA6AB0"/>
    <w:rsid w:val="2FDA5233"/>
    <w:rsid w:val="30186987"/>
    <w:rsid w:val="30383160"/>
    <w:rsid w:val="30396B3B"/>
    <w:rsid w:val="303D3D8D"/>
    <w:rsid w:val="30410449"/>
    <w:rsid w:val="304B34C7"/>
    <w:rsid w:val="304C3BC8"/>
    <w:rsid w:val="306F3884"/>
    <w:rsid w:val="30817D16"/>
    <w:rsid w:val="308C6F5A"/>
    <w:rsid w:val="3095731D"/>
    <w:rsid w:val="30977539"/>
    <w:rsid w:val="30AE1C64"/>
    <w:rsid w:val="30B73737"/>
    <w:rsid w:val="30C65728"/>
    <w:rsid w:val="30D06AF0"/>
    <w:rsid w:val="30DC1248"/>
    <w:rsid w:val="30E16401"/>
    <w:rsid w:val="30F229C1"/>
    <w:rsid w:val="30F93D50"/>
    <w:rsid w:val="310149B3"/>
    <w:rsid w:val="31175F84"/>
    <w:rsid w:val="313C3C3D"/>
    <w:rsid w:val="31405015"/>
    <w:rsid w:val="31537EEC"/>
    <w:rsid w:val="31591892"/>
    <w:rsid w:val="316F0F32"/>
    <w:rsid w:val="31736100"/>
    <w:rsid w:val="31750446"/>
    <w:rsid w:val="31773981"/>
    <w:rsid w:val="318F234F"/>
    <w:rsid w:val="319C6FC9"/>
    <w:rsid w:val="3205097C"/>
    <w:rsid w:val="3219245E"/>
    <w:rsid w:val="323677EC"/>
    <w:rsid w:val="323827BE"/>
    <w:rsid w:val="32495754"/>
    <w:rsid w:val="32541D1E"/>
    <w:rsid w:val="32601BAD"/>
    <w:rsid w:val="32605AA8"/>
    <w:rsid w:val="32615E04"/>
    <w:rsid w:val="326849A2"/>
    <w:rsid w:val="326B0F6E"/>
    <w:rsid w:val="327B69E7"/>
    <w:rsid w:val="328126D8"/>
    <w:rsid w:val="3284589B"/>
    <w:rsid w:val="32847649"/>
    <w:rsid w:val="32A04DB4"/>
    <w:rsid w:val="32BB4137"/>
    <w:rsid w:val="32C57C62"/>
    <w:rsid w:val="32D07FAA"/>
    <w:rsid w:val="32DE0BF1"/>
    <w:rsid w:val="32E158F1"/>
    <w:rsid w:val="33031007"/>
    <w:rsid w:val="330A1B9B"/>
    <w:rsid w:val="331C3D26"/>
    <w:rsid w:val="33341058"/>
    <w:rsid w:val="333472C1"/>
    <w:rsid w:val="33501C21"/>
    <w:rsid w:val="3361588C"/>
    <w:rsid w:val="33797999"/>
    <w:rsid w:val="338032CF"/>
    <w:rsid w:val="339F17B8"/>
    <w:rsid w:val="339F3BDD"/>
    <w:rsid w:val="33A9773C"/>
    <w:rsid w:val="33BE302F"/>
    <w:rsid w:val="33CE4708"/>
    <w:rsid w:val="33D00CCC"/>
    <w:rsid w:val="33E93AE7"/>
    <w:rsid w:val="33FB47B2"/>
    <w:rsid w:val="33FE062C"/>
    <w:rsid w:val="34000F51"/>
    <w:rsid w:val="34056B2D"/>
    <w:rsid w:val="340D123D"/>
    <w:rsid w:val="340D402A"/>
    <w:rsid w:val="34117F4A"/>
    <w:rsid w:val="34157A69"/>
    <w:rsid w:val="342F04EE"/>
    <w:rsid w:val="343278F3"/>
    <w:rsid w:val="343773FE"/>
    <w:rsid w:val="344352BB"/>
    <w:rsid w:val="34565015"/>
    <w:rsid w:val="345F13D2"/>
    <w:rsid w:val="346614E2"/>
    <w:rsid w:val="346F44E7"/>
    <w:rsid w:val="3477121B"/>
    <w:rsid w:val="34833930"/>
    <w:rsid w:val="348576A9"/>
    <w:rsid w:val="34880F47"/>
    <w:rsid w:val="34C33940"/>
    <w:rsid w:val="34CE5612"/>
    <w:rsid w:val="34CF786E"/>
    <w:rsid w:val="34D67F04"/>
    <w:rsid w:val="34DA288E"/>
    <w:rsid w:val="34E07C21"/>
    <w:rsid w:val="34E11C57"/>
    <w:rsid w:val="34E43EEA"/>
    <w:rsid w:val="34F47C15"/>
    <w:rsid w:val="34F540BD"/>
    <w:rsid w:val="34FF3C2C"/>
    <w:rsid w:val="35063B46"/>
    <w:rsid w:val="35095EB0"/>
    <w:rsid w:val="351C3CD0"/>
    <w:rsid w:val="352F1E92"/>
    <w:rsid w:val="353763F9"/>
    <w:rsid w:val="353C79F3"/>
    <w:rsid w:val="353F5F9A"/>
    <w:rsid w:val="35600779"/>
    <w:rsid w:val="35657FED"/>
    <w:rsid w:val="35976ED7"/>
    <w:rsid w:val="35977693"/>
    <w:rsid w:val="35980087"/>
    <w:rsid w:val="35B84DAB"/>
    <w:rsid w:val="35C52894"/>
    <w:rsid w:val="35D07049"/>
    <w:rsid w:val="35F036ED"/>
    <w:rsid w:val="35FB5BA7"/>
    <w:rsid w:val="36021E5F"/>
    <w:rsid w:val="36327AC4"/>
    <w:rsid w:val="3634601F"/>
    <w:rsid w:val="36496AF6"/>
    <w:rsid w:val="36547421"/>
    <w:rsid w:val="365E6403"/>
    <w:rsid w:val="367251E5"/>
    <w:rsid w:val="36826596"/>
    <w:rsid w:val="36903B9D"/>
    <w:rsid w:val="369736C3"/>
    <w:rsid w:val="36C301B0"/>
    <w:rsid w:val="36C40C39"/>
    <w:rsid w:val="36C95739"/>
    <w:rsid w:val="36D517D9"/>
    <w:rsid w:val="36D6243D"/>
    <w:rsid w:val="36DE6128"/>
    <w:rsid w:val="36DE6652"/>
    <w:rsid w:val="36F01751"/>
    <w:rsid w:val="36FD0B04"/>
    <w:rsid w:val="370275A1"/>
    <w:rsid w:val="3709636F"/>
    <w:rsid w:val="370C2D55"/>
    <w:rsid w:val="370E7E29"/>
    <w:rsid w:val="37215DAE"/>
    <w:rsid w:val="372633C5"/>
    <w:rsid w:val="372F7F54"/>
    <w:rsid w:val="37425D25"/>
    <w:rsid w:val="374754B1"/>
    <w:rsid w:val="374E45F3"/>
    <w:rsid w:val="37624933"/>
    <w:rsid w:val="37710FF7"/>
    <w:rsid w:val="377870D5"/>
    <w:rsid w:val="378C7B63"/>
    <w:rsid w:val="37C01AB5"/>
    <w:rsid w:val="37C357B7"/>
    <w:rsid w:val="37C8480D"/>
    <w:rsid w:val="38107733"/>
    <w:rsid w:val="38156F95"/>
    <w:rsid w:val="38246750"/>
    <w:rsid w:val="382A0C93"/>
    <w:rsid w:val="382E7411"/>
    <w:rsid w:val="38552071"/>
    <w:rsid w:val="385F25BB"/>
    <w:rsid w:val="386609E8"/>
    <w:rsid w:val="387B2A25"/>
    <w:rsid w:val="38A0575D"/>
    <w:rsid w:val="38A14437"/>
    <w:rsid w:val="38AC16A8"/>
    <w:rsid w:val="38B577A9"/>
    <w:rsid w:val="38B74C05"/>
    <w:rsid w:val="38CC421D"/>
    <w:rsid w:val="38D16635"/>
    <w:rsid w:val="38D373E7"/>
    <w:rsid w:val="38FA57F0"/>
    <w:rsid w:val="3936186D"/>
    <w:rsid w:val="395104A1"/>
    <w:rsid w:val="39514E0B"/>
    <w:rsid w:val="39566F53"/>
    <w:rsid w:val="395941C6"/>
    <w:rsid w:val="39693A3D"/>
    <w:rsid w:val="397905D6"/>
    <w:rsid w:val="39864DE3"/>
    <w:rsid w:val="39976270"/>
    <w:rsid w:val="399C32F4"/>
    <w:rsid w:val="399D5638"/>
    <w:rsid w:val="39B41C18"/>
    <w:rsid w:val="39B653E7"/>
    <w:rsid w:val="39C538F9"/>
    <w:rsid w:val="39CF5727"/>
    <w:rsid w:val="39D210D0"/>
    <w:rsid w:val="39D31839"/>
    <w:rsid w:val="39D7425E"/>
    <w:rsid w:val="39F2758E"/>
    <w:rsid w:val="39F82FB1"/>
    <w:rsid w:val="3A086DB2"/>
    <w:rsid w:val="3A1C273B"/>
    <w:rsid w:val="3A255D6F"/>
    <w:rsid w:val="3A291776"/>
    <w:rsid w:val="3A2B2AA0"/>
    <w:rsid w:val="3A30455A"/>
    <w:rsid w:val="3A43382A"/>
    <w:rsid w:val="3A51108A"/>
    <w:rsid w:val="3A5C534F"/>
    <w:rsid w:val="3A604CCB"/>
    <w:rsid w:val="3A667F7C"/>
    <w:rsid w:val="3A6711EA"/>
    <w:rsid w:val="3A6B021B"/>
    <w:rsid w:val="3A6C27C7"/>
    <w:rsid w:val="3A7D77A0"/>
    <w:rsid w:val="3A7E7CFE"/>
    <w:rsid w:val="3A95616C"/>
    <w:rsid w:val="3AB03D58"/>
    <w:rsid w:val="3AC0143A"/>
    <w:rsid w:val="3AE72E6B"/>
    <w:rsid w:val="3AF31112"/>
    <w:rsid w:val="3AF71C4F"/>
    <w:rsid w:val="3B0C28E2"/>
    <w:rsid w:val="3B325752"/>
    <w:rsid w:val="3B4113F9"/>
    <w:rsid w:val="3B4503AF"/>
    <w:rsid w:val="3B4B164C"/>
    <w:rsid w:val="3B4C0F20"/>
    <w:rsid w:val="3B4F0A10"/>
    <w:rsid w:val="3B5E513D"/>
    <w:rsid w:val="3B6E2308"/>
    <w:rsid w:val="3B700B9E"/>
    <w:rsid w:val="3B7A70C3"/>
    <w:rsid w:val="3B8C568A"/>
    <w:rsid w:val="3B8C6B52"/>
    <w:rsid w:val="3B9265F7"/>
    <w:rsid w:val="3BB36501"/>
    <w:rsid w:val="3BC10F8A"/>
    <w:rsid w:val="3BCA0430"/>
    <w:rsid w:val="3BD66A3C"/>
    <w:rsid w:val="3BDC3F68"/>
    <w:rsid w:val="3BDD601C"/>
    <w:rsid w:val="3BE21884"/>
    <w:rsid w:val="3C0D7BA2"/>
    <w:rsid w:val="3C1464E6"/>
    <w:rsid w:val="3C1F3B0A"/>
    <w:rsid w:val="3C2F5079"/>
    <w:rsid w:val="3C3814A4"/>
    <w:rsid w:val="3C3D7460"/>
    <w:rsid w:val="3C616C4D"/>
    <w:rsid w:val="3C6248AD"/>
    <w:rsid w:val="3C820BF8"/>
    <w:rsid w:val="3C9A772E"/>
    <w:rsid w:val="3CB974FB"/>
    <w:rsid w:val="3CD16A6C"/>
    <w:rsid w:val="3CFF2A56"/>
    <w:rsid w:val="3D083C3D"/>
    <w:rsid w:val="3D0F0BF5"/>
    <w:rsid w:val="3D254DA7"/>
    <w:rsid w:val="3D31435C"/>
    <w:rsid w:val="3D367754"/>
    <w:rsid w:val="3D4D01FD"/>
    <w:rsid w:val="3D8116F1"/>
    <w:rsid w:val="3D842DB5"/>
    <w:rsid w:val="3D927E3F"/>
    <w:rsid w:val="3DB41B96"/>
    <w:rsid w:val="3DD76D85"/>
    <w:rsid w:val="3DD83ABF"/>
    <w:rsid w:val="3DD86A9B"/>
    <w:rsid w:val="3DDA437C"/>
    <w:rsid w:val="3DEE4511"/>
    <w:rsid w:val="3DF461A3"/>
    <w:rsid w:val="3E03072B"/>
    <w:rsid w:val="3E0B6234"/>
    <w:rsid w:val="3E0C4997"/>
    <w:rsid w:val="3E1516BF"/>
    <w:rsid w:val="3E201151"/>
    <w:rsid w:val="3E54572C"/>
    <w:rsid w:val="3E600BB4"/>
    <w:rsid w:val="3E704F26"/>
    <w:rsid w:val="3E726EF0"/>
    <w:rsid w:val="3E8A2129"/>
    <w:rsid w:val="3E8C3990"/>
    <w:rsid w:val="3EA90437"/>
    <w:rsid w:val="3EC534C3"/>
    <w:rsid w:val="3EDA4D3F"/>
    <w:rsid w:val="3F0B745A"/>
    <w:rsid w:val="3F1708AB"/>
    <w:rsid w:val="3F8A0269"/>
    <w:rsid w:val="3F8A3D39"/>
    <w:rsid w:val="3F8D0174"/>
    <w:rsid w:val="3F95226A"/>
    <w:rsid w:val="3F987717"/>
    <w:rsid w:val="3FD23300"/>
    <w:rsid w:val="3FF47042"/>
    <w:rsid w:val="3FF54785"/>
    <w:rsid w:val="3FFC0AB7"/>
    <w:rsid w:val="3FFF0B26"/>
    <w:rsid w:val="4001677D"/>
    <w:rsid w:val="400445D6"/>
    <w:rsid w:val="4015659C"/>
    <w:rsid w:val="401D268F"/>
    <w:rsid w:val="40271F5C"/>
    <w:rsid w:val="403D5DB4"/>
    <w:rsid w:val="40444047"/>
    <w:rsid w:val="40452250"/>
    <w:rsid w:val="40501155"/>
    <w:rsid w:val="405229A9"/>
    <w:rsid w:val="40534AFF"/>
    <w:rsid w:val="406D3E12"/>
    <w:rsid w:val="408175F7"/>
    <w:rsid w:val="40955117"/>
    <w:rsid w:val="409E45E2"/>
    <w:rsid w:val="40A52125"/>
    <w:rsid w:val="40AE436A"/>
    <w:rsid w:val="40B61FF8"/>
    <w:rsid w:val="40C7171A"/>
    <w:rsid w:val="40D724A1"/>
    <w:rsid w:val="40E72D37"/>
    <w:rsid w:val="40E8793D"/>
    <w:rsid w:val="40EF4827"/>
    <w:rsid w:val="4114603C"/>
    <w:rsid w:val="413E57AF"/>
    <w:rsid w:val="415A1391"/>
    <w:rsid w:val="415E5B0A"/>
    <w:rsid w:val="41801923"/>
    <w:rsid w:val="41965A41"/>
    <w:rsid w:val="41970D49"/>
    <w:rsid w:val="41A25D3E"/>
    <w:rsid w:val="41B92A4F"/>
    <w:rsid w:val="41C964B4"/>
    <w:rsid w:val="41D13F2D"/>
    <w:rsid w:val="41D517BE"/>
    <w:rsid w:val="41D5429B"/>
    <w:rsid w:val="41F92ABD"/>
    <w:rsid w:val="41FC1B6A"/>
    <w:rsid w:val="42332E3A"/>
    <w:rsid w:val="423C4D26"/>
    <w:rsid w:val="42416CF7"/>
    <w:rsid w:val="424D1C7F"/>
    <w:rsid w:val="425846A6"/>
    <w:rsid w:val="426137A1"/>
    <w:rsid w:val="42624E34"/>
    <w:rsid w:val="427F218F"/>
    <w:rsid w:val="42840AD6"/>
    <w:rsid w:val="42870A90"/>
    <w:rsid w:val="428B63CF"/>
    <w:rsid w:val="42AF67D0"/>
    <w:rsid w:val="42BC0E70"/>
    <w:rsid w:val="42C245CE"/>
    <w:rsid w:val="42C35F6C"/>
    <w:rsid w:val="42CE53D3"/>
    <w:rsid w:val="42CF6F4F"/>
    <w:rsid w:val="42DD0E52"/>
    <w:rsid w:val="42F25C9A"/>
    <w:rsid w:val="43055AE1"/>
    <w:rsid w:val="430976F7"/>
    <w:rsid w:val="431A0C24"/>
    <w:rsid w:val="43284021"/>
    <w:rsid w:val="432D1637"/>
    <w:rsid w:val="434E1C20"/>
    <w:rsid w:val="43620283"/>
    <w:rsid w:val="4363286E"/>
    <w:rsid w:val="437101AA"/>
    <w:rsid w:val="43741014"/>
    <w:rsid w:val="43A73BE3"/>
    <w:rsid w:val="43AE7A7E"/>
    <w:rsid w:val="43B01826"/>
    <w:rsid w:val="43C7383A"/>
    <w:rsid w:val="43CA157C"/>
    <w:rsid w:val="43CF502D"/>
    <w:rsid w:val="43E8521C"/>
    <w:rsid w:val="43FD36FF"/>
    <w:rsid w:val="440B02B4"/>
    <w:rsid w:val="441C5080"/>
    <w:rsid w:val="44233849"/>
    <w:rsid w:val="44496945"/>
    <w:rsid w:val="446B500C"/>
    <w:rsid w:val="448508DF"/>
    <w:rsid w:val="44BF18A2"/>
    <w:rsid w:val="44CF71AB"/>
    <w:rsid w:val="44E23735"/>
    <w:rsid w:val="44E67CEF"/>
    <w:rsid w:val="44EA77F7"/>
    <w:rsid w:val="4517434D"/>
    <w:rsid w:val="45357785"/>
    <w:rsid w:val="45387766"/>
    <w:rsid w:val="453A760F"/>
    <w:rsid w:val="45491A3E"/>
    <w:rsid w:val="45503B28"/>
    <w:rsid w:val="45853082"/>
    <w:rsid w:val="45857508"/>
    <w:rsid w:val="45891F3C"/>
    <w:rsid w:val="4590274A"/>
    <w:rsid w:val="45905EAD"/>
    <w:rsid w:val="45A32084"/>
    <w:rsid w:val="45A8769B"/>
    <w:rsid w:val="45C344D5"/>
    <w:rsid w:val="45C864B7"/>
    <w:rsid w:val="45ED50AE"/>
    <w:rsid w:val="45FD0891"/>
    <w:rsid w:val="46185D52"/>
    <w:rsid w:val="46192347"/>
    <w:rsid w:val="46252A99"/>
    <w:rsid w:val="462C285E"/>
    <w:rsid w:val="4639249F"/>
    <w:rsid w:val="463A0304"/>
    <w:rsid w:val="464A4975"/>
    <w:rsid w:val="465670F7"/>
    <w:rsid w:val="4665558C"/>
    <w:rsid w:val="467C2D95"/>
    <w:rsid w:val="468477C0"/>
    <w:rsid w:val="4689127A"/>
    <w:rsid w:val="4695468D"/>
    <w:rsid w:val="469A6A31"/>
    <w:rsid w:val="46C73B51"/>
    <w:rsid w:val="46CA3A9F"/>
    <w:rsid w:val="46D83FB0"/>
    <w:rsid w:val="46F25071"/>
    <w:rsid w:val="471553B4"/>
    <w:rsid w:val="471E6457"/>
    <w:rsid w:val="471F398D"/>
    <w:rsid w:val="47232D85"/>
    <w:rsid w:val="475F6267"/>
    <w:rsid w:val="4760207C"/>
    <w:rsid w:val="4766336A"/>
    <w:rsid w:val="47743C9D"/>
    <w:rsid w:val="478657BA"/>
    <w:rsid w:val="478B55A3"/>
    <w:rsid w:val="47906F17"/>
    <w:rsid w:val="479A7A31"/>
    <w:rsid w:val="479B1699"/>
    <w:rsid w:val="47A10846"/>
    <w:rsid w:val="47AF51BF"/>
    <w:rsid w:val="47B81E12"/>
    <w:rsid w:val="47C12FC5"/>
    <w:rsid w:val="47D03B18"/>
    <w:rsid w:val="47DB1D58"/>
    <w:rsid w:val="47ED29D3"/>
    <w:rsid w:val="47EF74A3"/>
    <w:rsid w:val="47F50C9B"/>
    <w:rsid w:val="480C5CBF"/>
    <w:rsid w:val="480F1D14"/>
    <w:rsid w:val="4834394A"/>
    <w:rsid w:val="48390A7E"/>
    <w:rsid w:val="48515DC8"/>
    <w:rsid w:val="48531B40"/>
    <w:rsid w:val="485A65F3"/>
    <w:rsid w:val="48987720"/>
    <w:rsid w:val="489B34E7"/>
    <w:rsid w:val="489D4A92"/>
    <w:rsid w:val="48AA0D47"/>
    <w:rsid w:val="48AB437A"/>
    <w:rsid w:val="48B63E7D"/>
    <w:rsid w:val="48BB5E99"/>
    <w:rsid w:val="48C7608A"/>
    <w:rsid w:val="48E704DA"/>
    <w:rsid w:val="48E709AB"/>
    <w:rsid w:val="48FD1AAC"/>
    <w:rsid w:val="49074129"/>
    <w:rsid w:val="491C4628"/>
    <w:rsid w:val="491E413A"/>
    <w:rsid w:val="492B5D1A"/>
    <w:rsid w:val="49356195"/>
    <w:rsid w:val="493E72F4"/>
    <w:rsid w:val="49477CA3"/>
    <w:rsid w:val="495105E0"/>
    <w:rsid w:val="495530D2"/>
    <w:rsid w:val="495D4FB7"/>
    <w:rsid w:val="495F0F47"/>
    <w:rsid w:val="497F0713"/>
    <w:rsid w:val="49850611"/>
    <w:rsid w:val="49902920"/>
    <w:rsid w:val="499C3073"/>
    <w:rsid w:val="49B4660E"/>
    <w:rsid w:val="49E47F0A"/>
    <w:rsid w:val="4A221E06"/>
    <w:rsid w:val="4A2C05A1"/>
    <w:rsid w:val="4A487A49"/>
    <w:rsid w:val="4A563B69"/>
    <w:rsid w:val="4A661827"/>
    <w:rsid w:val="4A77137D"/>
    <w:rsid w:val="4A995804"/>
    <w:rsid w:val="4A9D3546"/>
    <w:rsid w:val="4AAA5C63"/>
    <w:rsid w:val="4AAC19DB"/>
    <w:rsid w:val="4ABE4002"/>
    <w:rsid w:val="4AD3789D"/>
    <w:rsid w:val="4AE61558"/>
    <w:rsid w:val="4AE629A4"/>
    <w:rsid w:val="4AF93679"/>
    <w:rsid w:val="4B1E0386"/>
    <w:rsid w:val="4B2B6DA4"/>
    <w:rsid w:val="4B327DA5"/>
    <w:rsid w:val="4B483ECE"/>
    <w:rsid w:val="4B4D5DE5"/>
    <w:rsid w:val="4B53713F"/>
    <w:rsid w:val="4B5918B4"/>
    <w:rsid w:val="4B5E178B"/>
    <w:rsid w:val="4B7A3887"/>
    <w:rsid w:val="4B7D53C9"/>
    <w:rsid w:val="4B85293F"/>
    <w:rsid w:val="4B902502"/>
    <w:rsid w:val="4B9B344B"/>
    <w:rsid w:val="4BA44460"/>
    <w:rsid w:val="4BDB55FA"/>
    <w:rsid w:val="4BF70A34"/>
    <w:rsid w:val="4C017B05"/>
    <w:rsid w:val="4C0849EF"/>
    <w:rsid w:val="4C125927"/>
    <w:rsid w:val="4C3A3FC8"/>
    <w:rsid w:val="4C3D55C6"/>
    <w:rsid w:val="4C520360"/>
    <w:rsid w:val="4C583BC9"/>
    <w:rsid w:val="4C667A5B"/>
    <w:rsid w:val="4C823BCA"/>
    <w:rsid w:val="4C8C73CE"/>
    <w:rsid w:val="4C9F1330"/>
    <w:rsid w:val="4CA23096"/>
    <w:rsid w:val="4CAB3457"/>
    <w:rsid w:val="4CAF57B3"/>
    <w:rsid w:val="4CD82614"/>
    <w:rsid w:val="4CEA67EB"/>
    <w:rsid w:val="4CF124C7"/>
    <w:rsid w:val="4CF70170"/>
    <w:rsid w:val="4CF907DC"/>
    <w:rsid w:val="4CFA619E"/>
    <w:rsid w:val="4CFD777A"/>
    <w:rsid w:val="4D043409"/>
    <w:rsid w:val="4D201110"/>
    <w:rsid w:val="4D3431C7"/>
    <w:rsid w:val="4D526F59"/>
    <w:rsid w:val="4D650150"/>
    <w:rsid w:val="4D7F0CE1"/>
    <w:rsid w:val="4D981DA3"/>
    <w:rsid w:val="4D9A5B1B"/>
    <w:rsid w:val="4D9C7AE5"/>
    <w:rsid w:val="4DA229B3"/>
    <w:rsid w:val="4DB35F12"/>
    <w:rsid w:val="4DE03AC2"/>
    <w:rsid w:val="4DEF02BD"/>
    <w:rsid w:val="4DFB0EC4"/>
    <w:rsid w:val="4E0336C0"/>
    <w:rsid w:val="4E0D72D8"/>
    <w:rsid w:val="4E125FF9"/>
    <w:rsid w:val="4E214868"/>
    <w:rsid w:val="4E274307"/>
    <w:rsid w:val="4E383ED6"/>
    <w:rsid w:val="4E3B5C73"/>
    <w:rsid w:val="4E560D60"/>
    <w:rsid w:val="4E564593"/>
    <w:rsid w:val="4E703F51"/>
    <w:rsid w:val="4E802F63"/>
    <w:rsid w:val="4E8A5B90"/>
    <w:rsid w:val="4E942C0A"/>
    <w:rsid w:val="4E98220D"/>
    <w:rsid w:val="4EB7399D"/>
    <w:rsid w:val="4EB96475"/>
    <w:rsid w:val="4EC372F3"/>
    <w:rsid w:val="4ECD2716"/>
    <w:rsid w:val="4ED35788"/>
    <w:rsid w:val="4EE73AF5"/>
    <w:rsid w:val="4EE84EA5"/>
    <w:rsid w:val="4EEE4AF5"/>
    <w:rsid w:val="4F0B544D"/>
    <w:rsid w:val="4F0C0C9A"/>
    <w:rsid w:val="4F165675"/>
    <w:rsid w:val="4F301FB1"/>
    <w:rsid w:val="4F473A81"/>
    <w:rsid w:val="4F4F7329"/>
    <w:rsid w:val="4F5260B5"/>
    <w:rsid w:val="4F5543EF"/>
    <w:rsid w:val="4F56624C"/>
    <w:rsid w:val="4F58224C"/>
    <w:rsid w:val="4F5A7FFE"/>
    <w:rsid w:val="4F5B752C"/>
    <w:rsid w:val="4F5F701C"/>
    <w:rsid w:val="4F8B2726"/>
    <w:rsid w:val="4F8B4457"/>
    <w:rsid w:val="4FA41146"/>
    <w:rsid w:val="4FA90297"/>
    <w:rsid w:val="4FD80B7D"/>
    <w:rsid w:val="4FDA01F8"/>
    <w:rsid w:val="4FE561E5"/>
    <w:rsid w:val="4FF221C3"/>
    <w:rsid w:val="4FF5172F"/>
    <w:rsid w:val="4FFA0634"/>
    <w:rsid w:val="500032A2"/>
    <w:rsid w:val="504E08AD"/>
    <w:rsid w:val="50575F45"/>
    <w:rsid w:val="505C4D01"/>
    <w:rsid w:val="506F4A92"/>
    <w:rsid w:val="507419FE"/>
    <w:rsid w:val="507C1E50"/>
    <w:rsid w:val="508B1CA1"/>
    <w:rsid w:val="50901457"/>
    <w:rsid w:val="509E5922"/>
    <w:rsid w:val="50A54F03"/>
    <w:rsid w:val="50AA168D"/>
    <w:rsid w:val="50AF4B30"/>
    <w:rsid w:val="50BC5CDC"/>
    <w:rsid w:val="50CA2BBB"/>
    <w:rsid w:val="50E74C38"/>
    <w:rsid w:val="50FC089B"/>
    <w:rsid w:val="50FD0D89"/>
    <w:rsid w:val="51024103"/>
    <w:rsid w:val="51025571"/>
    <w:rsid w:val="51071719"/>
    <w:rsid w:val="510819A0"/>
    <w:rsid w:val="51200E5F"/>
    <w:rsid w:val="5123009E"/>
    <w:rsid w:val="512C2CA7"/>
    <w:rsid w:val="512D289E"/>
    <w:rsid w:val="514152FB"/>
    <w:rsid w:val="51434ED1"/>
    <w:rsid w:val="514D0397"/>
    <w:rsid w:val="51595CED"/>
    <w:rsid w:val="516445A0"/>
    <w:rsid w:val="518956A9"/>
    <w:rsid w:val="521D4F6D"/>
    <w:rsid w:val="523A416D"/>
    <w:rsid w:val="52490C2A"/>
    <w:rsid w:val="5253273C"/>
    <w:rsid w:val="525505B5"/>
    <w:rsid w:val="5261544F"/>
    <w:rsid w:val="529414C0"/>
    <w:rsid w:val="52A01E26"/>
    <w:rsid w:val="52A52223"/>
    <w:rsid w:val="52B97CAE"/>
    <w:rsid w:val="52C504FB"/>
    <w:rsid w:val="52DC6BD6"/>
    <w:rsid w:val="52E13756"/>
    <w:rsid w:val="52E65840"/>
    <w:rsid w:val="52EF5C2D"/>
    <w:rsid w:val="52EF6909"/>
    <w:rsid w:val="52F47582"/>
    <w:rsid w:val="5311687F"/>
    <w:rsid w:val="531E71EE"/>
    <w:rsid w:val="5322283B"/>
    <w:rsid w:val="53230361"/>
    <w:rsid w:val="536270DB"/>
    <w:rsid w:val="5371534A"/>
    <w:rsid w:val="53720C63"/>
    <w:rsid w:val="53764934"/>
    <w:rsid w:val="537700D3"/>
    <w:rsid w:val="537A4622"/>
    <w:rsid w:val="53811681"/>
    <w:rsid w:val="538A520F"/>
    <w:rsid w:val="53933E3F"/>
    <w:rsid w:val="53AC4A7F"/>
    <w:rsid w:val="53B418CC"/>
    <w:rsid w:val="53F32910"/>
    <w:rsid w:val="53F4098D"/>
    <w:rsid w:val="53FC3AD9"/>
    <w:rsid w:val="53FE04C8"/>
    <w:rsid w:val="54206BE2"/>
    <w:rsid w:val="54297BB6"/>
    <w:rsid w:val="542B571F"/>
    <w:rsid w:val="54336DD4"/>
    <w:rsid w:val="543660C2"/>
    <w:rsid w:val="54375971"/>
    <w:rsid w:val="54453F00"/>
    <w:rsid w:val="544D196D"/>
    <w:rsid w:val="54723C7D"/>
    <w:rsid w:val="5478326E"/>
    <w:rsid w:val="547F6951"/>
    <w:rsid w:val="54854CE2"/>
    <w:rsid w:val="548965FC"/>
    <w:rsid w:val="548E5CAE"/>
    <w:rsid w:val="54905064"/>
    <w:rsid w:val="54931516"/>
    <w:rsid w:val="549F015A"/>
    <w:rsid w:val="54AF503F"/>
    <w:rsid w:val="54B25E40"/>
    <w:rsid w:val="54D730B0"/>
    <w:rsid w:val="54E812EA"/>
    <w:rsid w:val="54F76B5C"/>
    <w:rsid w:val="55020A87"/>
    <w:rsid w:val="550341FE"/>
    <w:rsid w:val="55042014"/>
    <w:rsid w:val="55210479"/>
    <w:rsid w:val="552A209A"/>
    <w:rsid w:val="55393BB8"/>
    <w:rsid w:val="55517407"/>
    <w:rsid w:val="55614C5E"/>
    <w:rsid w:val="556C5FEF"/>
    <w:rsid w:val="5572737D"/>
    <w:rsid w:val="55823A64"/>
    <w:rsid w:val="558C2621"/>
    <w:rsid w:val="55AD3652"/>
    <w:rsid w:val="55B9606B"/>
    <w:rsid w:val="55DE0E54"/>
    <w:rsid w:val="55EE4C56"/>
    <w:rsid w:val="55FF52A6"/>
    <w:rsid w:val="5633198E"/>
    <w:rsid w:val="563E5469"/>
    <w:rsid w:val="565A053D"/>
    <w:rsid w:val="566919C6"/>
    <w:rsid w:val="566C5546"/>
    <w:rsid w:val="56745BC9"/>
    <w:rsid w:val="568832FC"/>
    <w:rsid w:val="56907775"/>
    <w:rsid w:val="56C1236A"/>
    <w:rsid w:val="56CD56FA"/>
    <w:rsid w:val="56CF2CF8"/>
    <w:rsid w:val="56E34EAC"/>
    <w:rsid w:val="57016C0B"/>
    <w:rsid w:val="570203D1"/>
    <w:rsid w:val="571159E3"/>
    <w:rsid w:val="571D3ABE"/>
    <w:rsid w:val="571F6B78"/>
    <w:rsid w:val="57340D8E"/>
    <w:rsid w:val="57452F9B"/>
    <w:rsid w:val="57645BA3"/>
    <w:rsid w:val="576A1B6C"/>
    <w:rsid w:val="57805D82"/>
    <w:rsid w:val="579001D7"/>
    <w:rsid w:val="57936854"/>
    <w:rsid w:val="579848F6"/>
    <w:rsid w:val="57A22474"/>
    <w:rsid w:val="57AF0A2B"/>
    <w:rsid w:val="57C43A36"/>
    <w:rsid w:val="57F62116"/>
    <w:rsid w:val="580746F5"/>
    <w:rsid w:val="58101705"/>
    <w:rsid w:val="58335AD6"/>
    <w:rsid w:val="58346B6C"/>
    <w:rsid w:val="584265A5"/>
    <w:rsid w:val="58564D34"/>
    <w:rsid w:val="58707FAE"/>
    <w:rsid w:val="58733B38"/>
    <w:rsid w:val="58801DB1"/>
    <w:rsid w:val="58895B35"/>
    <w:rsid w:val="58906498"/>
    <w:rsid w:val="58C83D7C"/>
    <w:rsid w:val="58E7744A"/>
    <w:rsid w:val="59012EF2"/>
    <w:rsid w:val="5909370D"/>
    <w:rsid w:val="590D48EB"/>
    <w:rsid w:val="59495353"/>
    <w:rsid w:val="594B0611"/>
    <w:rsid w:val="594D4389"/>
    <w:rsid w:val="595D2922"/>
    <w:rsid w:val="59634E7E"/>
    <w:rsid w:val="597265E6"/>
    <w:rsid w:val="59943D66"/>
    <w:rsid w:val="5996188C"/>
    <w:rsid w:val="59A85569"/>
    <w:rsid w:val="59A90DF6"/>
    <w:rsid w:val="59B8686F"/>
    <w:rsid w:val="59B86AAB"/>
    <w:rsid w:val="59BF5B8E"/>
    <w:rsid w:val="59D027D3"/>
    <w:rsid w:val="59DE0C7A"/>
    <w:rsid w:val="59F04D56"/>
    <w:rsid w:val="59FD5DAF"/>
    <w:rsid w:val="5A125C89"/>
    <w:rsid w:val="5A417D7A"/>
    <w:rsid w:val="5A4C2893"/>
    <w:rsid w:val="5A4F7A61"/>
    <w:rsid w:val="5A6279C1"/>
    <w:rsid w:val="5A690D4F"/>
    <w:rsid w:val="5A852ECF"/>
    <w:rsid w:val="5A9C1659"/>
    <w:rsid w:val="5AA026B8"/>
    <w:rsid w:val="5AA116D7"/>
    <w:rsid w:val="5AAC7C87"/>
    <w:rsid w:val="5ADA1FF9"/>
    <w:rsid w:val="5AE821DA"/>
    <w:rsid w:val="5AED557F"/>
    <w:rsid w:val="5AF20641"/>
    <w:rsid w:val="5AFD1904"/>
    <w:rsid w:val="5B1552F3"/>
    <w:rsid w:val="5B2B4256"/>
    <w:rsid w:val="5B2C0607"/>
    <w:rsid w:val="5B3034F1"/>
    <w:rsid w:val="5B424CC5"/>
    <w:rsid w:val="5B4672E2"/>
    <w:rsid w:val="5B57504B"/>
    <w:rsid w:val="5B63362E"/>
    <w:rsid w:val="5B755268"/>
    <w:rsid w:val="5B7B51DE"/>
    <w:rsid w:val="5B88241C"/>
    <w:rsid w:val="5B90055D"/>
    <w:rsid w:val="5B9C2FC5"/>
    <w:rsid w:val="5BA54987"/>
    <w:rsid w:val="5BA65FD3"/>
    <w:rsid w:val="5BC86521"/>
    <w:rsid w:val="5BDC51D2"/>
    <w:rsid w:val="5BDE39BF"/>
    <w:rsid w:val="5C082709"/>
    <w:rsid w:val="5C11169E"/>
    <w:rsid w:val="5C14060C"/>
    <w:rsid w:val="5C180F45"/>
    <w:rsid w:val="5C182A2D"/>
    <w:rsid w:val="5C2E582C"/>
    <w:rsid w:val="5C4C1E77"/>
    <w:rsid w:val="5C7639BC"/>
    <w:rsid w:val="5C981DBF"/>
    <w:rsid w:val="5CA13925"/>
    <w:rsid w:val="5CBC5AAE"/>
    <w:rsid w:val="5CD12F06"/>
    <w:rsid w:val="5CD85C43"/>
    <w:rsid w:val="5CF7084F"/>
    <w:rsid w:val="5D02548B"/>
    <w:rsid w:val="5D0273FA"/>
    <w:rsid w:val="5D147937"/>
    <w:rsid w:val="5D1634FA"/>
    <w:rsid w:val="5D2733FE"/>
    <w:rsid w:val="5D2A0341"/>
    <w:rsid w:val="5D521F6E"/>
    <w:rsid w:val="5D614E5A"/>
    <w:rsid w:val="5D7A4EBD"/>
    <w:rsid w:val="5D7B2AFB"/>
    <w:rsid w:val="5D9D4948"/>
    <w:rsid w:val="5DA07441"/>
    <w:rsid w:val="5DAB5B22"/>
    <w:rsid w:val="5DC34C1A"/>
    <w:rsid w:val="5DC664B8"/>
    <w:rsid w:val="5DCD5EDE"/>
    <w:rsid w:val="5DDB01B6"/>
    <w:rsid w:val="5DDD01B0"/>
    <w:rsid w:val="5DE227D8"/>
    <w:rsid w:val="5DEE4FE1"/>
    <w:rsid w:val="5E040F9B"/>
    <w:rsid w:val="5E163DAD"/>
    <w:rsid w:val="5E18199F"/>
    <w:rsid w:val="5E276BBA"/>
    <w:rsid w:val="5E4A34BA"/>
    <w:rsid w:val="5E5166CA"/>
    <w:rsid w:val="5E572B7B"/>
    <w:rsid w:val="5E622685"/>
    <w:rsid w:val="5E6230CD"/>
    <w:rsid w:val="5E837070"/>
    <w:rsid w:val="5E916EEA"/>
    <w:rsid w:val="5EB629D1"/>
    <w:rsid w:val="5ED929BD"/>
    <w:rsid w:val="5EE004CC"/>
    <w:rsid w:val="5EEF44C3"/>
    <w:rsid w:val="5EF64B87"/>
    <w:rsid w:val="5EFE24CD"/>
    <w:rsid w:val="5F1E02ED"/>
    <w:rsid w:val="5F5335CE"/>
    <w:rsid w:val="5F5F0972"/>
    <w:rsid w:val="5F6123D2"/>
    <w:rsid w:val="5F6E604F"/>
    <w:rsid w:val="5F781A34"/>
    <w:rsid w:val="5F7C6175"/>
    <w:rsid w:val="5F8C113D"/>
    <w:rsid w:val="5F9E149B"/>
    <w:rsid w:val="5F9E76ED"/>
    <w:rsid w:val="5FA55B60"/>
    <w:rsid w:val="5FB55859"/>
    <w:rsid w:val="5FEE6A48"/>
    <w:rsid w:val="6028198E"/>
    <w:rsid w:val="602C2F4B"/>
    <w:rsid w:val="60457B68"/>
    <w:rsid w:val="605C4EB2"/>
    <w:rsid w:val="6060214E"/>
    <w:rsid w:val="6071387E"/>
    <w:rsid w:val="608C5797"/>
    <w:rsid w:val="60932B78"/>
    <w:rsid w:val="60B1182C"/>
    <w:rsid w:val="60B54E5F"/>
    <w:rsid w:val="60B60A66"/>
    <w:rsid w:val="60D67EB5"/>
    <w:rsid w:val="60E72435"/>
    <w:rsid w:val="60F12408"/>
    <w:rsid w:val="60F915AE"/>
    <w:rsid w:val="61085853"/>
    <w:rsid w:val="611834CF"/>
    <w:rsid w:val="61186844"/>
    <w:rsid w:val="61196AEE"/>
    <w:rsid w:val="611D2893"/>
    <w:rsid w:val="612015DC"/>
    <w:rsid w:val="6138147B"/>
    <w:rsid w:val="613D3456"/>
    <w:rsid w:val="61482832"/>
    <w:rsid w:val="615C785F"/>
    <w:rsid w:val="6161246C"/>
    <w:rsid w:val="617901B4"/>
    <w:rsid w:val="617A09D3"/>
    <w:rsid w:val="617A6407"/>
    <w:rsid w:val="617E2BD9"/>
    <w:rsid w:val="619C7C5C"/>
    <w:rsid w:val="61A66D2D"/>
    <w:rsid w:val="61A92379"/>
    <w:rsid w:val="61AB7F4F"/>
    <w:rsid w:val="61BA27D8"/>
    <w:rsid w:val="61BC7327"/>
    <w:rsid w:val="61D513C0"/>
    <w:rsid w:val="61F12BA4"/>
    <w:rsid w:val="61FC795F"/>
    <w:rsid w:val="62035F2D"/>
    <w:rsid w:val="62265778"/>
    <w:rsid w:val="622A0453"/>
    <w:rsid w:val="62347E94"/>
    <w:rsid w:val="62554D7B"/>
    <w:rsid w:val="62782477"/>
    <w:rsid w:val="62870321"/>
    <w:rsid w:val="6287090C"/>
    <w:rsid w:val="62892F39"/>
    <w:rsid w:val="62A52639"/>
    <w:rsid w:val="62C313EC"/>
    <w:rsid w:val="62C751AC"/>
    <w:rsid w:val="62D2532D"/>
    <w:rsid w:val="62D32926"/>
    <w:rsid w:val="62E775FD"/>
    <w:rsid w:val="62EB1C80"/>
    <w:rsid w:val="62F11E84"/>
    <w:rsid w:val="6306529F"/>
    <w:rsid w:val="631D7704"/>
    <w:rsid w:val="63224191"/>
    <w:rsid w:val="632B7CB6"/>
    <w:rsid w:val="632C5010"/>
    <w:rsid w:val="632D6A8C"/>
    <w:rsid w:val="63326075"/>
    <w:rsid w:val="63577595"/>
    <w:rsid w:val="636D1281"/>
    <w:rsid w:val="63921C8F"/>
    <w:rsid w:val="63974B7F"/>
    <w:rsid w:val="639F7B81"/>
    <w:rsid w:val="63A252D2"/>
    <w:rsid w:val="63BE7F46"/>
    <w:rsid w:val="63C546CA"/>
    <w:rsid w:val="63D43500"/>
    <w:rsid w:val="63E36016"/>
    <w:rsid w:val="64177A6E"/>
    <w:rsid w:val="64191A38"/>
    <w:rsid w:val="64463885"/>
    <w:rsid w:val="6468651B"/>
    <w:rsid w:val="646C6942"/>
    <w:rsid w:val="64754C21"/>
    <w:rsid w:val="648101EB"/>
    <w:rsid w:val="648F5856"/>
    <w:rsid w:val="64966BE4"/>
    <w:rsid w:val="64C649E5"/>
    <w:rsid w:val="64C971FC"/>
    <w:rsid w:val="64D17A33"/>
    <w:rsid w:val="64E536C8"/>
    <w:rsid w:val="6507446B"/>
    <w:rsid w:val="651F176C"/>
    <w:rsid w:val="651F307E"/>
    <w:rsid w:val="65243799"/>
    <w:rsid w:val="653730AD"/>
    <w:rsid w:val="65473BE4"/>
    <w:rsid w:val="654823B1"/>
    <w:rsid w:val="65670581"/>
    <w:rsid w:val="656E5DB3"/>
    <w:rsid w:val="658B7760"/>
    <w:rsid w:val="659514FA"/>
    <w:rsid w:val="65A71B0C"/>
    <w:rsid w:val="65AC2438"/>
    <w:rsid w:val="65B4203E"/>
    <w:rsid w:val="65BE6761"/>
    <w:rsid w:val="65C562C1"/>
    <w:rsid w:val="65DA30E2"/>
    <w:rsid w:val="65DC0944"/>
    <w:rsid w:val="65EB1B83"/>
    <w:rsid w:val="65EE7177"/>
    <w:rsid w:val="65FC3D56"/>
    <w:rsid w:val="660A61FF"/>
    <w:rsid w:val="6635457B"/>
    <w:rsid w:val="663B78CC"/>
    <w:rsid w:val="665E1984"/>
    <w:rsid w:val="66645598"/>
    <w:rsid w:val="66713242"/>
    <w:rsid w:val="66A57E71"/>
    <w:rsid w:val="66B75538"/>
    <w:rsid w:val="66BD4460"/>
    <w:rsid w:val="66C7577B"/>
    <w:rsid w:val="66D47A94"/>
    <w:rsid w:val="66E4759D"/>
    <w:rsid w:val="674B4F4A"/>
    <w:rsid w:val="674E19F8"/>
    <w:rsid w:val="67656D42"/>
    <w:rsid w:val="676A3DA6"/>
    <w:rsid w:val="676C1E7F"/>
    <w:rsid w:val="67773A51"/>
    <w:rsid w:val="679805D8"/>
    <w:rsid w:val="67BC3FEE"/>
    <w:rsid w:val="67CA7544"/>
    <w:rsid w:val="67D35A63"/>
    <w:rsid w:val="67D477F8"/>
    <w:rsid w:val="67F24A7A"/>
    <w:rsid w:val="67F325A0"/>
    <w:rsid w:val="67FF7C3A"/>
    <w:rsid w:val="68016A6B"/>
    <w:rsid w:val="6829477F"/>
    <w:rsid w:val="682F4FA9"/>
    <w:rsid w:val="68310698"/>
    <w:rsid w:val="68323C50"/>
    <w:rsid w:val="685A617B"/>
    <w:rsid w:val="686332F5"/>
    <w:rsid w:val="68646588"/>
    <w:rsid w:val="686E1C26"/>
    <w:rsid w:val="688232C2"/>
    <w:rsid w:val="68843A78"/>
    <w:rsid w:val="68996CA3"/>
    <w:rsid w:val="689F0599"/>
    <w:rsid w:val="68B43376"/>
    <w:rsid w:val="68B7537B"/>
    <w:rsid w:val="68DC3034"/>
    <w:rsid w:val="68DC4DE2"/>
    <w:rsid w:val="68F053F6"/>
    <w:rsid w:val="68F14D31"/>
    <w:rsid w:val="68F43A1E"/>
    <w:rsid w:val="69085BD7"/>
    <w:rsid w:val="69145603"/>
    <w:rsid w:val="69423186"/>
    <w:rsid w:val="69432BE1"/>
    <w:rsid w:val="694D728A"/>
    <w:rsid w:val="69594684"/>
    <w:rsid w:val="6988057F"/>
    <w:rsid w:val="699906A2"/>
    <w:rsid w:val="69A973BA"/>
    <w:rsid w:val="69AC12C2"/>
    <w:rsid w:val="69C411D0"/>
    <w:rsid w:val="69C62FFA"/>
    <w:rsid w:val="69D16911"/>
    <w:rsid w:val="69D501AF"/>
    <w:rsid w:val="69D86C6D"/>
    <w:rsid w:val="69E4001D"/>
    <w:rsid w:val="69FA48D7"/>
    <w:rsid w:val="69FF347E"/>
    <w:rsid w:val="6A0D6DC9"/>
    <w:rsid w:val="6A2B6021"/>
    <w:rsid w:val="6A4A19BA"/>
    <w:rsid w:val="6A564EBF"/>
    <w:rsid w:val="6A645FFB"/>
    <w:rsid w:val="6A6A2D90"/>
    <w:rsid w:val="6A701056"/>
    <w:rsid w:val="6A7A24EF"/>
    <w:rsid w:val="6A7E361E"/>
    <w:rsid w:val="6A9A2282"/>
    <w:rsid w:val="6ABB292C"/>
    <w:rsid w:val="6AC46CE5"/>
    <w:rsid w:val="6ACD0D45"/>
    <w:rsid w:val="6ACF10A2"/>
    <w:rsid w:val="6AE82164"/>
    <w:rsid w:val="6AEA4CF9"/>
    <w:rsid w:val="6AEA7C8A"/>
    <w:rsid w:val="6AF1726A"/>
    <w:rsid w:val="6AFE0C80"/>
    <w:rsid w:val="6B144D07"/>
    <w:rsid w:val="6B2A0779"/>
    <w:rsid w:val="6B2B1D80"/>
    <w:rsid w:val="6B3D3548"/>
    <w:rsid w:val="6B664EB6"/>
    <w:rsid w:val="6B841E8D"/>
    <w:rsid w:val="6BA87D31"/>
    <w:rsid w:val="6BB72998"/>
    <w:rsid w:val="6BBC73BD"/>
    <w:rsid w:val="6BC066B1"/>
    <w:rsid w:val="6BC8789F"/>
    <w:rsid w:val="6BEE37AA"/>
    <w:rsid w:val="6C0B1660"/>
    <w:rsid w:val="6C164AAF"/>
    <w:rsid w:val="6C256AA0"/>
    <w:rsid w:val="6C2C7E2E"/>
    <w:rsid w:val="6C523D39"/>
    <w:rsid w:val="6C533915"/>
    <w:rsid w:val="6C5506F2"/>
    <w:rsid w:val="6C7F31BE"/>
    <w:rsid w:val="6C8859AD"/>
    <w:rsid w:val="6CD91C0E"/>
    <w:rsid w:val="6CE01353"/>
    <w:rsid w:val="6CEA7AAC"/>
    <w:rsid w:val="6CF35CFC"/>
    <w:rsid w:val="6CF546C4"/>
    <w:rsid w:val="6CFA25E1"/>
    <w:rsid w:val="6CFE5C6F"/>
    <w:rsid w:val="6D2553A0"/>
    <w:rsid w:val="6D3F29A1"/>
    <w:rsid w:val="6D651DF3"/>
    <w:rsid w:val="6D6A3304"/>
    <w:rsid w:val="6D8D0DA1"/>
    <w:rsid w:val="6D995916"/>
    <w:rsid w:val="6D9E263C"/>
    <w:rsid w:val="6DB8406F"/>
    <w:rsid w:val="6DC26C9C"/>
    <w:rsid w:val="6DD658EE"/>
    <w:rsid w:val="6DDD6E36"/>
    <w:rsid w:val="6DEC1C21"/>
    <w:rsid w:val="6E152319"/>
    <w:rsid w:val="6E3B0BAF"/>
    <w:rsid w:val="6E3E0629"/>
    <w:rsid w:val="6E45554E"/>
    <w:rsid w:val="6E501AEB"/>
    <w:rsid w:val="6E7C11B5"/>
    <w:rsid w:val="6E7C32EF"/>
    <w:rsid w:val="6E7F556F"/>
    <w:rsid w:val="6E997C25"/>
    <w:rsid w:val="6E9F07E1"/>
    <w:rsid w:val="6EA14A30"/>
    <w:rsid w:val="6EA42846"/>
    <w:rsid w:val="6EB6105A"/>
    <w:rsid w:val="6EBA00D3"/>
    <w:rsid w:val="6EBD1212"/>
    <w:rsid w:val="6EC629FF"/>
    <w:rsid w:val="6EC7282F"/>
    <w:rsid w:val="6EC922AC"/>
    <w:rsid w:val="6ED21161"/>
    <w:rsid w:val="6F1C104C"/>
    <w:rsid w:val="6F255735"/>
    <w:rsid w:val="6F26499B"/>
    <w:rsid w:val="6F2F3282"/>
    <w:rsid w:val="6F467459"/>
    <w:rsid w:val="6F587A8E"/>
    <w:rsid w:val="6F5A7044"/>
    <w:rsid w:val="6F5D5506"/>
    <w:rsid w:val="6F600C59"/>
    <w:rsid w:val="6F7E2770"/>
    <w:rsid w:val="6F7F4719"/>
    <w:rsid w:val="6F800BBD"/>
    <w:rsid w:val="6F8776A7"/>
    <w:rsid w:val="6F8B4A66"/>
    <w:rsid w:val="6F957D21"/>
    <w:rsid w:val="6FA57C2A"/>
    <w:rsid w:val="6FC8405E"/>
    <w:rsid w:val="6FD175F7"/>
    <w:rsid w:val="6FD26F3F"/>
    <w:rsid w:val="6FD95378"/>
    <w:rsid w:val="6FEA24DA"/>
    <w:rsid w:val="6FF23B80"/>
    <w:rsid w:val="6FF670D1"/>
    <w:rsid w:val="70180DF5"/>
    <w:rsid w:val="701B6B38"/>
    <w:rsid w:val="703C1CAA"/>
    <w:rsid w:val="703E1108"/>
    <w:rsid w:val="704B7EBD"/>
    <w:rsid w:val="705B0CE2"/>
    <w:rsid w:val="7073427E"/>
    <w:rsid w:val="707F7FC1"/>
    <w:rsid w:val="70830694"/>
    <w:rsid w:val="7092075C"/>
    <w:rsid w:val="70AF49AD"/>
    <w:rsid w:val="70E234A9"/>
    <w:rsid w:val="70F257E2"/>
    <w:rsid w:val="712D7A96"/>
    <w:rsid w:val="71334F8E"/>
    <w:rsid w:val="713C2BF3"/>
    <w:rsid w:val="71526589"/>
    <w:rsid w:val="715517E0"/>
    <w:rsid w:val="71682CDB"/>
    <w:rsid w:val="717C301D"/>
    <w:rsid w:val="718B55F7"/>
    <w:rsid w:val="719E17CE"/>
    <w:rsid w:val="71AC3CA8"/>
    <w:rsid w:val="71E67530"/>
    <w:rsid w:val="71F27DA7"/>
    <w:rsid w:val="71F552A8"/>
    <w:rsid w:val="71FB09CF"/>
    <w:rsid w:val="71FD3369"/>
    <w:rsid w:val="7208350E"/>
    <w:rsid w:val="72264502"/>
    <w:rsid w:val="72332BB4"/>
    <w:rsid w:val="723358B2"/>
    <w:rsid w:val="72363B93"/>
    <w:rsid w:val="72366F69"/>
    <w:rsid w:val="72534367"/>
    <w:rsid w:val="72546CCC"/>
    <w:rsid w:val="72571A57"/>
    <w:rsid w:val="72981E43"/>
    <w:rsid w:val="729D3834"/>
    <w:rsid w:val="729F57FE"/>
    <w:rsid w:val="72A66B8C"/>
    <w:rsid w:val="72AD5CE4"/>
    <w:rsid w:val="72BB344D"/>
    <w:rsid w:val="72BD396A"/>
    <w:rsid w:val="72EA334F"/>
    <w:rsid w:val="72ED47BB"/>
    <w:rsid w:val="730B241D"/>
    <w:rsid w:val="7325797A"/>
    <w:rsid w:val="734C24BD"/>
    <w:rsid w:val="734D525A"/>
    <w:rsid w:val="7357002D"/>
    <w:rsid w:val="73576104"/>
    <w:rsid w:val="7358775B"/>
    <w:rsid w:val="737A3B75"/>
    <w:rsid w:val="73815738"/>
    <w:rsid w:val="738B18DE"/>
    <w:rsid w:val="739F3A97"/>
    <w:rsid w:val="73AF1694"/>
    <w:rsid w:val="73B673EF"/>
    <w:rsid w:val="73BC5F3C"/>
    <w:rsid w:val="73F02366"/>
    <w:rsid w:val="7419338E"/>
    <w:rsid w:val="742254DD"/>
    <w:rsid w:val="7437180D"/>
    <w:rsid w:val="74391D4B"/>
    <w:rsid w:val="74483CFE"/>
    <w:rsid w:val="744B0DA7"/>
    <w:rsid w:val="744D3074"/>
    <w:rsid w:val="74624CC6"/>
    <w:rsid w:val="746A5AD3"/>
    <w:rsid w:val="74723306"/>
    <w:rsid w:val="747A2CC8"/>
    <w:rsid w:val="747F3641"/>
    <w:rsid w:val="74B579B7"/>
    <w:rsid w:val="74B9011A"/>
    <w:rsid w:val="74BB7061"/>
    <w:rsid w:val="74BD640F"/>
    <w:rsid w:val="74CE3EB2"/>
    <w:rsid w:val="74E0065A"/>
    <w:rsid w:val="74E82D21"/>
    <w:rsid w:val="74EF5E2E"/>
    <w:rsid w:val="74F82FA3"/>
    <w:rsid w:val="750E03C1"/>
    <w:rsid w:val="751C6251"/>
    <w:rsid w:val="751E470B"/>
    <w:rsid w:val="753D7B6A"/>
    <w:rsid w:val="754026A2"/>
    <w:rsid w:val="75404391"/>
    <w:rsid w:val="754226B0"/>
    <w:rsid w:val="75662603"/>
    <w:rsid w:val="75670772"/>
    <w:rsid w:val="757A60AE"/>
    <w:rsid w:val="757C44C8"/>
    <w:rsid w:val="759A09C5"/>
    <w:rsid w:val="75A6427E"/>
    <w:rsid w:val="75B243A7"/>
    <w:rsid w:val="75CA0DE4"/>
    <w:rsid w:val="75DE6DB1"/>
    <w:rsid w:val="75E1612D"/>
    <w:rsid w:val="75E572CF"/>
    <w:rsid w:val="75FB07A2"/>
    <w:rsid w:val="761375E4"/>
    <w:rsid w:val="7621477C"/>
    <w:rsid w:val="76217478"/>
    <w:rsid w:val="763C572C"/>
    <w:rsid w:val="765608C9"/>
    <w:rsid w:val="7666354F"/>
    <w:rsid w:val="766B6ECD"/>
    <w:rsid w:val="76855EB9"/>
    <w:rsid w:val="768A26FB"/>
    <w:rsid w:val="7692691E"/>
    <w:rsid w:val="76996365"/>
    <w:rsid w:val="769A10D0"/>
    <w:rsid w:val="76A07D97"/>
    <w:rsid w:val="76C2349E"/>
    <w:rsid w:val="76CB35EC"/>
    <w:rsid w:val="76CE66B2"/>
    <w:rsid w:val="76D054CE"/>
    <w:rsid w:val="77040C67"/>
    <w:rsid w:val="770B16B4"/>
    <w:rsid w:val="77112A42"/>
    <w:rsid w:val="77260AF8"/>
    <w:rsid w:val="773B587C"/>
    <w:rsid w:val="774271F2"/>
    <w:rsid w:val="77453760"/>
    <w:rsid w:val="774845AD"/>
    <w:rsid w:val="774E4E52"/>
    <w:rsid w:val="77653D55"/>
    <w:rsid w:val="776A7D9F"/>
    <w:rsid w:val="77734AD9"/>
    <w:rsid w:val="77767106"/>
    <w:rsid w:val="777C7EBC"/>
    <w:rsid w:val="778B45A3"/>
    <w:rsid w:val="77A25449"/>
    <w:rsid w:val="77AB2363"/>
    <w:rsid w:val="77F3466D"/>
    <w:rsid w:val="780127F5"/>
    <w:rsid w:val="7822274B"/>
    <w:rsid w:val="7840608D"/>
    <w:rsid w:val="78494C44"/>
    <w:rsid w:val="78594455"/>
    <w:rsid w:val="78786AB3"/>
    <w:rsid w:val="78882890"/>
    <w:rsid w:val="78911745"/>
    <w:rsid w:val="78955947"/>
    <w:rsid w:val="78AA588F"/>
    <w:rsid w:val="78B065B0"/>
    <w:rsid w:val="78B83176"/>
    <w:rsid w:val="78BB7662"/>
    <w:rsid w:val="78C33E4A"/>
    <w:rsid w:val="7901119D"/>
    <w:rsid w:val="790D3EA5"/>
    <w:rsid w:val="791B2495"/>
    <w:rsid w:val="791D2A50"/>
    <w:rsid w:val="79366F18"/>
    <w:rsid w:val="79393B8B"/>
    <w:rsid w:val="79432736"/>
    <w:rsid w:val="794C7D62"/>
    <w:rsid w:val="795B1D53"/>
    <w:rsid w:val="79660E81"/>
    <w:rsid w:val="797940FE"/>
    <w:rsid w:val="79813945"/>
    <w:rsid w:val="79AA4A14"/>
    <w:rsid w:val="79B17BC5"/>
    <w:rsid w:val="79B63FC9"/>
    <w:rsid w:val="79DE02DD"/>
    <w:rsid w:val="79E07E40"/>
    <w:rsid w:val="79EB5D1B"/>
    <w:rsid w:val="79F71A7C"/>
    <w:rsid w:val="79FC52E4"/>
    <w:rsid w:val="79FC6182"/>
    <w:rsid w:val="79FD2E0A"/>
    <w:rsid w:val="7A0A6F4F"/>
    <w:rsid w:val="7A1A1C0E"/>
    <w:rsid w:val="7A456F6D"/>
    <w:rsid w:val="7A5F16CA"/>
    <w:rsid w:val="7A710D8E"/>
    <w:rsid w:val="7AAA2F92"/>
    <w:rsid w:val="7AB1300F"/>
    <w:rsid w:val="7AB64E52"/>
    <w:rsid w:val="7ADA0EA4"/>
    <w:rsid w:val="7AE75FBC"/>
    <w:rsid w:val="7AFC56DC"/>
    <w:rsid w:val="7B073F40"/>
    <w:rsid w:val="7B0D3216"/>
    <w:rsid w:val="7B345398"/>
    <w:rsid w:val="7B355131"/>
    <w:rsid w:val="7B4F7695"/>
    <w:rsid w:val="7B590C27"/>
    <w:rsid w:val="7B615D46"/>
    <w:rsid w:val="7B6C5EAB"/>
    <w:rsid w:val="7B7814A8"/>
    <w:rsid w:val="7B861DF2"/>
    <w:rsid w:val="7BA33013"/>
    <w:rsid w:val="7BD209F2"/>
    <w:rsid w:val="7BF702E8"/>
    <w:rsid w:val="7BFA0FA5"/>
    <w:rsid w:val="7BFE2BF5"/>
    <w:rsid w:val="7C0B3F04"/>
    <w:rsid w:val="7C134B67"/>
    <w:rsid w:val="7C162A9E"/>
    <w:rsid w:val="7C177BEA"/>
    <w:rsid w:val="7C1903CF"/>
    <w:rsid w:val="7C1D1542"/>
    <w:rsid w:val="7C206AB7"/>
    <w:rsid w:val="7C8646F6"/>
    <w:rsid w:val="7C876A78"/>
    <w:rsid w:val="7C9B46D0"/>
    <w:rsid w:val="7CA3413D"/>
    <w:rsid w:val="7CA95B93"/>
    <w:rsid w:val="7CBC0850"/>
    <w:rsid w:val="7CD3681B"/>
    <w:rsid w:val="7CD9190C"/>
    <w:rsid w:val="7CD97B5E"/>
    <w:rsid w:val="7CF20DD2"/>
    <w:rsid w:val="7CFF7134"/>
    <w:rsid w:val="7D0D49BE"/>
    <w:rsid w:val="7D8603E2"/>
    <w:rsid w:val="7D9C553A"/>
    <w:rsid w:val="7DC9372F"/>
    <w:rsid w:val="7DD0508B"/>
    <w:rsid w:val="7DE4119D"/>
    <w:rsid w:val="7DEE5B58"/>
    <w:rsid w:val="7E0B1390"/>
    <w:rsid w:val="7E1470DA"/>
    <w:rsid w:val="7E2B13AE"/>
    <w:rsid w:val="7E321DB6"/>
    <w:rsid w:val="7E53749D"/>
    <w:rsid w:val="7E5C45A3"/>
    <w:rsid w:val="7E6B2A38"/>
    <w:rsid w:val="7EA224D8"/>
    <w:rsid w:val="7ED03245"/>
    <w:rsid w:val="7ED25E9B"/>
    <w:rsid w:val="7ED37D6E"/>
    <w:rsid w:val="7F2F7F0A"/>
    <w:rsid w:val="7F7D2EBD"/>
    <w:rsid w:val="7F8846F0"/>
    <w:rsid w:val="7FA73F44"/>
    <w:rsid w:val="7FAD2052"/>
    <w:rsid w:val="7FB0411E"/>
    <w:rsid w:val="7FCA5021"/>
    <w:rsid w:val="7FEA3B6F"/>
    <w:rsid w:val="7FEE5147"/>
    <w:rsid w:val="7FF32CE5"/>
    <w:rsid w:val="BAFFAB79"/>
    <w:rsid w:val="DBEED555"/>
  </w:rsids>
  <m:mathPr>
    <m:lMargin m:val="0"/>
    <m:mathFont m:val="Cambria Math"/>
    <m:rMargin m:val="0"/>
    <m:wrapIndent m:val="1440"/>
    <m:brkBin m:val="before"/>
    <m:brkBinSub m:val="--"/>
    <m:defJc m:val="centerGroup"/>
    <m:intLim m:val="subSup"/>
    <m:naryLim m:val="undOvr"/>
    <m:smallFrac m:val=""/>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pPr>
    <w:rPr>
      <w:rFonts w:ascii="Arial Unicode MS" w:hAnsi="Arial Unicode MS" w:eastAsia="Arial Unicode MS" w:cs="Arial Unicode MS"/>
      <w:sz w:val="22"/>
      <w:szCs w:val="22"/>
      <w:lang w:val="zh-CN" w:eastAsia="zh-CN" w:bidi="zh-CN"/>
    </w:rPr>
  </w:style>
  <w:style w:type="paragraph" w:styleId="2">
    <w:name w:val="heading 1"/>
    <w:basedOn w:val="1"/>
    <w:next w:val="1"/>
    <w:qFormat/>
    <w:uiPriority w:val="1"/>
    <w:pPr>
      <w:ind w:left="-40"/>
      <w:outlineLvl w:val="0"/>
    </w:pPr>
    <w:rPr>
      <w:sz w:val="52"/>
      <w:szCs w:val="52"/>
    </w:rPr>
  </w:style>
  <w:style w:type="paragraph" w:styleId="3">
    <w:name w:val="heading 2"/>
    <w:basedOn w:val="1"/>
    <w:next w:val="1"/>
    <w:qFormat/>
    <w:uiPriority w:val="1"/>
    <w:pPr>
      <w:ind w:right="18"/>
      <w:jc w:val="center"/>
      <w:outlineLvl w:val="1"/>
    </w:pPr>
    <w:rPr>
      <w:sz w:val="44"/>
      <w:szCs w:val="44"/>
    </w:rPr>
  </w:style>
  <w:style w:type="paragraph" w:styleId="4">
    <w:name w:val="heading 3"/>
    <w:basedOn w:val="1"/>
    <w:next w:val="1"/>
    <w:qFormat/>
    <w:uiPriority w:val="1"/>
    <w:pPr>
      <w:ind w:left="1"/>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outlineLvl w:val="4"/>
    </w:pPr>
    <w:rPr>
      <w:sz w:val="33"/>
      <w:szCs w:val="33"/>
    </w:rPr>
  </w:style>
  <w:style w:type="character" w:default="1" w:styleId="12">
    <w:name w:val="Default Paragraph Font"/>
    <w:unhideWhenUsed/>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列出段落1"/>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customXml" Target="../customXml/item1.xml"/><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16.xml"/><Relationship Id="rId20" Type="http://schemas.openxmlformats.org/officeDocument/2006/relationships/footer" Target="footer15.xml"/><Relationship Id="rId2" Type="http://schemas.openxmlformats.org/officeDocument/2006/relationships/settings" Target="settings.xml"/><Relationship Id="rId19" Type="http://schemas.openxmlformats.org/officeDocument/2006/relationships/footer" Target="footer14.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customShpInfo spid="_x0000_s4113"/>
    <customShpInfo spid="_x0000_s4111"/>
    <customShpInfo spid="_x0000_s4112"/>
    <customShpInfo spid="_x0000_s4099"/>
    <customShpInfo spid="_x0000_s4100"/>
    <customShpInfo spid="_x0000_s4101"/>
    <customShpInfo spid="_x0000_s4102"/>
    <customShpInfo spid="_x0000_s4103"/>
    <customShpInfo spid="_x0000_s4104"/>
    <customShpInfo spid="_x0000_s4105"/>
    <customShpInfo spid="_x0000_s4106"/>
    <customShpInfo spid="_x0000_s411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32</Pages>
  <Words>2910</Words>
  <Characters>16592</Characters>
  <Lines>138</Lines>
  <Paragraphs>38</Paragraphs>
  <TotalTime>0</TotalTime>
  <ScaleCrop>false</ScaleCrop>
  <LinksUpToDate>false</LinksUpToDate>
  <CharactersWithSpaces>19464</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2022-09-09T01:12:00Z</dcterms:created>
  <dc:creator>陈长军(本处室套红)</dc:creator>
  <cp:lastModifiedBy>admin</cp:lastModifiedBy>
  <dcterms:modified xsi:type="dcterms:W3CDTF">2024-03-08T06:04:39Z</dcterms:modified>
  <dc:title>部门决算公开</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2533214665424557B16CF4115249519F</vt:lpwstr>
  </property>
  <property fmtid="{D5CDD505-2E9C-101B-9397-08002B2CF9AE}" pid="5" name="KSOProductBuildVer">
    <vt:lpwstr>2052-10.8.0.5715</vt:lpwstr>
  </property>
  <property fmtid="{D5CDD505-2E9C-101B-9397-08002B2CF9AE}" pid="6" name="LastSaved">
    <vt:filetime>2021-04-15T00:00:00Z</vt:filetime>
  </property>
</Properties>
</file>