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6EEE" w:rsidRDefault="00E86EEE" w:rsidP="00E86EEE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方正黑体_GBK"/>
          <w:color w:val="000000"/>
          <w:kern w:val="0"/>
          <w:sz w:val="32"/>
          <w:szCs w:val="32"/>
          <w:lang w:bidi="ar"/>
        </w:rPr>
        <w:t>附件</w:t>
      </w:r>
      <w:r>
        <w:rPr>
          <w:rFonts w:ascii="Times New Roman" w:eastAsia="等线" w:hAnsi="Times New Roman" w:cs="Times New Roman"/>
          <w:color w:val="000000"/>
          <w:kern w:val="0"/>
          <w:sz w:val="32"/>
          <w:szCs w:val="32"/>
          <w:lang w:bidi="ar"/>
        </w:rPr>
        <w:t>3</w:t>
      </w:r>
    </w:p>
    <w:p w:rsidR="00E86EEE" w:rsidRDefault="00E86EEE" w:rsidP="00E86EEE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sz w:val="44"/>
          <w:szCs w:val="44"/>
        </w:rPr>
        <w:t>江苏省基金会评估指标</w:t>
      </w:r>
    </w:p>
    <w:tbl>
      <w:tblPr>
        <w:tblW w:w="14457" w:type="dxa"/>
        <w:jc w:val="center"/>
        <w:tblLook w:val="04A0" w:firstRow="1" w:lastRow="0" w:firstColumn="1" w:lastColumn="0" w:noHBand="0" w:noVBand="1"/>
      </w:tblPr>
      <w:tblGrid>
        <w:gridCol w:w="696"/>
        <w:gridCol w:w="1184"/>
        <w:gridCol w:w="2072"/>
        <w:gridCol w:w="10505"/>
      </w:tblGrid>
      <w:tr w:rsidR="00E86EEE" w:rsidTr="001F1E4C">
        <w:trPr>
          <w:trHeight w:val="567"/>
          <w:tblHeader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 w:themeColor="text1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等线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指标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等线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等线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指标说明</w:t>
            </w:r>
          </w:p>
        </w:tc>
      </w:tr>
      <w:tr w:rsidR="00E86EEE" w:rsidTr="001F1E4C">
        <w:trPr>
          <w:trHeight w:val="289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党建工作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党的组织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设立党组织（单建、联建；实体型、功能型）（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注：未设立党组织，但通过选派党建工作指导员、联络员，建立工青妇组织等途径，做好联系服务群众、推荐入党积极分子等工作，为建立党组织创造条件得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党组织班子成员和社会组织党员管理层人员双向进入、交叉任职（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党组织书记由社会组织负责人担任得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分，其他人员担任得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注：党组织应建未建的，不予评为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4A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</w:tc>
      </w:tr>
      <w:tr w:rsidR="00E86EEE" w:rsidTr="001F1E4C">
        <w:trPr>
          <w:trHeight w:val="3703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党的工作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加强党员教育管理，落实党的基本组织生活制度，各项活动记录内容完整、格式规范（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注：包括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“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三会一课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”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、主题党日和谈心谈话等制度。实体型党支部还需要落实组织生活会、民主评议党员等制度。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落实意识形态责任制并建立相关制度（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落实党风廉政建设制度，党组织对社会组织重大事项决策、重要业务活动等提出意见（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党组织引导和支持社会组织有序参与社会治理、提供公共服务、承担社会责任，党员积极参与教育培训以及社会组织工作，模范带头作用明显（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注：党组织负责人有违规违纪行为的，不予评为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（含）以上等级；未开展党的工作和活动的，不予评为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4A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基础条件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登记备案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按规定办理登记和备案（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登记事项：名称、业务范围、住所、原始基金、法定代表人、业务主管单位。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备案事项：负责人、理事、监事，印章（单位、财务、法定代表人）、银行账户、分支机构、代表机构、公开募捐活动、慈善信托。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注：以上各项，有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项未按规定办理扣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按民政部门及章程示范文本要求，将党的建设及社会主义核心价值观相关内容规范完整写入章程（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登记或认定为慈善组织（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注：组织需提供理事、监事名单以及公开募捐活动、慈善信托备案事项材料。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年检年报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按规定年检年报（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年检合格或年报符合要求（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2312" w:hAnsi="Times New Roman" w:cs="方正仿宋_GB2312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2312" w:hAnsi="Times New Roman" w:cs="方正仿宋_GB2312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注：申报评估年度前两年存在未按规定参加年检年报，或年检结论基本合格、不合格或年报不符合要求情况的，不予评为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3A</w:t>
            </w:r>
            <w:r>
              <w:rPr>
                <w:rFonts w:ascii="Times New Roman" w:eastAsia="方正仿宋_GB2312" w:hAnsi="Times New Roman" w:cs="方正仿宋_GB2312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年末净资产不低于注册资金，且逐年增加（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低于注册资金或未逐年增加得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5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机构建设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7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理事会设立、制度建设及履职情况（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理事会人员构成符合规定；理事无违规取酬情况；建立完善理事会议事决策等相关制度；理事会按时换届，按章程规定召开理事会；理事会履职情况，决定重大业务活动、制定内部管理制度、年度收支预算及决算审定等。有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项不满足扣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监事（会）设立及履职情况（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监事设立符合规定（按规定需要设立监事会的应设立监事会）；监事不在基金会领取报酬；监事（会）制度健全并按规定履职，列席理事会、对基金会财务等进行监督。有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项不满足扣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内设机构设立运转情况（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设立秘书处、办公室等内设机构，且职责明确、运转协调。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1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制度建设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建立健全各项制度且能够规范执行，包括：财务、项目、资产、投资、人事、志愿者、档案印章管理以及信息公开等制度。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注：以上各项，缺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项扣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</w:tc>
      </w:tr>
      <w:tr w:rsidR="00E86EEE" w:rsidTr="001F1E4C">
        <w:trPr>
          <w:trHeight w:val="46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7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人力资源管理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负责人管理（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负责人届次、年龄符合规定；秘书长专职；退（离）休领导干部兼职符合规定，并按规定履行报批手续。有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项不满足扣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专职工作人员管理（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专职工作人员满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人得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分，每少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人扣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分；人员结构合理，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周岁以下占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﹪以上、本科以上学历者占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 xml:space="preserve">50% 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以上得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项不满足扣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分，扣完为止；积极参加法律法规、业务培训得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 xml:space="preserve"> 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分，申报评估年度前两年有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年未参加扣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专业人才队伍建设（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专职工作人员中，有社工师、会计师等与本基金会业务相关的专业持证人才。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志愿者队伍建设（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建有志愿者队伍，人员稳定、管理规范、作用发挥明显。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注：专职工作人员指建立劳动关系并购买社保的工作人员。返聘、劳动关系在其他单位的工作人员，按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50%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得分。</w:t>
            </w:r>
          </w:p>
        </w:tc>
      </w:tr>
      <w:tr w:rsidR="00E86EEE" w:rsidTr="001F1E4C">
        <w:trPr>
          <w:trHeight w:val="187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1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合法运营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6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经费来源和资金使用符合国家政策法规和章程规定（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注：经费来源和资金使用不符合国家政策法规和章程规定的，不予评为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资金列入符合规定的单位账簿（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按规定办理税务登记和申报（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规范使用票据（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</w:tr>
      <w:tr w:rsidR="00E86EEE" w:rsidTr="001F1E4C">
        <w:trPr>
          <w:trHeight w:val="170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9</w:t>
            </w:r>
          </w:p>
        </w:tc>
        <w:tc>
          <w:tcPr>
            <w:tcW w:w="11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会计工作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严格执行《民间非营利组织会计制度》（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规范设置会计科目、账册、凭单、内外部报表；记账、会计核算规范；会计报表真实、完整。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会计基础（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会计人员配备合理、专业化；会计核算实行电算化；会计档案管理规范。有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项不符合扣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</w:tc>
      </w:tr>
      <w:tr w:rsidR="00E86EEE" w:rsidTr="001F1E4C">
        <w:trPr>
          <w:trHeight w:val="4904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内部治理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财务管理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7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编制年度预算且执行情况良好（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捐赠收入管理（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接受捐赠按规定签订捐赠协议；接受非货币捐赠，按规定确定公允价值。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投资管理（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投资符合《慈善组织保值增值投资活动管理暂行办法》规定且经必要决策程序，得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分；年投资回报率（综合年化收益率）达到一年期银行存款利率得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分，超过一个百分点加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分，加满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注：亏损不得分；无投资行为不得分。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资产管理（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资产使用符合规定；固定资产标准和折旧年限确定合理，折旧计提准确。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关联方（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与关联方无违规交易且无有失公平交易行为；关联交易及时披露。</w:t>
            </w:r>
          </w:p>
        </w:tc>
      </w:tr>
      <w:tr w:rsidR="00E86EEE" w:rsidTr="001F1E4C">
        <w:trPr>
          <w:trHeight w:val="309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11</w:t>
            </w:r>
          </w:p>
        </w:tc>
        <w:tc>
          <w:tcPr>
            <w:tcW w:w="11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监督审计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年度、换届、离任、重大项目专项审计完整、合规（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注：未发生换届、法定代表人离任，不扣分。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对审计发现的问题整改落实到位（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重大事项向业务主管单位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行业管理部门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党建工作机构报告（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重大事项包括开展评比达标表彰、举办节庆展会论坛、开展重大投资活动等。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工作绩效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捐赠收入规模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以全省相关领域基金会平均水平为参照数，对基金会申报评估年度前两年的捐赠收入情况进行测算得分（具有公开募捐资格、不具有公开募捐资格分别计算）。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得分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=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标准分值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×1.2×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本基金会前两年平均捐赠收入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（本基金会前两年平均捐赠收入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+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全省平均水平），最高不超过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公益支出规模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以全省相关领域基金会平均水平为参照数，对基金会申报评估年度前两年的公益支出情况进行测算得分（具有公开募捐资格、不具有公开募捐资格分别计算）。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得分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=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标准分值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×1.2×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本基金会前两年平均支出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（本基金会前两年平均支出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+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全省平均水平），最高不超过</w:t>
            </w:r>
            <w:r>
              <w:rPr>
                <w:rFonts w:ascii="Times New Roman" w:eastAsia="方正仿宋_GBK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公益项目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15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项目符合宗旨和业务范围（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建立项目管理制度（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项目受益对象选择公开公正，有确认且信息齐全（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项目立项、实施、监督、反馈、评价、总结、归档等程序完备、材料齐全（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4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5.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项目长期执行、形成品牌、社会知名度高，被媒体宣传报道（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6.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参与乡村振兴、对口支援协作、长江经济带发展、长三角一体化发展等国家战略及重大决策部署（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申报评估年度前两年开展相关项目得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分；相关项目支出达到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万元（含）得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分，每增加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万元加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0.2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分，加满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分为止。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15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信息公开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10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按照《基金会信息公布办法》《慈善组织信息公开办法》履行信息公开义务（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7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公开内容包括：基本信息、年度工作报告、接受捐赠信息、资金使用情况、公益项目信息等，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项未公开扣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分，扣完为止。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建立信息公开平台，信息公开渠道多样（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设立新闻发言人（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4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注：慈善组织未按照《慈善组织信息公开办法》履行信息公开义务的，不予评为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3A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（含）以上等级。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1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社会评价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理事监事评价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对管理状况、综合影响力的评价，评价内容包括对基金会民主决策、领导班子履行职责、财务管理、资金使用、信息公开、社会影响力等方面。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注：所有理事、监事参与评价。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捐赠人评价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对管理状况、综合影响力的评价，选择评估申报年度前两年主要捐赠人开展评价，评价内容包括对基金会公益性、项目效果满意度、社会影响力等方面。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注：主要捐赠人是指年度累计捐赠超过基金会当年捐赠收入</w:t>
            </w:r>
            <w:r>
              <w:rPr>
                <w:rStyle w:val="font51"/>
                <w:rFonts w:eastAsia="方正仿宋_GBK"/>
                <w:color w:val="000000" w:themeColor="text1"/>
                <w:lang w:bidi="ar"/>
              </w:rPr>
              <w:t>5%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以上或者</w:t>
            </w:r>
            <w:r>
              <w:rPr>
                <w:rStyle w:val="font51"/>
                <w:rFonts w:eastAsia="方正仿宋_GBK"/>
                <w:color w:val="000000" w:themeColor="text1"/>
                <w:lang w:bidi="ar"/>
              </w:rPr>
              <w:t>500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万元以上的捐赠单位或个人。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受助人评价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对项目管理、效果的评价，评价内容包括对基金会公正公开选定受助人、履行协议等方面。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注：抽取申报评估年度前两年开展的所有重大项目受助人参与评价，满足以下情形之一的属于重大项目：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1.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该项目的捐赠收入占基金会当年捐赠总收入的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1/5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且金额超过人民币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50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万元的；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2.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该项目的支出占基金会当年总支出的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1/5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且金额超过人民币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50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万元的；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3.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项目持续时间在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年以上的（包括</w:t>
            </w:r>
            <w:r>
              <w:rPr>
                <w:rStyle w:val="font51"/>
                <w:rFonts w:eastAsia="等线"/>
                <w:color w:val="000000" w:themeColor="text1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年）。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lastRenderedPageBreak/>
              <w:t>19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pacing w:val="-1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spacing w:val="-1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spacing w:val="-11"/>
                <w:kern w:val="0"/>
                <w:sz w:val="24"/>
                <w:szCs w:val="24"/>
                <w:lang w:bidi="ar"/>
              </w:rPr>
              <w:t>业务主管单位评价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由业务主管单位对基金会工作进行总体评价。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b/>
                <w:bCs/>
                <w:color w:val="000000" w:themeColor="text1"/>
                <w:kern w:val="0"/>
                <w:sz w:val="24"/>
                <w:szCs w:val="24"/>
                <w:lang w:bidi="ar"/>
              </w:rPr>
              <w:t>注：直接登记的基金会，由党建工作机构（或其授权的行业党委、属地党组织）进行评价。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1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表彰奖励情况</w:t>
            </w:r>
          </w:p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（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分）</w:t>
            </w:r>
          </w:p>
        </w:tc>
        <w:tc>
          <w:tcPr>
            <w:tcW w:w="10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 w:themeColor="text1"/>
                <w:kern w:val="0"/>
                <w:sz w:val="24"/>
                <w:szCs w:val="24"/>
                <w:lang w:bidi="ar"/>
              </w:rPr>
              <w:t>政府部门对基金会和公益项目的表彰奖励情况。</w:t>
            </w:r>
          </w:p>
        </w:tc>
      </w:tr>
      <w:tr w:rsidR="00E86EEE" w:rsidTr="001F1E4C">
        <w:trPr>
          <w:trHeight w:val="567"/>
          <w:jc w:val="center"/>
        </w:trPr>
        <w:tc>
          <w:tcPr>
            <w:tcW w:w="0" w:type="auto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86EEE" w:rsidRDefault="00E86EEE" w:rsidP="001F1E4C">
            <w:pPr>
              <w:overflowPunct w:val="0"/>
              <w:topLinePunct/>
              <w:adjustRightInd w:val="0"/>
              <w:snapToGrid w:val="0"/>
              <w:spacing w:line="320" w:lineRule="exact"/>
              <w:jc w:val="left"/>
              <w:textAlignment w:val="center"/>
              <w:rPr>
                <w:rFonts w:ascii="Times New Roman" w:eastAsia="等线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方正楷体_GBK" w:hAnsi="Times New Roman" w:cs="方正楷体_GBK"/>
                <w:color w:val="000000" w:themeColor="text1"/>
                <w:kern w:val="0"/>
                <w:sz w:val="24"/>
                <w:szCs w:val="24"/>
                <w:lang w:bidi="ar"/>
              </w:rPr>
              <w:t>注：加</w:t>
            </w:r>
            <w:r>
              <w:rPr>
                <w:rFonts w:ascii="Times New Roman" w:eastAsia="等线" w:hAnsi="Times New Roman" w:cs="Times New Roman"/>
                <w:color w:val="000000" w:themeColor="text1"/>
                <w:kern w:val="0"/>
                <w:sz w:val="24"/>
                <w:szCs w:val="24"/>
                <w:lang w:bidi="ar"/>
              </w:rPr>
              <w:t>*</w:t>
            </w:r>
            <w:r>
              <w:rPr>
                <w:rFonts w:ascii="Times New Roman" w:eastAsia="方正楷体_GBK" w:hAnsi="Times New Roman" w:cs="方正楷体_GBK"/>
                <w:color w:val="000000" w:themeColor="text1"/>
                <w:kern w:val="0"/>
                <w:sz w:val="24"/>
                <w:szCs w:val="24"/>
                <w:lang w:bidi="ar"/>
              </w:rPr>
              <w:t>项指标无需社会组织提供材料。</w:t>
            </w:r>
          </w:p>
        </w:tc>
      </w:tr>
    </w:tbl>
    <w:p w:rsidR="00602F99" w:rsidRPr="00E86EEE" w:rsidRDefault="00602F99">
      <w:bookmarkStart w:id="0" w:name="_GoBack"/>
      <w:bookmarkEnd w:id="0"/>
    </w:p>
    <w:sectPr w:rsidR="00602F99" w:rsidRPr="00E86EEE" w:rsidSect="00E86EE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1D81" w:rsidRDefault="00191D81" w:rsidP="00E86EEE">
      <w:r>
        <w:separator/>
      </w:r>
    </w:p>
  </w:endnote>
  <w:endnote w:type="continuationSeparator" w:id="0">
    <w:p w:rsidR="00191D81" w:rsidRDefault="00191D81" w:rsidP="00E86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2312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1D81" w:rsidRDefault="00191D81" w:rsidP="00E86EEE">
      <w:r>
        <w:separator/>
      </w:r>
    </w:p>
  </w:footnote>
  <w:footnote w:type="continuationSeparator" w:id="0">
    <w:p w:rsidR="00191D81" w:rsidRDefault="00191D81" w:rsidP="00E86E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96A"/>
    <w:rsid w:val="00191D81"/>
    <w:rsid w:val="00602F99"/>
    <w:rsid w:val="00D8196A"/>
    <w:rsid w:val="00E86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D6C07A-45A4-41DF-ACC8-4B6EC7370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6E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6E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86EE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86E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86EEE"/>
    <w:rPr>
      <w:sz w:val="18"/>
      <w:szCs w:val="18"/>
    </w:rPr>
  </w:style>
  <w:style w:type="character" w:customStyle="1" w:styleId="font51">
    <w:name w:val="font51"/>
    <w:basedOn w:val="a0"/>
    <w:qFormat/>
    <w:rsid w:val="00E86EEE"/>
    <w:rPr>
      <w:rFonts w:ascii="Times New Roman" w:hAnsi="Times New Roman" w:cs="Times New Roman" w:hint="default"/>
      <w:b/>
      <w:bCs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562</Words>
  <Characters>3209</Characters>
  <Application>Microsoft Office Word</Application>
  <DocSecurity>0</DocSecurity>
  <Lines>26</Lines>
  <Paragraphs>7</Paragraphs>
  <ScaleCrop>false</ScaleCrop>
  <Company/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2025-06-20T03:17:00Z</dcterms:created>
  <dcterms:modified xsi:type="dcterms:W3CDTF">2025-06-20T03:18:00Z</dcterms:modified>
</cp:coreProperties>
</file>