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4"/>
        <w:tblW w:w="1008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1548" w:hRule="atLeast"/>
        </w:trPr>
        <w:tc>
          <w:tcPr>
            <w:tcW w:w="10082" w:type="dxa"/>
            <w:tcBorders>
              <w:top w:val="nil"/>
              <w:left w:val="nil"/>
              <w:bottom w:val="nil"/>
              <w:right w:val="nil"/>
            </w:tcBorders>
          </w:tcPr>
          <w:p>
            <w:pPr>
              <w:pStyle w:val="8"/>
              <w:spacing w:line="550" w:lineRule="exact"/>
              <w:rPr>
                <w:rFonts w:hint="eastAsia" w:ascii="仿宋" w:hAnsi="仿宋" w:eastAsia="仿宋" w:cs="仿宋"/>
                <w:b/>
                <w:bCs/>
                <w:color w:val="FF0000"/>
                <w:sz w:val="22"/>
                <w:szCs w:val="2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4945" w:hRule="atLeast"/>
        </w:trPr>
        <w:tc>
          <w:tcPr>
            <w:tcW w:w="10082" w:type="dxa"/>
            <w:tcBorders>
              <w:top w:val="nil"/>
              <w:left w:val="nil"/>
              <w:bottom w:val="nil"/>
              <w:right w:val="nil"/>
            </w:tcBorders>
            <w:vAlign w:val="center"/>
          </w:tcPr>
          <w:p>
            <w:pPr>
              <w:ind w:right="284" w:rightChars="129"/>
              <w:jc w:val="center"/>
              <w:rPr>
                <w:rFonts w:hint="eastAsia" w:ascii="仿宋" w:hAnsi="仿宋" w:eastAsia="仿宋" w:cs="仿宋"/>
                <w:b/>
                <w:bCs/>
                <w:color w:val="FF0000"/>
                <w:sz w:val="22"/>
                <w:szCs w:val="22"/>
                <w:vertAlign w:val="baseline"/>
              </w:rPr>
            </w:pPr>
            <w:r>
              <w:rPr>
                <w:rFonts w:ascii="宋体" w:hAnsi="宋体" w:eastAsia="宋体" w:cs="宋体"/>
                <w:b/>
                <w:sz w:val="52"/>
              </w:rPr>
              <w:t>2023年度江苏省民政厅部门预算公开</w:t>
            </w:r>
          </w:p>
        </w:tc>
      </w:tr>
    </w:tbl>
    <w:p>
      <w:pPr>
        <w:ind w:right="284" w:rightChars="129"/>
        <w:jc w:val="both"/>
        <w:rPr>
          <w:rFonts w:hint="eastAsia" w:ascii="宋体" w:hAnsi="宋体" w:eastAsia="宋体" w:cs="宋体"/>
          <w:b/>
          <w:bCs/>
          <w:sz w:val="52"/>
          <w:szCs w:val="52"/>
        </w:rPr>
        <w:sectPr>
          <w:headerReference r:id="rId4" w:type="first"/>
          <w:headerReference r:id="rId3" w:type="default"/>
          <w:pgSz w:w="11906" w:h="16838"/>
          <w:pgMar w:top="1580" w:right="1020" w:bottom="770" w:left="1020" w:header="170" w:footer="280" w:gutter="0"/>
          <w:pgBorders>
            <w:top w:val="none" w:color="auto" w:sz="0" w:space="0"/>
            <w:left w:val="none" w:color="auto" w:sz="0" w:space="0"/>
            <w:bottom w:val="none" w:color="auto" w:sz="0" w:space="0"/>
            <w:right w:val="none" w:color="auto"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keepNext w:val="0"/>
        <w:keepLines w:val="0"/>
        <w:pageBreakBefore w:val="0"/>
        <w:widowControl w:val="0"/>
        <w:tabs>
          <w:tab w:val="left" w:pos="880"/>
        </w:tabs>
        <w:kinsoku/>
        <w:wordWrap/>
        <w:overflowPunct/>
        <w:topLinePunct w:val="0"/>
        <w:autoSpaceDE/>
        <w:autoSpaceDN/>
        <w:bidi w:val="0"/>
        <w:adjustRightInd/>
        <w:snapToGrid w:val="0"/>
        <w:spacing w:after="0" w:line="240" w:lineRule="auto"/>
        <w:ind w:right="313" w:firstLine="0"/>
        <w:textAlignment w:val="auto"/>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keepNext w:val="0"/>
        <w:keepLines w:val="0"/>
        <w:pageBreakBefore w:val="0"/>
        <w:widowControl w:val="0"/>
        <w:kinsoku/>
        <w:wordWrap/>
        <w:overflowPunct/>
        <w:topLinePunct w:val="0"/>
        <w:autoSpaceDE/>
        <w:autoSpaceDN/>
        <w:bidi w:val="0"/>
        <w:adjustRightInd/>
        <w:snapToGrid w:val="0"/>
        <w:spacing w:before="7" w:after="0" w:line="240" w:lineRule="auto"/>
        <w:textAlignment w:val="auto"/>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部门</w:t>
      </w:r>
      <w:r>
        <w:rPr>
          <w:rFonts w:hint="eastAsia" w:ascii="仿宋" w:hAnsi="仿宋" w:eastAsia="仿宋" w:cs="仿宋"/>
          <w:b/>
          <w:bCs/>
        </w:rPr>
        <w:t>概况</w:t>
      </w:r>
    </w:p>
    <w:p>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部门</w:t>
      </w:r>
      <w:r>
        <w:rPr>
          <w:rFonts w:hint="eastAsia" w:ascii="仿宋" w:hAnsi="仿宋" w:eastAsia="仿宋" w:cs="仿宋"/>
        </w:rPr>
        <w:t>机构设置及预算单位构成情况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w:t>
      </w:r>
      <w:r>
        <w:rPr>
          <w:rFonts w:hint="eastAsia" w:ascii="仿宋" w:hAnsi="仿宋" w:eastAsia="仿宋" w:cs="仿宋"/>
          <w:lang w:eastAsia="zh-CN"/>
        </w:rPr>
        <w:t>2023</w:t>
      </w:r>
      <w:r>
        <w:rPr>
          <w:rFonts w:hint="eastAsia" w:ascii="仿宋" w:hAnsi="仿宋" w:eastAsia="仿宋" w:cs="仿宋"/>
        </w:rPr>
        <w:t>年度</w:t>
      </w:r>
      <w:r>
        <w:rPr>
          <w:rFonts w:hint="eastAsia" w:ascii="仿宋" w:hAnsi="仿宋" w:eastAsia="仿宋" w:cs="仿宋"/>
          <w:lang w:val="en-US" w:eastAsia="zh-CN"/>
        </w:rPr>
        <w:t>部门</w:t>
      </w:r>
      <w:r>
        <w:rPr>
          <w:rFonts w:hint="eastAsia" w:ascii="仿宋" w:hAnsi="仿宋" w:eastAsia="仿宋" w:cs="仿宋"/>
        </w:rPr>
        <w:t>主要工作任务及目标</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bidi="ar"/>
        </w:rPr>
        <w:t>2023</w:t>
      </w:r>
      <w:r>
        <w:rPr>
          <w:rFonts w:hint="eastAsia" w:ascii="仿宋" w:hAnsi="仿宋" w:eastAsia="仿宋" w:cs="仿宋"/>
          <w:b/>
          <w:bCs/>
          <w:lang w:val="en-US" w:eastAsia="zh-CN"/>
        </w:rPr>
        <w:t>年度</w:t>
      </w:r>
      <w:r>
        <w:rPr>
          <w:rFonts w:ascii="仿宋" w:hAnsi="仿宋" w:eastAsia="仿宋" w:cs="仿宋"/>
          <w:b/>
        </w:rPr>
        <w:t>部门预算表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一、收支总表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二、收入总表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三、支出总表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四、财政拨款收支总表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五、财政拨款支出表（功能科目）</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六、财政拨款基本支出表（经济科目）</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七、一般公共预算支出表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一</w:t>
      </w:r>
      <w:r>
        <w:rPr>
          <w:rFonts w:hint="eastAsia" w:ascii="仿宋" w:hAnsi="仿宋" w:eastAsia="仿宋" w:cs="仿宋"/>
        </w:rPr>
        <w:t>、国有资本经营预算支出预算表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二</w:t>
      </w:r>
      <w:r>
        <w:rPr>
          <w:rFonts w:hint="eastAsia" w:ascii="仿宋" w:hAnsi="仿宋" w:eastAsia="仿宋" w:cs="仿宋"/>
        </w:rPr>
        <w:t>、一般公共预算机关运行经费支出</w:t>
      </w:r>
      <w:r>
        <w:rPr>
          <w:rFonts w:hint="eastAsia" w:ascii="仿宋" w:hAnsi="仿宋" w:eastAsia="仿宋" w:cs="仿宋"/>
          <w:lang w:val="en-US" w:eastAsia="zh-CN"/>
        </w:rPr>
        <w:t>预算</w:t>
      </w:r>
      <w:r>
        <w:rPr>
          <w:rFonts w:hint="eastAsia" w:ascii="仿宋" w:hAnsi="仿宋" w:eastAsia="仿宋" w:cs="仿宋"/>
        </w:rPr>
        <w:t>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三</w:t>
      </w:r>
      <w:r>
        <w:rPr>
          <w:rFonts w:hint="eastAsia" w:ascii="仿宋" w:hAnsi="仿宋" w:eastAsia="仿宋" w:cs="仿宋"/>
        </w:rPr>
        <w:t>、政府采购支出表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right="506" w:rightChars="0" w:hanging="11" w:firstLineChars="0"/>
        <w:jc w:val="both"/>
        <w:textAlignment w:val="auto"/>
        <w:rPr>
          <w:rFonts w:hint="eastAsia" w:ascii="仿宋" w:hAnsi="仿宋" w:eastAsia="仿宋" w:cs="仿宋"/>
          <w:b/>
          <w:bCs/>
          <w:color w:val="000000"/>
          <w:sz w:val="30"/>
          <w:szCs w:val="30"/>
          <w:lang w:val="en-US" w:bidi="ar"/>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eastAsia="zh-CN" w:bidi="ar"/>
        </w:rPr>
        <w:t>2023</w:t>
      </w:r>
      <w:r>
        <w:rPr>
          <w:rFonts w:hint="eastAsia" w:ascii="仿宋" w:hAnsi="仿宋" w:eastAsia="仿宋" w:cs="仿宋"/>
          <w:b/>
          <w:bCs/>
          <w:color w:val="000000"/>
          <w:sz w:val="30"/>
          <w:szCs w:val="30"/>
          <w:lang w:val="en-US" w:bidi="ar"/>
        </w:rPr>
        <w:t>年度</w:t>
      </w:r>
      <w:r>
        <w:rPr>
          <w:rFonts w:ascii="仿宋" w:hAnsi="仿宋" w:eastAsia="仿宋" w:cs="仿宋"/>
          <w:b/>
          <w:color w:val="000000"/>
          <w:sz w:val="30"/>
        </w:rPr>
        <w:t>部门</w:t>
      </w:r>
      <w:r>
        <w:rPr>
          <w:rFonts w:hint="eastAsia" w:ascii="仿宋" w:hAnsi="仿宋" w:eastAsia="仿宋" w:cs="仿宋"/>
          <w:b/>
          <w:bCs/>
          <w:color w:val="000000"/>
          <w:sz w:val="30"/>
          <w:szCs w:val="30"/>
          <w:lang w:val="en-US" w:eastAsia="zh-CN" w:bidi="ar"/>
        </w:rPr>
        <w:t>预算</w:t>
      </w:r>
      <w:r>
        <w:rPr>
          <w:rFonts w:hint="eastAsia" w:ascii="仿宋" w:hAnsi="仿宋" w:eastAsia="仿宋" w:cs="仿宋"/>
          <w:b/>
          <w:bCs/>
          <w:color w:val="000000"/>
          <w:sz w:val="30"/>
          <w:szCs w:val="30"/>
          <w:lang w:val="en-US" w:bidi="ar"/>
        </w:rPr>
        <w:t>情况说明</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right="2575" w:hanging="11" w:firstLineChars="0"/>
        <w:jc w:val="both"/>
        <w:textAlignment w:val="auto"/>
        <w:rPr>
          <w:rFonts w:hint="default" w:ascii="仿宋" w:hAnsi="仿宋" w:eastAsia="仿宋" w:cs="仿宋"/>
          <w:b/>
          <w:bCs/>
          <w:color w:val="000000"/>
          <w:sz w:val="30"/>
          <w:szCs w:val="30"/>
          <w:lang w:val="en-US" w:eastAsia="zh-CN" w:bidi="ar"/>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69" w:leftChars="300" w:right="2414" w:hanging="9" w:firstLineChars="0"/>
        <w:jc w:val="both"/>
        <w:textAlignment w:val="auto"/>
        <w:rPr>
          <w:rFonts w:hint="eastAsia" w:ascii="仿宋" w:hAnsi="仿宋" w:eastAsia="仿宋" w:cs="仿宋"/>
        </w:rPr>
        <w:sectPr>
          <w:footerReference r:id="rId5" w:type="default"/>
          <w:pgSz w:w="11906" w:h="16838"/>
          <w:pgMar w:top="1580" w:right="1020" w:bottom="770" w:left="1020" w:header="170" w:footer="280" w:gutter="0"/>
          <w:pgBorders>
            <w:top w:val="none" w:color="auto" w:sz="0" w:space="0"/>
            <w:left w:val="none" w:color="auto" w:sz="0" w:space="0"/>
            <w:bottom w:val="none" w:color="auto" w:sz="0" w:space="0"/>
            <w:right w:val="none" w:color="auto"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部门概况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省民政厅负责贯彻落实中央关于民政工作的方针政策和省委的决策部署，在履行职责过程中坚持和加强党对民政工作的集中统一领导。主要职责是：</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（一）拟订全省民政事业发展政策和规划，起草有关地方性法规、规章草案和标准，并组织实施和监督检查。</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（二）拟订全省社会团体、基金会、社会服务机构等社会组织登记和监督管理办法并组织实施。依法对社会组织进行登记管理和监督检查。承担社会组织党建工作。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（三）拟订全省相关社会救助政策、标准，统筹社会救助体系建设，负责城乡居民最低生活保障、特困人员救助供养、临时救助、生活无着流浪乞讨人员救助工作。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（四）拟订全省城乡基层群众自治和社区治理办法，指导城乡社区治理体系和治理能力建设，提出加强和改进城乡基层政权建设的建议，推动基层民主政治建设。</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五）拟订全省行政区划、行政区域界线管理和地名管理政策、标准，承担报省政府审批的行政区划设立、命名、变更和政府驻地迁移审核工作，组织指导乡镇级行政区域界线的勘定和管理工作，负责地名管理工作，负责跨市界自然地理实体命名、更名的审核工作，组织开展地名公共服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（六）拟订全省婚姻管理政策并组织实施，推进婚俗改革。</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（七）拟订全省殡葬管理政策、服务规范并组织实施，推进殡葬改革。</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（八）拟订全省残疾人权益保护政策，统筹推进残疾人福利制度建设和康复辅具器具产业发展。</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（九）统筹推进、督促指导、监督管理全省养老服务工作，拟订养老服务体系建设规划、法规、政策、标准并组织实施，承担老年人福利和特殊困难老年人救助工作，推动居家养老和社区养老服务发展。</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（十）拟订全省儿童福利、孤弃儿童保障、儿童收养、儿童救助保护政策、标准，健全农村留守儿童关爱服务体系和困境儿童保障制度。指导全省儿童福利机构建设和管理。</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（十一）拟订全省促进慈善事业发展政策，负责慈善信托的备案、管理，组织指导社会捐助工作。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（十二）拟订全省社会工作、志愿服务发展政策、标准和职业规范，会同有关部门推进社会工作专业人才队伍建设和志愿者队伍建设，承担志愿服务行政管理工作。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（十三）拟订全省福利彩票发行工作规定和实施办法，负责全省福利彩票管理工作，管理省级福利彩票公益金。</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（十四）完成省委、省政府交办的其他任务。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五）职能转变。强化基本民生保障职能，为困难群众、孤老孤残孤儿等特殊群体提供基本社会服务，促进资源向薄弱地区、领域、环节倾斜。积极培育社会组织、社会工作者等多元参与主体，推动搭建基层社会治理和社区公共服务平台。</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六）与省卫生健康委员会的有关职责分工。省民政厅负责统筹推进、督促指导、监督管理全省养老服务工作，拟订养老服务体系建设规划、法规、政策、标准并组织实施，承担老年人福利和特殊困难老年人救助工作。省卫生健康委员会负责拟订应对人口老龄化、医养结合的政策措施，综合协调、督促指导、组织推进老龄事业发展，承担老年疾病防治、老年人医疗照护、老年人心理健康与关怀服务等老年健康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eastAsia="仿宋" w:cs="仿宋"/>
          <w:b/>
        </w:rPr>
        <w:t>部门</w:t>
      </w:r>
      <w:r>
        <w:rPr>
          <w:rFonts w:hint="eastAsia" w:ascii="仿宋" w:hAnsi="仿宋" w:eastAsia="仿宋" w:cs="仿宋"/>
          <w:b/>
          <w:bCs/>
        </w:rPr>
        <w:t>机构设置及预算单位构成情况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eastAsia="zh-CN"/>
        </w:rPr>
        <w:t>1.</w:t>
      </w:r>
      <w:r>
        <w:rPr>
          <w:rFonts w:hint="eastAsia" w:ascii="仿宋" w:hAnsi="仿宋" w:eastAsia="仿宋" w:cs="仿宋"/>
        </w:rPr>
        <w:t>根据</w:t>
      </w:r>
      <w:r>
        <w:rPr>
          <w:rFonts w:hint="eastAsia" w:ascii="仿宋" w:hAnsi="仿宋" w:eastAsia="仿宋" w:cs="仿宋"/>
          <w:lang w:val="en-US" w:eastAsia="zh-CN"/>
        </w:rPr>
        <w:t>部门</w:t>
      </w:r>
      <w:r>
        <w:rPr>
          <w:rFonts w:hint="eastAsia" w:ascii="仿宋" w:hAnsi="仿宋" w:eastAsia="仿宋" w:cs="仿宋"/>
        </w:rPr>
        <w:t>职责分工，</w:t>
      </w:r>
      <w:r>
        <w:rPr>
          <w:rFonts w:ascii="仿宋" w:hAnsi="仿宋" w:eastAsia="仿宋" w:cs="仿宋"/>
        </w:rPr>
        <w:t>本部门内设机构包括：（一）办公室（信访办公室）。负责机关日常运转，承担信息、安全、保密、信访、政务公开、督查督办、新闻宣传等工作；承担民政信用体系建设和信息化建设工作。（二）政策法规处（行政审批处）。负责起草相关地方性法规、规章草案；承担机关有关规范性文件的合法性审查工作；承办相关行政复议和行政应诉工作；指导全省民政系统法治建设；承担民政政策理论研究和相关文稿起草工作；承担民政行业标准化建设工作。承担全省性社会组织成立、变更、注销登记，慈善组织公开募捐资格认定，建设经营性公墓的审批以及涉外收养登记工作，并限时办结。（三）社会组织管理局（社会组织执法监督局、江苏省社会组织综合党委）。拟订全省社会团体、基金会、社会服务机构等社会组织管理政策制度；按照管理权限对社会组织进行日常监管和执法监督；扶持社会组织发展，引导社会组织发挥作用；承担省社会组织党建工作；指导市县登记管理机关开展社会组织的监督管理和执法监督工作。社会组织管理局对外可称江苏省社会组织管理局（江苏省社会组织执法监督局）。（四）社会救助处。拟订全省相关社会救助规定、标准；组织城乡居民最低生活保障、特困人员救助供养和临时救助工作；组织指导申请救助家庭经济状况核对工作；承办省财政困难群众救助补助资金分配和监管工作；参与拟订医疗、住房、教育、就业、司法等救助相关办法。（五）基层政权和社区治理处。拟订全省城乡基层群众自治建设和社区治理政策；指导城乡社区治理体系和治理能力建设；指导城乡基层政权和群众性自治组织建设工作，提出加强和改进基层政权建设的建议；推动基层民主政治建设。（六）区划地名处。拟订全省行政区划、行政区域界线、地名管理办法，并组织实施；承担报省政府审批的行政区划设立、命名、变更和政府驻地迁移审核工作，组织指导乡镇级行政区域界线的勘定和管理；审核跨市界自然地理实体命名、更名，组织开展地名公共服务。（七）社会事务处。推进婚俗和殡葬改革；拟订婚姻、殡葬、残疾人权益保护、生活无着流浪乞讨人员救助管理政策；参与拟订残疾人集中就业扶持政策，指导婚姻登记机关和残疾人社会福利、殡葬服务、生活无着流浪乞讨人员救助管理机构相关工作；协调省辖市之间生活无着流浪乞讨人员救助工作；指导开展家庭暴力受害人临时庇护救助工作。（八）养老服务处。拟订全省养老服务体系建设规划、法规、政策、标准，并组织实施；承担全省老年人福利工作，拟订老年人福利补贴制度；协调推进农村留守老年人关爱服务工作；指导养老服务、老年人福利、特困人员救助供养机构管理工作；推动居家养老和社区养老服务发展。（九）儿童福利处。拟订全省儿童福利、孤弃儿童保障、儿童收养、儿童救助保护政策、标准，建立健全农村留守儿童关爱服务体系和困境儿童保障制度；指导全省儿童福利、收养登记、救助保护机构管理工作；指导全省涉外收养登记工作。（十）慈善事业促进和社会工作处。拟订全省慈善事业发展规划和政策；组织开展全省慈善宣传教育和评选表彰；负责慈善信托的备案、管理；组织指导社会捐助工作；拟订全省福利彩票管理制度，监督福利彩票的开奖和销毁，管理监督福利彩票代销行为；拟订全省社会工作、志愿服务发展政策、标准和职业规范，会同有关部门推进社会工作专业人才队伍建设和志愿者队伍建设，承担志愿服务行政管理工作。（十一）规划财务处（审计处）。拟订全省民政事业发展规划和民政基础设施建设标准；指导监督中央拨付和省级民政事业资金管理；负责机关财务工作；负责机关及直属单位国有资产管理；负责机关及直属单位内部审计工作；指导监督全省民政公共服务设施项目管理；负责全省民政统计管理工作；承担中央及省级福利彩票公益金的使用和管理。（十二）人事教育处。承担机关和直属单位的机构编制和人事管理工作；组织实施民政系统教育培训工作；组织指导全省民政行业人才队伍建设;承担民政科技管理工作；组织开展相关对外交流合作。机关党委。负责机关和直属单位的党建工作。离退休干部处。负责机关离退休干部工作；指导直属单位的离退休干部工作。本部门下属单位包括:江苏省社会捐助服务中心（省申请救助家庭经济状况认定指导中心）、江苏省社会福利中心、江苏省民政干部学校、江苏省民政信息中心、江苏省伤残人康复中心、江苏民政康复医院、江苏省立新农场、江苏省养老服务指导中心（江苏省老年公寓管理中心）、江苏省社会组织服务中心、江苏省福利彩票发行中心、《江苏老年周报》社、江苏省慈善总会秘书处。</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eastAsia="zh-CN"/>
        </w:rPr>
        <w:t>2.</w:t>
      </w:r>
      <w:r>
        <w:rPr>
          <w:rFonts w:hint="eastAsia" w:ascii="仿宋" w:hAnsi="仿宋" w:eastAsia="仿宋" w:cs="仿宋"/>
        </w:rPr>
        <w:t>从</w:t>
      </w:r>
      <w:r>
        <w:rPr>
          <w:rFonts w:hint="eastAsia" w:ascii="仿宋" w:hAnsi="仿宋" w:eastAsia="仿宋" w:cs="仿宋"/>
          <w:lang w:eastAsia="zh-CN"/>
        </w:rPr>
        <w:t>预算</w:t>
      </w:r>
      <w:r>
        <w:rPr>
          <w:rFonts w:hint="eastAsia" w:ascii="仿宋" w:hAnsi="仿宋" w:eastAsia="仿宋" w:cs="仿宋"/>
        </w:rPr>
        <w:t>单位构成看，纳入本</w:t>
      </w:r>
      <w:r>
        <w:rPr>
          <w:rFonts w:hint="eastAsia" w:ascii="仿宋" w:hAnsi="仿宋" w:eastAsia="仿宋" w:cs="仿宋"/>
          <w:lang w:val="en-US" w:eastAsia="zh-CN"/>
        </w:rPr>
        <w:t>部门</w:t>
      </w:r>
      <w:r>
        <w:rPr>
          <w:rFonts w:hint="eastAsia" w:ascii="仿宋" w:hAnsi="仿宋" w:eastAsia="仿宋" w:cs="仿宋"/>
          <w:lang w:eastAsia="zh-CN"/>
        </w:rPr>
        <w:t>2023</w:t>
      </w:r>
      <w:r>
        <w:rPr>
          <w:rFonts w:hint="eastAsia" w:ascii="仿宋" w:hAnsi="仿宋" w:eastAsia="仿宋" w:cs="仿宋"/>
        </w:rPr>
        <w:t>年</w:t>
      </w:r>
      <w:r>
        <w:rPr>
          <w:rFonts w:hint="eastAsia" w:ascii="仿宋" w:hAnsi="仿宋" w:eastAsia="仿宋" w:cs="仿宋"/>
          <w:lang w:val="en-US" w:eastAsia="zh-CN"/>
        </w:rPr>
        <w:t>部门</w:t>
      </w:r>
      <w:r>
        <w:rPr>
          <w:rFonts w:hint="eastAsia" w:ascii="仿宋" w:hAnsi="仿宋" w:eastAsia="仿宋" w:cs="仿宋"/>
        </w:rPr>
        <w:t>汇总</w:t>
      </w:r>
      <w:r>
        <w:rPr>
          <w:rFonts w:hint="eastAsia" w:ascii="仿宋" w:hAnsi="仿宋" w:eastAsia="仿宋" w:cs="仿宋"/>
          <w:lang w:eastAsia="zh-CN"/>
        </w:rPr>
        <w:t>预算</w:t>
      </w:r>
      <w:r>
        <w:rPr>
          <w:rFonts w:hint="eastAsia" w:ascii="仿宋" w:hAnsi="仿宋" w:eastAsia="仿宋" w:cs="仿宋"/>
        </w:rPr>
        <w:t>编制范围的预算单位共计</w:t>
      </w:r>
      <w:r>
        <w:rPr>
          <w:rFonts w:ascii="仿宋" w:hAnsi="仿宋" w:eastAsia="仿宋" w:cs="仿宋"/>
        </w:rPr>
        <w:t>10</w:t>
      </w:r>
      <w:r>
        <w:rPr>
          <w:rFonts w:hint="eastAsia" w:ascii="仿宋" w:hAnsi="仿宋" w:eastAsia="仿宋" w:cs="仿宋"/>
        </w:rPr>
        <w:t>家，具体包括：</w:t>
      </w:r>
      <w:r>
        <w:rPr>
          <w:rFonts w:ascii="仿宋" w:hAnsi="仿宋" w:eastAsia="仿宋" w:cs="仿宋"/>
        </w:rPr>
        <w:t>江苏省民政厅（机关），江苏省民政干部学校，江苏省立新农场，江苏省伤残人康复中心，江苏省民政信息中心，江苏省社会捐助服务中心，江苏省社会福利中心，江苏民政康复医院，江苏省养老服务指导中心（江苏省老年公寓管理中心），江苏省社会组织服务中心。</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w:t>
      </w:r>
      <w:r>
        <w:rPr>
          <w:rFonts w:hint="eastAsia" w:ascii="仿宋" w:hAnsi="仿宋" w:eastAsia="仿宋" w:cs="仿宋"/>
          <w:b/>
          <w:bCs/>
          <w:lang w:eastAsia="zh-CN"/>
        </w:rPr>
        <w:t>2023</w:t>
      </w:r>
      <w:r>
        <w:rPr>
          <w:rFonts w:hint="eastAsia" w:ascii="仿宋" w:hAnsi="仿宋" w:eastAsia="仿宋" w:cs="仿宋"/>
          <w:b/>
          <w:bCs/>
        </w:rPr>
        <w:t>年度</w:t>
      </w:r>
      <w:r>
        <w:rPr>
          <w:rFonts w:ascii="仿宋" w:hAnsi="仿宋" w:eastAsia="仿宋" w:cs="仿宋"/>
          <w:b/>
        </w:rPr>
        <w:t>部门主要工作任务及目标</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2023年是全面贯彻党的二十大精神的开局之年。全省民政工作要坚持以习近平新时代中国特色社会主义思想为指导，深入贯彻落实党的二十大精神，认真落实省委、省政府和民政部工作部署，聚焦群众“急难愁盼”问题，持续打造“人本民政”“法治民政”“协同民政”和“智慧民政”，深入推进“6+1”高质量现代民政体系建设，更好履行基本民生保障、基层社会治理、基本社会服务等职责，为全面推进中国式现代化江苏新实践贡献更多民政力量。</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始终保持民政事业发展的正确政治方向。深入学习贯彻习近平新时代中国特色社会主义思想，坚定不移用习近平新时代中国特色社会主义思想武装头脑、指导实践、推动工作。全面落实党中央和省委关于认真学习宣传贯彻党的二十大精神的决策部署，按照厅党组《关于认真学习宣传贯彻党的二十大精神的通知》要求，大力开展“六学六争”实践活动，教育引导全省民政系统广大党员干部完整、准确、全面学习领会党的二十大精神。牢牢把握民政工作的政治属性，引导全省民政系统党员干部深刻把握“两个确立”，坚决做到“两个维护”，把对党忠诚体现在贯彻落实党中央决策部署的行动上，体现在履行民政工作职责、做好本职工作的实效上，切实把党的领导贯穿民政工作各方面、全过程。贯彻落实新时代党的建设总要求，根据中央和省委部署，</w:t>
      </w:r>
      <w:bookmarkStart w:id="0" w:name="_GoBack"/>
      <w:bookmarkEnd w:id="0"/>
      <w:r>
        <w:rPr>
          <w:rFonts w:hint="eastAsia" w:ascii="仿宋" w:hAnsi="仿宋" w:eastAsia="仿宋" w:cs="仿宋"/>
          <w:lang w:eastAsia="zh-CN"/>
        </w:rPr>
        <w:t>学习贯彻习近平新时代中国特色社会主义思想主题教育</w:t>
      </w:r>
      <w:r>
        <w:rPr>
          <w:rFonts w:ascii="仿宋" w:hAnsi="仿宋" w:eastAsia="仿宋" w:cs="仿宋"/>
        </w:rPr>
        <w:t>。加强党建对业务工作统筹协调督促指导功能，推动党建与业务深度融合。深刻领悟习近平总书记在二十届中央纪委二次全会上重要讲话精神，推动全面从严治党向纵深发展。锲而不舍落实中央八项规定精神，紧盯“四风”新表现新形态，加大监督检查和警示震慑力度。持续整治形式主义、官僚主义，严肃查处民政系统腐败案件，坚决整治群众身边的民政领域腐败和不正之风，抓好特殊困难群众救助帮扶专项排查整治行动排查发现问题的整改和长效机制建设，巩固专项行动成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不断健全分层分类的社会救助体系。推动社会救助扩围增效。研究制定进一步做好最低生活保障等社会救助兜底保障工作的政策措施，强化低保扩围增效；健全完善特困人员救助供养制度，进一步规范特困人员供养服务工作。落实最低生活保障标准和特困供养人员基本生活标准动态调整机制。全面落实由急难发生地直接实施临时救助的政策规定，加强对非本地户籍人口救助力度。健全完善低收入人口动态监测和常态化救助帮扶机制。提升金民工程社会救助信息系统功能，夯实低收入人口的基础数据库。完善低收入人口动态监测平台，建立常态化信息共享和数据比对机制。健全完善社会救助主动发现机制，构建主动发现网络，拓宽线下发现渠道，早介入、早救助。会同相关部门健全完善低保边缘家庭和支出型困难家庭救助帮扶政策，加大救助力度。强化社会救助服务效能。加快发展服务类救助，推动形成“物质+服务”救助方式，提高困难群众救助服务质量。积极引导慈善组织、专业社工、志愿服务队伍等多元主体参与扶弱济困。继续开展全省社会救助领域创新实践活动，形成可复制、可推广的经验做法。提升基层救助服务经办能力。加强社会救助信息化建设，开展全省民政领域社会救助“掌上办”“网上办”“省内通办”，推动智慧救助。通过开展专题培训，加强政策解读，提升基层社会救助工作人员经办服务能力。</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全面推进养老服务高质量发展。完善基本养老服务制度体系。贯彻落实《省委办公厅省政府办公厅印发关于推进基本养老服务体系建设若干措施的通知》，加强基本养老服务。研究制定开展特殊困难老年人探访关爱服务的实施意见，兜牢责任底线、防范化解风险。健全县、乡、村衔接顺畅的农村养老服务网络。健全居家社区养老服务网络。实施“原居享老”支持行动，完成3万户老年人居家适老化改造，开展失能老年人家庭成员照护培训5000人次，设置家庭养老照护床位1000张。实施“社区安老”提升行动，改造提升100个标准化街道综合性养老服务中心、1000个示范性乡村互助养老睦邻点、500个社区助餐点。推动养老机构提质增效。进一步规范养老机构等级评定，全省60%养老机构完成等级评定工作。推广《养老机构认知障碍照护专区设置服务规范》地方标准，强化失智老年人照护服务功能。健全“双随机一公开”监管机制，维护住养老年人权益。组织开展“养老服务监管效能提升年”活动。加强养老服务人才队伍建设。通过线上培训、技能实操等形式开展养老护理员轮训。评定一批养老护理员技师、高级技师。继续办好南京中医药大学养老服务与管理学院。办好长三角养老护理员大赛和全国养老护理职业技能大赛江苏选拔赛。推动养老产业高质量发展。提请省政府出台关于加快养老事业和养老产业发展的实施意见。深化养老服务南北结对帮扶合作。加大民办养老机构纾困扶持力度。联合省发展改革委开展第三批省级养老服务高质量发展示范企业评定工作。办好第12届江苏国际养老服务博览会。</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着力强化儿童福利和未成年人保护工作。强化特殊儿童群体关爱服务。深化困境儿童“主动发现”机制，开展“类别化+差异化”的关爱服务。稳步提高孤儿和事实无人抚养儿童基本生活保障水平，健全动态监测、跟踪服务、长效帮扶的工作机制。推动农村留守儿童委托照护协议签订和监护职责履行全覆盖。推进儿童福利机构高质量发展。组织实施儿童福利机构“精准化管理、精细化服务质量提升年行动”。研究制定《江苏省儿童福利机构管理办法实施细则》、机构等级评定标准、成年孤儿安置服务政策。开展高质量发展示范性儿童福利机构创建活动。加强未成年人保护工作。加强各级未成年人保护工作协调机制能力建设，组织开展全省未保办负责人示范培训，推进“苏童成长”协同关爱机制建设试点工作。建立健全四级未成年人保护工作网络，研究制定未成年人保护机构建设和服务指引。改造提升120个省级示范性未成年人保护工作站（关爱之家）。实施基层儿童工作者队伍能力提升行动。提升收养工作规范化水平。加强收养政策宣传解读，组织开展全省收养业务专题培训、“收养法规宣传进社区”活动，规范收养登记程序。严格落实收养相关政策新要求，鼓励收养福利机构残疾儿童。</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五、扎实推进基层治理现代化。统筹推进基层治理现代化建设。规范村级组织工作事务、机制牌子和证明事项，推动纳入市县乡党委书记抓基层党建工作述职评议考核。大力推动城市社区和新型农村社区治理创新，培育创新典型。组织开展基层治理创新试点工作，构筑多维创新载体。健全社区工作者职业体系建设政策制度，会同有关部门做好2023年高校毕业生到城乡社区就业工作。健全和创新村（居）民自治机制。完善基层群众自治组织体系，加强村（居）民委员会下属委员会工作联动。指导各地加强村民委员会规范化建设工作，规范村（居）务公开、村（居）务监督，修订完善《村务公开目录》，制定《江苏省城市居民委员会规范化建设工作指引》。加强城乡社区服务体系建设。认真组织实施“新时代新社区新生活”服务质量提升行动。持续加强社区综合服务设施建设，改造提升和新建300个社区综合服务中心。指导各地建立创新驱动、运行有序、共生发展的“五社联动”机制，每个设区市选择1个县（市、区）和5个左右乡镇（街道）开展试点工作，推介一批典型案例。</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六、积极引导社会组织健康有序发展。强化党对社会组织的全面领导。推动社会组织深入学习贯彻习近平新时代中国特色社会主义思想，认真落实党的二十大精神。持续推进党的组织和党的工作有效覆盖，推动社会组织党建和业务工作相融合，与成立登记、章程核准、年检年报、专项抽查、等级评估、教育培训“六同步”。依托社会组织孵化基地持续打造社会组织党建工作示范点，引领社会组织高质量发展。优化社会组织发展环境。研究拟订推动社会组织高质量发展、深化行业协会商会改革的有关意见。优化登记布局和登记窗口功能，做好重点领域社会组织依法登记，完善社会组织退出机制，健全面向基层的社会组织孵化体系完成首届“江苏省先进社会组织”评选表彰各项工作，举办第四届全省社会组织展示交流会。完善社会组织监管举措。推动社会组织法定代表人离任审计全覆盖。强化社会组织信用信息管理，落实社会组织拟任负责人任前公示制度。常态化打击整治非法社会组织，长效化清理整治行业协会商会“乱收费”。深入开展社会服务机构非营利监管。探索开展社会组织涉外资金风险常态化监测。充分发挥社会组织作用。探索建立全省性社会组织参与对口支援协作和助力乡村振兴共商共建共享工作制度，鼓励支持省内优秀社会组织牵头实施组团式帮扶项目，打造“苏社有为、振兴发展”系列公益项目品牌。建立健全社会组织有关就业岗位和就业数据信息的统计与发布机制，持续开展“苏社有为促就业，筑梦青春赢未来”社会组织专场招聘活动。扎实开展“邻里守望心向党”主题实践活动，支持社区社会组织积极提供扶老、助残、救孤、济困等基本社会服务，支持行业协会商会指导帮助失信会员企业开展信用修复，支持社会组织带动有意愿有能力的企业和个人参与公益慈善事业。</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七、不断提升区划地名管理服务水平。加强和改进行政区划工作。稳妥推进优化行政区划设置，健全行政区划调整预审联审机制，完善行政区划调整综合指标及评价标准体系，做好组织实施督导检查和调整效果监测评估，推动行政区划历史文化传承保护利用。规范地名管理工作。指导各地做好标准地名审定，以及现行地方性法规、地方政府规章的梳理和立、改、废工作。推动省级建立全省地名管理工作联席会议机制，指导各地建立健全本级地名管理工作协调机制。推进乡镇地名规划编制工作，到2023年底全省乡镇地名规划实现全覆盖。完善地名公共服务体系。积极发挥省区划地名信息系统作用，打造区划地名“云”博物馆。开展全省第二批地名文化遗产评定，制订《江苏省地名文化遗产鉴定标准》，争取将符合条件的地名文化遗产依法列入非物质文化遗产保护范围。全年新设历史地名保护碑牌不少于40块。推进“深化乡村地名服务点亮美好家园”国家级和省级试点工作。深化平安边界建设。启动第五轮行政区域界线联合检查。防范行政区域界线争议，完善事前事中事后全程治理机制。开展省界矢量化工作，制定全省界线矢量化技术要点和规范，尽快形成全省“一张图”。</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八、持续深化社会事务工作改革创新。提升救助管理服务能力。积极推进救助管理工作规范化建设，研究细化有关加强流浪乞讨人员救助寻亲和落户安置工作的意见。深入推进救助管理工作区域中心建设。扎实开展6.19全国救助管理机构“开放日”活动、“夏季送清凉”“寒冬送温暖”专项救助行动，加强救助工作宣传引导。深化殡葬领域改革。出台《江苏省公墓管理办法》，指导各地完善殡葬管理法规制度体系，建立健全殡葬服务市场规范和公墓建设管理、殡葬违法现象治理等具体规定，提高殡葬管理法治化规范化水平。持续推进殡葬领域突出问题整治规范，加强殡葬服务全过程监管。指导各地完善殡葬服务设施设备，进一步提升殡葬服务保障能力。新建扩建100个城乡公益性骨灰安放（葬）设施。加快推进公民身后“一件事一次办”改革，提供“一站式”服务。提升婚姻管理工作质量。根据民政部部署，开展内地居民离婚登记“跨省通办”全国试点，配合推动长三角地区婚姻登记“跨区通办”。出台我省《关于妥善处理以冒名顶替或者弄虚作假的方式办理婚姻登记问题的实施意见》，维护婚姻登记秩序。推进“互联网+婚姻”，完善婚姻登记信息系统功能，推进实施公民婚育“一件事一次办”改革。加强残疾人福利工作。开展全省残疾人两项补贴精准化发放、规范化管理三年行动。组织开展“精康融合行动”。创建100个省级精神障碍社区康复服务示范点。组织实施康复辅助器具“辅佑康健”行动，持续推进全省康复辅助器具社区租赁服务工作试点。</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九、扎实推动慈善社工事业发展。推动慈善事业创新发展。贯彻落实《中华人民共和国慈善法》，发挥慈善事业第三次分配作用，引导、支持有意愿有能力的企业、社会组织和个人积极参与公益慈善事业。推动“互联网+慈善”“信托+慈善”等发展。加强慈善组织监管，实施“阳光慈善”工程，提升慈善行业透明化和规范化程度。推进社会工作人才队伍建设。完善慈善社工政策咨询专家库，研究制订深化社工站建设有关政策，培育示范性社工站。推动民政业务对社会工作服务需求的有效整合，支持社工站承接各部门服务项目。深化“五社联动”实践，开展社工站等示范性服务项目征集活动。开展高级社工师评审、寻找“最美社工”、第九批社会工作领军人才选拔等活动。深入开展省内社会工作“牵手行动”，组织做好民政部“十四五”援派陕西“牵手计划”以及“苏皖豫”深化“牵手计划”合作项目。做好志愿服务行政管理。全面开展志愿服务记录与证明出具抽查工作，探索建立健全志愿服务事中事后监管机制。推广应用“江苏志愿服务”信息平台，拓展“互联网+志愿服务”工作模式。推动志愿服务融合发展，打造民政特色志愿服务品牌。推进福利彩票高质量发展。加大我省地方特色主题即开票的研发力度，丰富游戏票种，激发市场活力。用好内训师队伍，分层分类开展业务培训，提升销售员、市场管理员及福彩机构工作人员专业素养和能力水平。积极践行公益初心，持续推进福彩社会责任体系建设。打造“智慧福彩”数字化综合平台。</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更好统筹发展和安全。持续优化疫情防控措施。按照省委、省政府和民政部工作要求，适应“乙类乙管”新形势，科学抓好养老服务、儿童福利、精神卫生福利、流浪乞讨人员救助管理机构疫情防控，根据实际落实防控措施。巩固提升安全生产专项整治成果。开展“生命至上，隐患必除”消防安全专项行动，全力消除各类火灾隐患。组织《江苏省民政服务机构消防安全标准化管理规定》达标创建，全面提升本质消防安全水平。常态化、制度化开展“双随机、一公开”多部门联合检查督导，强化安全生产依法治理。做好信访及稳定工作。全面畅通信访渠道，规范受理办理信访事项，强化初次信访首办责任，努力实现群众合理诉求“最多访一次”目标。落实信访形势分析研判制度，健全舆情监测及应对机制，及时防范化解风险隐患。注重吸收多元力量参与信访工作，及时就地解决群众合理合法诉求，着力将矛盾问题化解在基层、化解在萌芽状态。</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1020" w:bottom="770" w:left="10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lang w:eastAsia="zh-CN"/>
        </w:rPr>
        <w:t>2023</w:t>
      </w:r>
      <w:r>
        <w:rPr>
          <w:rFonts w:hint="eastAsia" w:ascii="仿宋" w:hAnsi="仿宋" w:eastAsia="仿宋" w:cs="仿宋"/>
          <w:b/>
          <w:bCs/>
          <w:sz w:val="44"/>
          <w:szCs w:val="44"/>
        </w:rPr>
        <w:t>年度</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江苏省民政厅</w:t>
      </w:r>
    </w:p>
    <w:p>
      <w:pPr>
        <w:pStyle w:val="21"/>
        <w:widowControl w:val="0"/>
        <w:tabs>
          <w:tab w:val="left" w:pos="1609"/>
        </w:tabs>
        <w:suppressAutoHyphens/>
        <w:bidi w:val="0"/>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部门</w:t>
      </w:r>
      <w:r>
        <w:rPr>
          <w:rFonts w:ascii="仿宋" w:hAnsi="仿宋" w:eastAsia="仿宋" w:cs="仿宋"/>
          <w:b/>
          <w:sz w:val="44"/>
        </w:rPr>
        <w:t>预算表</w:t>
      </w:r>
    </w:p>
    <w:tbl>
      <w:tblPr>
        <w:tblStyle w:val="13"/>
        <w:tblW w:w="11329" w:type="dxa"/>
        <w:jc w:val="center"/>
        <w:tblInd w:w="0" w:type="dxa"/>
        <w:tblLayout w:type="fixed"/>
        <w:tblCellMar>
          <w:top w:w="0" w:type="dxa"/>
          <w:left w:w="108" w:type="dxa"/>
          <w:bottom w:w="0" w:type="dxa"/>
          <w:right w:w="108" w:type="dxa"/>
        </w:tblCellMar>
      </w:tblPr>
      <w:tblGrid>
        <w:gridCol w:w="3908"/>
        <w:gridCol w:w="1869"/>
        <w:gridCol w:w="3704"/>
        <w:gridCol w:w="67"/>
        <w:gridCol w:w="1781"/>
      </w:tblGrid>
      <w:tr>
        <w:tblPrEx>
          <w:tblLayout w:type="fixed"/>
          <w:tblCellMar>
            <w:top w:w="0" w:type="dxa"/>
            <w:left w:w="108" w:type="dxa"/>
            <w:bottom w:w="0" w:type="dxa"/>
            <w:right w:w="108" w:type="dxa"/>
          </w:tblCellMar>
        </w:tblPrEx>
        <w:trPr>
          <w:cantSplit/>
          <w:trHeight w:val="116" w:hRule="atLeast"/>
          <w:jc w:val="center"/>
        </w:trPr>
        <w:tc>
          <w:tcPr>
            <w:tcW w:w="11329" w:type="dxa"/>
            <w:gridSpan w:val="5"/>
            <w:vAlign w:val="center"/>
          </w:tcPr>
          <w:p>
            <w:pPr>
              <w:pageBreakBefore/>
              <w:widowControl w:val="0"/>
              <w:ind w:left="0" w:right="0" w:firstLine="0"/>
              <w:jc w:val="both"/>
              <w:textAlignment w:val="auto"/>
              <w:rPr>
                <w:rFonts w:hint="eastAsia" w:ascii="仿宋" w:hAnsi="仿宋" w:eastAsia="仿宋" w:cs="仿宋"/>
                <w:color w:val="000000"/>
                <w:sz w:val="22"/>
                <w:szCs w:val="22"/>
                <w:lang w:eastAsia="ar-SA"/>
              </w:rPr>
            </w:pPr>
            <w:r>
              <w:rPr>
                <w:rFonts w:hint="eastAsia" w:ascii="仿宋" w:hAnsi="仿宋" w:eastAsia="仿宋" w:cs="仿宋"/>
                <w:color w:val="000000"/>
                <w:sz w:val="22"/>
                <w:szCs w:val="22"/>
                <w:lang w:eastAsia="ar-SA"/>
              </w:rPr>
              <w:t>公开01表</w:t>
            </w:r>
          </w:p>
        </w:tc>
      </w:tr>
      <w:tr>
        <w:tblPrEx>
          <w:tblLayout w:type="fixed"/>
          <w:tblCellMar>
            <w:top w:w="0" w:type="dxa"/>
            <w:left w:w="108" w:type="dxa"/>
            <w:bottom w:w="0" w:type="dxa"/>
            <w:right w:w="108" w:type="dxa"/>
          </w:tblCellMar>
        </w:tblPrEx>
        <w:trPr>
          <w:cantSplit/>
          <w:trHeight w:val="348" w:hRule="atLeast"/>
          <w:jc w:val="center"/>
        </w:trPr>
        <w:tc>
          <w:tcPr>
            <w:tcW w:w="11329" w:type="dxa"/>
            <w:gridSpan w:val="5"/>
          </w:tcPr>
          <w:p>
            <w:pPr>
              <w:widowControl w:val="0"/>
              <w:ind w:left="0" w:right="0" w:firstLine="0"/>
              <w:jc w:val="center"/>
              <w:textAlignment w:val="auto"/>
              <w:rPr>
                <w:rFonts w:hint="eastAsia" w:ascii="仿宋" w:hAnsi="仿宋" w:eastAsia="仿宋" w:cs="仿宋"/>
                <w:color w:val="000000"/>
                <w:sz w:val="22"/>
              </w:rPr>
            </w:pPr>
            <w:r>
              <w:rPr>
                <w:rFonts w:hint="eastAsia" w:ascii="仿宋" w:hAnsi="仿宋" w:eastAsia="仿宋" w:cs="仿宋"/>
                <w:b/>
                <w:bCs/>
                <w:color w:val="000000"/>
                <w:sz w:val="44"/>
                <w:szCs w:val="44"/>
                <w:lang w:eastAsia="ar-SA"/>
              </w:rPr>
              <w:t>收支总表</w:t>
            </w:r>
          </w:p>
        </w:tc>
      </w:tr>
      <w:tr>
        <w:tblPrEx>
          <w:tblLayout w:type="fixed"/>
          <w:tblCellMar>
            <w:top w:w="0" w:type="dxa"/>
            <w:left w:w="108" w:type="dxa"/>
            <w:bottom w:w="0" w:type="dxa"/>
            <w:right w:w="108" w:type="dxa"/>
          </w:tblCellMar>
        </w:tblPrEx>
        <w:trPr>
          <w:cantSplit/>
          <w:trHeight w:val="333" w:hRule="atLeast"/>
          <w:jc w:val="center"/>
        </w:trPr>
        <w:tc>
          <w:tcPr>
            <w:tcW w:w="9481"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部门</w:t>
            </w:r>
            <w:r>
              <w:rPr>
                <w:rFonts w:ascii="仿宋" w:hAnsi="仿宋" w:eastAsia="仿宋" w:cs="仿宋"/>
                <w:color w:val="000000"/>
                <w:sz w:val="22"/>
              </w:rPr>
              <w:t>：</w:t>
            </w:r>
            <w:r>
              <w:rPr>
                <w:rFonts w:hint="eastAsia" w:ascii="仿宋" w:hAnsi="仿宋" w:eastAsia="仿宋" w:cs="仿宋"/>
                <w:color w:val="000000"/>
                <w:sz w:val="22"/>
                <w:szCs w:val="22"/>
                <w:lang w:eastAsia="ar-SA"/>
              </w:rPr>
              <w:t>江苏省民政厅</w:t>
            </w:r>
          </w:p>
        </w:tc>
        <w:tc>
          <w:tcPr>
            <w:tcW w:w="1848"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lang w:eastAsia="zh-CN"/>
              </w:rPr>
              <w:t>单位</w:t>
            </w:r>
            <w:r>
              <w:rPr>
                <w:rFonts w:hint="eastAsia" w:ascii="仿宋" w:hAnsi="仿宋" w:eastAsia="仿宋" w:cs="仿宋"/>
                <w:color w:val="000000"/>
                <w:sz w:val="22"/>
              </w:rPr>
              <w:t>：万元</w:t>
            </w:r>
          </w:p>
        </w:tc>
      </w:tr>
      <w:tr>
        <w:tblPrEx>
          <w:tblLayout w:type="fixed"/>
          <w:tblCellMar>
            <w:top w:w="0" w:type="dxa"/>
            <w:left w:w="108" w:type="dxa"/>
            <w:bottom w:w="0" w:type="dxa"/>
            <w:right w:w="108" w:type="dxa"/>
          </w:tblCellMar>
        </w:tblPrEx>
        <w:trPr>
          <w:cantSplit/>
          <w:trHeight w:val="204"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支出</w:t>
            </w:r>
          </w:p>
        </w:tc>
      </w:tr>
      <w:tr>
        <w:tblPrEx>
          <w:tblLayout w:type="fixed"/>
          <w:tblCellMar>
            <w:top w:w="0" w:type="dxa"/>
            <w:left w:w="108" w:type="dxa"/>
            <w:bottom w:w="0" w:type="dxa"/>
            <w:right w:w="108" w:type="dxa"/>
          </w:tblCellMar>
        </w:tblPrEx>
        <w:trPr>
          <w:cantSplit/>
          <w:trHeight w:val="319"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zh-CN"/>
              </w:rPr>
              <w:t>预算</w:t>
            </w:r>
            <w:r>
              <w:rPr>
                <w:rFonts w:hint="eastAsia" w:ascii="仿宋" w:hAnsi="仿宋" w:eastAsia="仿宋" w:cs="仿宋"/>
                <w:b/>
                <w:bCs/>
                <w:color w:val="000000"/>
                <w:sz w:val="22"/>
                <w:szCs w:val="22"/>
                <w:lang w:eastAsia="ar-SA"/>
              </w:rPr>
              <w:t>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项目</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zh-CN"/>
              </w:rPr>
              <w:t>预算</w:t>
            </w:r>
            <w:r>
              <w:rPr>
                <w:rFonts w:hint="eastAsia" w:ascii="仿宋" w:hAnsi="仿宋" w:eastAsia="仿宋" w:cs="仿宋"/>
                <w:b/>
                <w:bCs/>
                <w:color w:val="000000"/>
                <w:sz w:val="22"/>
                <w:szCs w:val="22"/>
                <w:lang w:eastAsia="ar-SA"/>
              </w:rPr>
              <w:t>数</w:t>
            </w: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15,545.38</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5,615.00</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四、财政专户管理资金收入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1,648.07</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六、事业单位经营收入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1,872.96</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16,011.94</w:t>
            </w: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九、其他收入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799.57</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九、社会保险基金支出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十八、援助其他地区支出 </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3,961.79</w:t>
            </w: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二十四、预备费</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5,615.00</w:t>
            </w: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二十六、转移性支出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二十七、债务还本支出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二十八、债务付息支出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二十九、债务发行费用支出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三十、抗疫特别国债安排的支出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Layout w:type="fixed"/>
          <w:tblCellMar>
            <w:top w:w="0" w:type="dxa"/>
            <w:left w:w="108" w:type="dxa"/>
            <w:bottom w:w="0" w:type="dxa"/>
            <w:right w:w="108" w:type="dxa"/>
          </w:tblCellMar>
        </w:tblPrEx>
        <w:trPr>
          <w:cantSplit/>
          <w:trHeight w:val="299"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25,480.98</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lang w:eastAsia="ar-SA"/>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25,588.73</w:t>
            </w:r>
          </w:p>
        </w:tc>
      </w:tr>
      <w:tr>
        <w:tblPrEx>
          <w:tblLayout w:type="fixed"/>
          <w:tblCellMar>
            <w:top w:w="0" w:type="dxa"/>
            <w:left w:w="108" w:type="dxa"/>
            <w:bottom w:w="0" w:type="dxa"/>
            <w:right w:w="108" w:type="dxa"/>
          </w:tblCellMar>
        </w:tblPrEx>
        <w:trPr>
          <w:cantSplit/>
          <w:trHeight w:val="192"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default" w:ascii="仿宋" w:hAnsi="仿宋" w:eastAsia="仿宋" w:cs="仿宋"/>
                <w:color w:val="000000"/>
                <w:sz w:val="22"/>
                <w:szCs w:val="22"/>
                <w:lang w:val="en-US" w:eastAsia="zh-CN"/>
              </w:rPr>
            </w:pPr>
            <w:r>
              <w:rPr>
                <w:rFonts w:hint="eastAsia" w:ascii="仿宋" w:hAnsi="仿宋" w:eastAsia="仿宋" w:cs="仿宋"/>
                <w:b/>
                <w:bCs/>
                <w:color w:val="000000"/>
                <w:sz w:val="22"/>
                <w:szCs w:val="22"/>
                <w:lang w:val="en-US" w:eastAsia="zh-CN"/>
              </w:rPr>
              <w:t>上年结转结余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zh-CN" w:eastAsia="ar-SA"/>
              </w:rPr>
            </w:pPr>
            <w:r>
              <w:rPr>
                <w:rFonts w:hint="eastAsia" w:ascii="仿宋" w:hAnsi="仿宋" w:eastAsia="仿宋" w:cs="仿宋"/>
                <w:b/>
                <w:bCs/>
                <w:color w:val="000000"/>
                <w:sz w:val="22"/>
                <w:szCs w:val="22"/>
                <w:lang w:val="zh-CN" w:eastAsia="ar-SA"/>
              </w:rPr>
              <w:t>107.75</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default"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年终结转结余</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p>
        </w:tc>
      </w:tr>
      <w:tr>
        <w:tblPrEx>
          <w:tblLayout w:type="fixed"/>
          <w:tblCellMar>
            <w:top w:w="0" w:type="dxa"/>
            <w:left w:w="108" w:type="dxa"/>
            <w:bottom w:w="0" w:type="dxa"/>
            <w:right w:w="108" w:type="dxa"/>
          </w:tblCellMar>
        </w:tblPrEx>
        <w:trPr>
          <w:cantSplit/>
          <w:trHeight w:val="289"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val="en-US" w:eastAsia="zh-CN"/>
              </w:rPr>
              <w:t>收入</w:t>
            </w: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ar-SA"/>
              </w:rPr>
            </w:pPr>
            <w:r>
              <w:rPr>
                <w:rFonts w:hint="eastAsia" w:ascii="仿宋" w:hAnsi="仿宋" w:eastAsia="仿宋" w:cs="仿宋"/>
                <w:b/>
                <w:bCs/>
                <w:color w:val="000000"/>
                <w:sz w:val="22"/>
                <w:szCs w:val="22"/>
                <w:lang w:val="en-US" w:eastAsia="zh-CN"/>
              </w:rPr>
              <w:t>25,588.73</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lang w:eastAsia="ar-SA"/>
              </w:rPr>
            </w:pPr>
            <w:r>
              <w:rPr>
                <w:rFonts w:hint="eastAsia" w:ascii="仿宋" w:hAnsi="仿宋" w:eastAsia="仿宋" w:cs="仿宋"/>
                <w:b/>
                <w:bCs/>
                <w:color w:val="000000"/>
                <w:sz w:val="22"/>
                <w:szCs w:val="22"/>
                <w:lang w:val="en-US" w:eastAsia="zh-CN"/>
              </w:rPr>
              <w:t>支出</w:t>
            </w:r>
            <w:r>
              <w:rPr>
                <w:rFonts w:hint="eastAsia" w:ascii="仿宋" w:hAnsi="仿宋" w:eastAsia="仿宋" w:cs="仿宋"/>
                <w:b/>
                <w:bCs/>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25,588.73</w:t>
            </w:r>
          </w:p>
        </w:tc>
      </w:tr>
    </w:tbl>
    <w:p>
      <w:pPr>
        <w:widowControl w:val="0"/>
        <w:suppressAutoHyphens/>
        <w:bidi w:val="0"/>
        <w:spacing w:before="66" w:after="0"/>
        <w:ind w:right="0"/>
        <w:jc w:val="left"/>
        <w:rPr>
          <w:rFonts w:hint="eastAsia" w:ascii="仿宋" w:hAnsi="仿宋" w:eastAsia="仿宋" w:cs="仿宋"/>
          <w:b/>
          <w:bCs/>
          <w:color w:val="000000"/>
          <w:sz w:val="22"/>
          <w:szCs w:val="22"/>
        </w:rPr>
        <w:sectPr>
          <w:footerReference r:id="rId7" w:type="default"/>
          <w:pgSz w:w="11906" w:h="16838"/>
          <w:pgMar w:top="1580" w:right="700" w:bottom="770" w:left="697"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6703" w:type="dxa"/>
        <w:tblInd w:w="1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824"/>
        <w:gridCol w:w="1801"/>
        <w:gridCol w:w="976"/>
        <w:gridCol w:w="998"/>
        <w:gridCol w:w="999"/>
        <w:gridCol w:w="749"/>
        <w:gridCol w:w="681"/>
        <w:gridCol w:w="972"/>
        <w:gridCol w:w="983"/>
        <w:gridCol w:w="811"/>
        <w:gridCol w:w="674"/>
        <w:gridCol w:w="686"/>
        <w:gridCol w:w="834"/>
        <w:gridCol w:w="823"/>
        <w:gridCol w:w="823"/>
        <w:gridCol w:w="834"/>
        <w:gridCol w:w="553"/>
        <w:gridCol w:w="822"/>
        <w:gridCol w:w="8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left"/>
              <w:rPr>
                <w:rFonts w:hint="eastAsia" w:ascii="仿宋" w:hAnsi="仿宋" w:eastAsia="仿宋" w:cs="仿宋"/>
                <w:lang w:val="en-US" w:eastAsia="zh-CN"/>
              </w:rPr>
            </w:pPr>
            <w:r>
              <w:rPr>
                <w:rFonts w:hint="eastAsia" w:ascii="仿宋" w:hAnsi="仿宋" w:eastAsia="仿宋" w:cs="仿宋"/>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b/>
                <w:bCs/>
                <w:sz w:val="44"/>
                <w:szCs w:val="44"/>
              </w:rPr>
              <w:t>收入</w:t>
            </w:r>
            <w:r>
              <w:rPr>
                <w:rFonts w:hint="eastAsia" w:ascii="仿宋" w:hAnsi="仿宋" w:eastAsia="仿宋" w:cs="仿宋"/>
                <w:b/>
                <w:bCs/>
                <w:sz w:val="44"/>
                <w:szCs w:val="44"/>
                <w:lang w:val="en-US" w:eastAsia="zh-CN"/>
              </w:rPr>
              <w:t>总</w:t>
            </w:r>
            <w:r>
              <w:rPr>
                <w:rFonts w:hint="eastAsia" w:ascii="仿宋" w:hAnsi="仿宋" w:eastAsia="仿宋" w:cs="仿宋"/>
                <w:b/>
                <w:bCs/>
                <w:sz w:val="44"/>
                <w:szCs w:val="44"/>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11988" w:type="dxa"/>
            <w:gridSpan w:val="13"/>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jc w:val="both"/>
              <w:rPr>
                <w:rFonts w:hint="eastAsia" w:ascii="仿宋" w:hAnsi="仿宋" w:eastAsia="仿宋" w:cs="仿宋"/>
                <w:lang w:val="en-US" w:eastAsia="zh-CN"/>
              </w:rPr>
            </w:pPr>
            <w:r>
              <w:rPr>
                <w:rFonts w:hint="eastAsia" w:ascii="仿宋" w:hAnsi="仿宋" w:eastAsia="仿宋" w:cs="仿宋"/>
                <w:color w:val="000000"/>
                <w:sz w:val="22"/>
                <w:szCs w:val="22"/>
                <w:lang w:eastAsia="zh-CN"/>
              </w:rPr>
              <w:t>部门</w:t>
            </w:r>
            <w:r>
              <w:rPr>
                <w:rFonts w:ascii="仿宋" w:hAnsi="仿宋" w:eastAsia="仿宋" w:cs="仿宋"/>
                <w:color w:val="000000"/>
                <w:sz w:val="22"/>
              </w:rPr>
              <w:t>：</w:t>
            </w:r>
            <w:r>
              <w:rPr>
                <w:rFonts w:hint="eastAsia" w:ascii="仿宋" w:hAnsi="仿宋" w:eastAsia="仿宋" w:cs="仿宋"/>
              </w:rPr>
              <w:t>江苏省民政厅</w:t>
            </w:r>
          </w:p>
        </w:tc>
        <w:tc>
          <w:tcPr>
            <w:tcW w:w="4715" w:type="dxa"/>
            <w:gridSpan w:val="6"/>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jc w:val="right"/>
              <w:rPr>
                <w:rFonts w:hint="eastAsia" w:ascii="仿宋" w:hAnsi="仿宋" w:eastAsia="仿宋" w:cs="仿宋"/>
                <w:lang w:val="en-US" w:eastAsia="zh-CN"/>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824"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color w:val="000000"/>
                <w:sz w:val="22"/>
                <w:szCs w:val="22"/>
                <w:lang w:eastAsia="zh-CN"/>
              </w:rPr>
              <w:t>部门</w:t>
            </w:r>
            <w:r>
              <w:rPr>
                <w:rFonts w:hint="eastAsia" w:ascii="仿宋" w:hAnsi="仿宋" w:eastAsia="仿宋" w:cs="仿宋"/>
                <w:sz w:val="21"/>
                <w:szCs w:val="21"/>
                <w:lang w:val="en-US" w:eastAsia="zh-CN"/>
              </w:rPr>
              <w:t>代码</w:t>
            </w:r>
          </w:p>
        </w:tc>
        <w:tc>
          <w:tcPr>
            <w:tcW w:w="1801"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color w:val="000000"/>
                <w:sz w:val="22"/>
                <w:szCs w:val="22"/>
                <w:lang w:eastAsia="zh-CN"/>
              </w:rPr>
              <w:t>部门</w:t>
            </w:r>
            <w:r>
              <w:rPr>
                <w:rFonts w:hint="eastAsia" w:ascii="仿宋" w:hAnsi="仿宋" w:eastAsia="仿宋" w:cs="仿宋"/>
                <w:sz w:val="21"/>
                <w:szCs w:val="21"/>
                <w:lang w:val="en-US" w:eastAsia="zh-CN"/>
              </w:rPr>
              <w:t>名称</w:t>
            </w:r>
          </w:p>
        </w:tc>
        <w:tc>
          <w:tcPr>
            <w:tcW w:w="976"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sz w:val="21"/>
                <w:szCs w:val="21"/>
                <w:lang w:val="en-US" w:eastAsia="zh-CN"/>
              </w:rPr>
              <w:t>合计</w:t>
            </w:r>
          </w:p>
        </w:tc>
        <w:tc>
          <w:tcPr>
            <w:tcW w:w="8387" w:type="dxa"/>
            <w:gridSpan w:val="10"/>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r>
              <w:rPr>
                <w:rFonts w:hint="eastAsia" w:ascii="仿宋" w:hAnsi="仿宋" w:eastAsia="仿宋" w:cs="仿宋"/>
                <w:lang w:val="en-US" w:eastAsia="zh-CN"/>
              </w:rPr>
              <w:t>本年收入</w:t>
            </w:r>
          </w:p>
        </w:tc>
        <w:tc>
          <w:tcPr>
            <w:tcW w:w="4715" w:type="dxa"/>
            <w:gridSpan w:val="6"/>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r>
              <w:rPr>
                <w:rFonts w:hint="eastAsia" w:ascii="仿宋" w:hAnsi="仿宋" w:eastAsia="仿宋" w:cs="仿宋"/>
                <w:lang w:val="en-US" w:eastAsia="zh-CN"/>
              </w:rPr>
              <w:t>上年结转结余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824"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1801"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976"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小计</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一般公共预算</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政府性基金预算</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国有资本经营预算</w:t>
            </w: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财政专户管理资金</w:t>
            </w: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事业</w:t>
            </w:r>
          </w:p>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收入</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事业单位经营收入</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上级补助收入</w:t>
            </w: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附属单位上缴收入</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其他</w:t>
            </w:r>
          </w:p>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收入</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小计</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一般公共预算</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政府性基金预算</w:t>
            </w: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国有资本经营预算</w:t>
            </w: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财政专户管理资金</w:t>
            </w: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单位</w:t>
            </w:r>
          </w:p>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0" w:hRule="atLeast"/>
        </w:trPr>
        <w:tc>
          <w:tcPr>
            <w:tcW w:w="2625" w:type="dxa"/>
            <w:gridSpan w:val="2"/>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center"/>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val="en-US" w:eastAsia="zh-CN"/>
              </w:rPr>
              <w:t>合计</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25,588.73</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25,480.98</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15,545.38</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5,615.00</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1,648.07</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1,872.96</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799.57</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107.75</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107.75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0" w:hRule="atLeast"/>
        </w:trPr>
        <w:tc>
          <w:tcPr>
            <w:tcW w:w="82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098</w:t>
            </w:r>
          </w:p>
        </w:tc>
        <w:tc>
          <w:tcPr>
            <w:tcW w:w="180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江苏省民政厅</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25,588.73</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25,480.98</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15,545.38</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5,615.00</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1,648.07</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1,872.96</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799.57</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107.75</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107.75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0" w:hRule="atLeast"/>
        </w:trPr>
        <w:tc>
          <w:tcPr>
            <w:tcW w:w="82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xml:space="preserve">  098001</w:t>
            </w:r>
          </w:p>
        </w:tc>
        <w:tc>
          <w:tcPr>
            <w:tcW w:w="180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江苏省民政厅（机关）</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15,701.91</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15,701.91</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10,601.91</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5,100.00</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0" w:hRule="atLeast"/>
        </w:trPr>
        <w:tc>
          <w:tcPr>
            <w:tcW w:w="82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xml:space="preserve">  098005</w:t>
            </w:r>
          </w:p>
        </w:tc>
        <w:tc>
          <w:tcPr>
            <w:tcW w:w="180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江苏省民政干部学校</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425.54</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317.79</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317.79</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107.75</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107.75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82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xml:space="preserve">  098008</w:t>
            </w:r>
          </w:p>
        </w:tc>
        <w:tc>
          <w:tcPr>
            <w:tcW w:w="180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江苏省立新农场</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1,831.87</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1,831.87</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1,568.76</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263.11</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82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xml:space="preserve">  098010</w:t>
            </w:r>
          </w:p>
        </w:tc>
        <w:tc>
          <w:tcPr>
            <w:tcW w:w="180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江苏省伤残人康复中心</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3,870.24</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3,870.24</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1,847.28</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150.00</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1,872.96</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82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xml:space="preserve">  098011</w:t>
            </w:r>
          </w:p>
        </w:tc>
        <w:tc>
          <w:tcPr>
            <w:tcW w:w="180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江苏省民政信息中心</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204.76</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204.76</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204.76</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0" w:hRule="atLeast"/>
        </w:trPr>
        <w:tc>
          <w:tcPr>
            <w:tcW w:w="82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xml:space="preserve">  098012</w:t>
            </w:r>
          </w:p>
        </w:tc>
        <w:tc>
          <w:tcPr>
            <w:tcW w:w="180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江苏省社会捐助服务中心</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279.17</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279.17</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279.17</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82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xml:space="preserve">  098013</w:t>
            </w:r>
          </w:p>
        </w:tc>
        <w:tc>
          <w:tcPr>
            <w:tcW w:w="180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江苏省社会福利中心</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253.65</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253.65</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253.65</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82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xml:space="preserve">  098014</w:t>
            </w:r>
          </w:p>
        </w:tc>
        <w:tc>
          <w:tcPr>
            <w:tcW w:w="180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江苏民政康复医院</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1,848.67</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1,848.67</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191.94</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857.16</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799.57</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0" w:hRule="atLeast"/>
        </w:trPr>
        <w:tc>
          <w:tcPr>
            <w:tcW w:w="82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xml:space="preserve">  098016</w:t>
            </w:r>
          </w:p>
        </w:tc>
        <w:tc>
          <w:tcPr>
            <w:tcW w:w="180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江苏省养老服务指导中心（江苏省老年公寓管理中心）</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812.65</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812.65</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99.85</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365.00</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347.80</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82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xml:space="preserve">  098017</w:t>
            </w:r>
          </w:p>
        </w:tc>
        <w:tc>
          <w:tcPr>
            <w:tcW w:w="180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江苏省社会组织服务中心</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360.27</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360.27</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180.27</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180.00</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r>
    </w:tbl>
    <w:p>
      <w:pPr>
        <w:widowControl w:val="0"/>
        <w:suppressAutoHyphens/>
        <w:bidi w:val="0"/>
        <w:spacing w:before="66" w:after="0"/>
        <w:ind w:left="0" w:leftChars="0" w:right="0" w:firstLine="0" w:firstLineChars="0"/>
        <w:jc w:val="left"/>
        <w:rPr>
          <w:rFonts w:hint="eastAsia" w:ascii="仿宋" w:hAnsi="仿宋" w:eastAsia="仿宋" w:cs="仿宋"/>
          <w:b/>
          <w:bCs/>
          <w:sz w:val="22"/>
          <w:szCs w:val="22"/>
        </w:rPr>
        <w:sectPr>
          <w:footerReference r:id="rId8" w:type="default"/>
          <w:pgSz w:w="16838" w:h="11906" w:orient="landscape"/>
          <w:pgMar w:top="720" w:right="57" w:bottom="720" w:left="57"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347" w:type="dxa"/>
        <w:tblInd w:w="96" w:type="dxa"/>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tblPrEx>
          <w:tblLayout w:type="fixed"/>
          <w:tblCellMar>
            <w:top w:w="55" w:type="dxa"/>
            <w:left w:w="55" w:type="dxa"/>
            <w:bottom w:w="55" w:type="dxa"/>
            <w:right w:w="55" w:type="dxa"/>
          </w:tblCellMar>
        </w:tblPrEx>
        <w:trPr>
          <w:cantSplit/>
          <w:trHeight w:val="341" w:hRule="atLeast"/>
        </w:trPr>
        <w:tc>
          <w:tcPr>
            <w:tcW w:w="15347" w:type="dxa"/>
            <w:gridSpan w:val="8"/>
            <w:vAlign w:val="center"/>
          </w:tcPr>
          <w:p>
            <w:pPr>
              <w:pStyle w:val="5"/>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b/>
                <w:bCs/>
                <w:sz w:val="44"/>
                <w:szCs w:val="44"/>
              </w:rPr>
            </w:pPr>
            <w:r>
              <w:rPr>
                <w:rFonts w:hint="eastAsia" w:ascii="仿宋" w:hAnsi="仿宋" w:eastAsia="仿宋" w:cs="仿宋"/>
                <w:sz w:val="22"/>
                <w:szCs w:val="22"/>
              </w:rPr>
              <w:t>公开03表</w:t>
            </w:r>
          </w:p>
        </w:tc>
      </w:tr>
      <w:tr>
        <w:tblPrEx>
          <w:tblLayout w:type="fixed"/>
          <w:tblCellMar>
            <w:top w:w="55" w:type="dxa"/>
            <w:left w:w="55" w:type="dxa"/>
            <w:bottom w:w="55" w:type="dxa"/>
            <w:right w:w="55" w:type="dxa"/>
          </w:tblCellMar>
        </w:tblPrEx>
        <w:trPr>
          <w:cantSplit/>
          <w:trHeight w:val="321" w:hRule="atLeast"/>
        </w:trPr>
        <w:tc>
          <w:tcPr>
            <w:tcW w:w="15347" w:type="dxa"/>
            <w:gridSpan w:val="8"/>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b/>
                <w:bCs/>
                <w:sz w:val="44"/>
                <w:szCs w:val="44"/>
              </w:rPr>
              <w:t>支出</w:t>
            </w:r>
            <w:r>
              <w:rPr>
                <w:rFonts w:hint="eastAsia" w:ascii="仿宋" w:hAnsi="仿宋" w:eastAsia="仿宋" w:cs="仿宋"/>
                <w:b/>
                <w:bCs/>
                <w:sz w:val="44"/>
                <w:szCs w:val="44"/>
                <w:lang w:val="en-US" w:eastAsia="zh-CN"/>
              </w:rPr>
              <w:t>总</w:t>
            </w:r>
            <w:r>
              <w:rPr>
                <w:rFonts w:hint="eastAsia" w:ascii="仿宋" w:hAnsi="仿宋" w:eastAsia="仿宋" w:cs="仿宋"/>
                <w:b/>
                <w:bCs/>
                <w:sz w:val="44"/>
                <w:szCs w:val="44"/>
              </w:rPr>
              <w:t>表</w:t>
            </w:r>
          </w:p>
        </w:tc>
      </w:tr>
      <w:tr>
        <w:tblPrEx>
          <w:tblLayout w:type="fixed"/>
          <w:tblCellMar>
            <w:top w:w="55" w:type="dxa"/>
            <w:left w:w="55" w:type="dxa"/>
            <w:bottom w:w="55" w:type="dxa"/>
            <w:right w:w="55" w:type="dxa"/>
          </w:tblCellMar>
        </w:tblPrEx>
        <w:trPr>
          <w:cantSplit/>
          <w:trHeight w:val="218" w:hRule="atLeast"/>
        </w:trPr>
        <w:tc>
          <w:tcPr>
            <w:tcW w:w="12030" w:type="dxa"/>
            <w:gridSpan w:val="6"/>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rPr>
            </w:pPr>
            <w:r>
              <w:rPr>
                <w:rFonts w:hint="eastAsia" w:ascii="仿宋" w:hAnsi="仿宋" w:eastAsia="仿宋" w:cs="仿宋"/>
                <w:color w:val="000000"/>
                <w:sz w:val="22"/>
                <w:szCs w:val="22"/>
                <w:lang w:eastAsia="zh-CN"/>
              </w:rPr>
              <w:t>部门</w:t>
            </w:r>
            <w:r>
              <w:rPr>
                <w:rFonts w:ascii="仿宋" w:hAnsi="仿宋" w:eastAsia="仿宋" w:cs="仿宋"/>
                <w:color w:val="000000"/>
                <w:sz w:val="22"/>
              </w:rPr>
              <w:t>：</w:t>
            </w:r>
            <w:r>
              <w:rPr>
                <w:rFonts w:hint="eastAsia" w:ascii="仿宋" w:hAnsi="仿宋" w:eastAsia="仿宋" w:cs="仿宋"/>
              </w:rPr>
              <w:t>江苏省民政厅</w:t>
            </w:r>
          </w:p>
        </w:tc>
        <w:tc>
          <w:tcPr>
            <w:tcW w:w="3317" w:type="dxa"/>
            <w:gridSpan w:val="2"/>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right"/>
              <w:textAlignment w:val="auto"/>
              <w:rPr>
                <w:rFonts w:hint="eastAsia" w:ascii="仿宋" w:hAnsi="仿宋" w:eastAsia="仿宋" w:cs="仿宋"/>
                <w:sz w:val="22"/>
                <w:szCs w:val="22"/>
              </w:rPr>
            </w:pPr>
            <w:r>
              <w:rPr>
                <w:rFonts w:hint="eastAsia" w:ascii="仿宋" w:hAnsi="仿宋" w:eastAsia="仿宋" w:cs="仿宋"/>
                <w:sz w:val="22"/>
                <w:szCs w:val="22"/>
                <w:lang w:eastAsia="zh-CN"/>
              </w:rPr>
              <w:t>单位</w:t>
            </w:r>
            <w:r>
              <w:rPr>
                <w:rFonts w:hint="eastAsia" w:ascii="仿宋" w:hAnsi="仿宋" w:eastAsia="仿宋" w:cs="仿宋"/>
                <w:sz w:val="22"/>
                <w:szCs w:val="22"/>
              </w:rPr>
              <w:t>：万元</w:t>
            </w:r>
          </w:p>
        </w:tc>
      </w:tr>
      <w:tr>
        <w:tblPrEx>
          <w:tblLayout w:type="fixed"/>
          <w:tblCellMar>
            <w:top w:w="55" w:type="dxa"/>
            <w:left w:w="55" w:type="dxa"/>
            <w:bottom w:w="55" w:type="dxa"/>
            <w:right w:w="55" w:type="dxa"/>
          </w:tblCellMar>
        </w:tblPrEx>
        <w:trPr>
          <w:cantSplit/>
          <w:trHeight w:val="533" w:hRule="atLeast"/>
        </w:trPr>
        <w:tc>
          <w:tcPr>
            <w:tcW w:w="1556"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kern w:val="0"/>
                <w:sz w:val="22"/>
                <w:szCs w:val="22"/>
              </w:rPr>
            </w:pPr>
            <w:r>
              <w:rPr>
                <w:rFonts w:hint="eastAsia" w:ascii="仿宋" w:hAnsi="仿宋" w:eastAsia="仿宋" w:cs="仿宋"/>
                <w:kern w:val="0"/>
                <w:sz w:val="22"/>
                <w:szCs w:val="22"/>
              </w:rPr>
              <w:t>科目名称</w:t>
            </w:r>
          </w:p>
        </w:tc>
        <w:tc>
          <w:tcPr>
            <w:tcW w:w="1920"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合计</w:t>
            </w:r>
          </w:p>
        </w:tc>
        <w:tc>
          <w:tcPr>
            <w:tcW w:w="1714"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事业单位</w:t>
            </w:r>
          </w:p>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lang w:val="en-US" w:eastAsia="zh-CN"/>
              </w:rPr>
              <w:t>经营支出</w:t>
            </w:r>
          </w:p>
        </w:tc>
        <w:tc>
          <w:tcPr>
            <w:tcW w:w="1680"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37"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Layout w:type="fixed"/>
          <w:tblCellMar>
            <w:top w:w="55" w:type="dxa"/>
            <w:left w:w="55" w:type="dxa"/>
            <w:bottom w:w="55" w:type="dxa"/>
            <w:right w:w="55" w:type="dxa"/>
          </w:tblCellMar>
        </w:tblPrEx>
        <w:trPr>
          <w:cantSplit/>
          <w:trHeight w:val="375" w:hRule="exact"/>
        </w:trPr>
        <w:tc>
          <w:tcPr>
            <w:tcW w:w="4779"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92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25,588.73</w:t>
            </w:r>
          </w:p>
        </w:tc>
        <w:tc>
          <w:tcPr>
            <w:tcW w:w="171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15,487.67</w:t>
            </w:r>
          </w:p>
        </w:tc>
        <w:tc>
          <w:tcPr>
            <w:tcW w:w="174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10,101.06</w:t>
            </w:r>
          </w:p>
        </w:tc>
        <w:tc>
          <w:tcPr>
            <w:tcW w:w="186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8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3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16,011.94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11,525.88</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4,486.06</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民政管理事务</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7,989.67</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4,963.61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3,026.06</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行政运行</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4,218.46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4,218.46</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2080202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一般行政管理事务</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1,080.00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1,080.00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2080203</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机关服务</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148.21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67.21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81.00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2080206</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社会组织管理</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279.64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279.64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2,263.36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398.30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1,865.06</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1,012.54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1,012.54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606.42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606.42</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233.55</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233.55</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2080599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其他行政事业单位养老支出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172.57</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172.57</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抚恤</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4,662.42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3,732.42</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930.00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2080899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其他优抚支出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4,662.42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3,732.42</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930.00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20810</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社会福利</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1,296.71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1,266.71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2081005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社会福利事业单位</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1,296.71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1,266.71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20820</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临时救助</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2082001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临时救助支出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550.60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550.60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2089999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550.60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550.60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221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住房保障支出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3,961.79</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3,961.79</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住房改革支出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3,961.79</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3,961.79</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住房公积金</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795.39</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795.39</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提租补贴</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3,166.40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3,166.40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229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其他支出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5,615.00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5,615.00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22960</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彩票公益金安排的支出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5,615.00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5,615.00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2296002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用于社会福利的彩票公益金支出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5,250.00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5,250.00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2296099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用于其他社会公益事业的彩票公益金支出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365.00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365.00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p>
        </w:tc>
      </w:tr>
    </w:tbl>
    <w:p>
      <w:pPr>
        <w:widowControl w:val="0"/>
        <w:suppressAutoHyphens/>
        <w:bidi w:val="0"/>
        <w:spacing w:before="59" w:after="0"/>
        <w:ind w:left="57" w:right="0" w:firstLine="0"/>
        <w:jc w:val="left"/>
        <w:rPr>
          <w:rFonts w:hint="eastAsia" w:ascii="仿宋" w:hAnsi="仿宋" w:eastAsia="仿宋" w:cs="仿宋"/>
          <w:b/>
          <w:bCs/>
          <w:sz w:val="22"/>
          <w:szCs w:val="22"/>
        </w:rPr>
        <w:sectPr>
          <w:footerReference r:id="rId9"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789" w:type="dxa"/>
        <w:tblInd w:w="-125" w:type="dxa"/>
        <w:tblLayout w:type="fixed"/>
        <w:tblCellMar>
          <w:top w:w="55" w:type="dxa"/>
          <w:left w:w="55" w:type="dxa"/>
          <w:bottom w:w="55" w:type="dxa"/>
          <w:right w:w="55" w:type="dxa"/>
        </w:tblCellMar>
      </w:tblPr>
      <w:tblGrid>
        <w:gridCol w:w="3987"/>
        <w:gridCol w:w="3960"/>
        <w:gridCol w:w="3943"/>
        <w:gridCol w:w="3899"/>
      </w:tblGrid>
      <w:tr>
        <w:tblPrEx>
          <w:tblLayout w:type="fixed"/>
          <w:tblCellMar>
            <w:top w:w="55" w:type="dxa"/>
            <w:left w:w="55" w:type="dxa"/>
            <w:bottom w:w="55" w:type="dxa"/>
            <w:right w:w="55" w:type="dxa"/>
          </w:tblCellMar>
        </w:tblPrEx>
        <w:trPr>
          <w:cantSplit/>
          <w:trHeight w:val="319" w:hRule="atLeast"/>
        </w:trPr>
        <w:tc>
          <w:tcPr>
            <w:tcW w:w="15789" w:type="dxa"/>
            <w:gridSpan w:val="4"/>
          </w:tcPr>
          <w:p>
            <w:pPr>
              <w:pStyle w:val="22"/>
              <w:widowControl w:val="0"/>
              <w:jc w:val="left"/>
              <w:rPr>
                <w:rFonts w:hint="eastAsia" w:ascii="仿宋" w:hAnsi="仿宋" w:eastAsia="仿宋" w:cs="仿宋"/>
                <w:b/>
                <w:bCs/>
                <w:sz w:val="44"/>
                <w:szCs w:val="44"/>
              </w:rPr>
            </w:pPr>
            <w:r>
              <w:rPr>
                <w:rFonts w:hint="eastAsia" w:ascii="仿宋" w:hAnsi="仿宋" w:eastAsia="仿宋" w:cs="仿宋"/>
                <w:sz w:val="22"/>
                <w:szCs w:val="22"/>
              </w:rPr>
              <w:t>公开04表</w:t>
            </w:r>
          </w:p>
        </w:tc>
      </w:tr>
      <w:tr>
        <w:tblPrEx>
          <w:tblLayout w:type="fixed"/>
          <w:tblCellMar>
            <w:top w:w="55" w:type="dxa"/>
            <w:left w:w="55" w:type="dxa"/>
            <w:bottom w:w="55" w:type="dxa"/>
            <w:right w:w="55" w:type="dxa"/>
          </w:tblCellMar>
        </w:tblPrEx>
        <w:trPr>
          <w:cantSplit/>
          <w:trHeight w:val="319" w:hRule="atLeast"/>
        </w:trPr>
        <w:tc>
          <w:tcPr>
            <w:tcW w:w="15789" w:type="dxa"/>
            <w:gridSpan w:val="4"/>
          </w:tcPr>
          <w:p>
            <w:pPr>
              <w:pStyle w:val="22"/>
              <w:widowControl w:val="0"/>
              <w:jc w:val="center"/>
              <w:rPr>
                <w:rFonts w:hint="eastAsia" w:ascii="仿宋" w:hAnsi="仿宋" w:eastAsia="仿宋" w:cs="仿宋"/>
                <w:sz w:val="22"/>
                <w:szCs w:val="22"/>
              </w:rPr>
            </w:pPr>
            <w:r>
              <w:rPr>
                <w:rFonts w:hint="eastAsia" w:ascii="仿宋" w:hAnsi="仿宋" w:eastAsia="仿宋" w:cs="仿宋"/>
                <w:b/>
                <w:bCs/>
                <w:sz w:val="44"/>
                <w:szCs w:val="44"/>
              </w:rPr>
              <w:t>财政拨款收支总表</w:t>
            </w:r>
          </w:p>
        </w:tc>
      </w:tr>
      <w:tr>
        <w:tblPrEx>
          <w:tblLayout w:type="fixed"/>
          <w:tblCellMar>
            <w:top w:w="55" w:type="dxa"/>
            <w:left w:w="55" w:type="dxa"/>
            <w:bottom w:w="55" w:type="dxa"/>
            <w:right w:w="55" w:type="dxa"/>
          </w:tblCellMar>
        </w:tblPrEx>
        <w:trPr>
          <w:cantSplit/>
          <w:trHeight w:val="319" w:hRule="atLeast"/>
        </w:trPr>
        <w:tc>
          <w:tcPr>
            <w:tcW w:w="11890" w:type="dxa"/>
            <w:gridSpan w:val="3"/>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部门</w:t>
            </w:r>
            <w:r>
              <w:rPr>
                <w:rFonts w:ascii="仿宋" w:hAnsi="仿宋" w:eastAsia="仿宋" w:cs="仿宋"/>
                <w:color w:val="000000"/>
                <w:sz w:val="22"/>
              </w:rPr>
              <w:t>：</w:t>
            </w:r>
            <w:r>
              <w:rPr>
                <w:rFonts w:hint="eastAsia" w:ascii="仿宋" w:hAnsi="仿宋" w:eastAsia="仿宋" w:cs="仿宋"/>
                <w:sz w:val="22"/>
                <w:szCs w:val="22"/>
              </w:rPr>
              <w:t>江苏省民政厅</w:t>
            </w:r>
          </w:p>
        </w:tc>
        <w:tc>
          <w:tcPr>
            <w:tcW w:w="3899" w:type="dxa"/>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lang w:eastAsia="zh-CN"/>
              </w:rPr>
              <w:t>单位</w:t>
            </w:r>
            <w:r>
              <w:rPr>
                <w:rFonts w:hint="eastAsia" w:ascii="仿宋" w:hAnsi="仿宋" w:eastAsia="仿宋" w:cs="仿宋"/>
                <w:sz w:val="22"/>
                <w:szCs w:val="22"/>
              </w:rPr>
              <w:t>：万元</w:t>
            </w:r>
          </w:p>
        </w:tc>
      </w:tr>
      <w:tr>
        <w:tblPrEx>
          <w:tblLayout w:type="fixed"/>
          <w:tblCellMar>
            <w:top w:w="55" w:type="dxa"/>
            <w:left w:w="55" w:type="dxa"/>
            <w:bottom w:w="55" w:type="dxa"/>
            <w:right w:w="55" w:type="dxa"/>
          </w:tblCellMar>
        </w:tblPrEx>
        <w:trPr>
          <w:cantSplit/>
          <w:trHeight w:val="196" w:hRule="atLeast"/>
        </w:trPr>
        <w:tc>
          <w:tcPr>
            <w:tcW w:w="7947"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rPr>
              <w:t>收</w:t>
            </w:r>
            <w:r>
              <w:rPr>
                <w:rFonts w:hint="eastAsia" w:ascii="仿宋" w:hAnsi="仿宋" w:eastAsia="仿宋" w:cs="仿宋"/>
                <w:b/>
                <w:bCs/>
                <w:sz w:val="22"/>
                <w:szCs w:val="22"/>
              </w:rPr>
              <w:tab/>
            </w:r>
            <w:r>
              <w:rPr>
                <w:rFonts w:hint="eastAsia" w:ascii="仿宋" w:hAnsi="仿宋" w:eastAsia="仿宋" w:cs="仿宋"/>
                <w:b/>
                <w:bCs/>
                <w:sz w:val="22"/>
                <w:szCs w:val="22"/>
              </w:rPr>
              <w:t>入</w:t>
            </w:r>
          </w:p>
        </w:tc>
        <w:tc>
          <w:tcPr>
            <w:tcW w:w="7842" w:type="dxa"/>
            <w:gridSpan w:val="2"/>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rPr>
              <w:t>支</w:t>
            </w:r>
            <w:r>
              <w:rPr>
                <w:rFonts w:hint="eastAsia" w:ascii="仿宋" w:hAnsi="仿宋" w:eastAsia="仿宋" w:cs="仿宋"/>
                <w:b/>
                <w:bCs/>
                <w:sz w:val="22"/>
                <w:szCs w:val="22"/>
              </w:rPr>
              <w:tab/>
            </w:r>
            <w:r>
              <w:rPr>
                <w:rFonts w:hint="eastAsia" w:ascii="仿宋" w:hAnsi="仿宋" w:eastAsia="仿宋" w:cs="仿宋"/>
                <w:b/>
                <w:bCs/>
                <w:sz w:val="22"/>
                <w:szCs w:val="22"/>
              </w:rPr>
              <w:t>出</w:t>
            </w:r>
          </w:p>
        </w:tc>
      </w:tr>
      <w:tr>
        <w:tblPrEx>
          <w:tblLayout w:type="fixed"/>
          <w:tblCellMar>
            <w:top w:w="55" w:type="dxa"/>
            <w:left w:w="55" w:type="dxa"/>
            <w:bottom w:w="55" w:type="dxa"/>
            <w:right w:w="55" w:type="dxa"/>
          </w:tblCellMar>
        </w:tblPrEx>
        <w:trPr>
          <w:cantSplit/>
          <w:trHeight w:val="468" w:hRule="atLeast"/>
        </w:trPr>
        <w:tc>
          <w:tcPr>
            <w:tcW w:w="398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b/>
                <w:bCs/>
                <w:sz w:val="22"/>
                <w:szCs w:val="22"/>
              </w:rPr>
            </w:pPr>
            <w:r>
              <w:rPr>
                <w:rFonts w:ascii="仿宋" w:hAnsi="仿宋" w:eastAsia="仿宋" w:cs="仿宋"/>
                <w:b/>
                <w:sz w:val="22"/>
              </w:rPr>
              <w:t>项</w:t>
            </w:r>
            <w:r>
              <w:rPr>
                <w:rFonts w:hint="eastAsia" w:ascii="仿宋" w:hAnsi="仿宋" w:eastAsia="仿宋" w:cs="仿宋"/>
                <w:b/>
                <w:bCs/>
                <w:sz w:val="22"/>
                <w:szCs w:val="22"/>
              </w:rPr>
              <w:tab/>
            </w:r>
            <w:r>
              <w:rPr>
                <w:rFonts w:hint="eastAsia" w:ascii="仿宋" w:hAnsi="仿宋" w:eastAsia="仿宋" w:cs="仿宋"/>
                <w:b/>
                <w:bCs/>
                <w:sz w:val="22"/>
                <w:szCs w:val="22"/>
              </w:rPr>
              <w:t>目</w:t>
            </w:r>
          </w:p>
        </w:tc>
        <w:tc>
          <w:tcPr>
            <w:tcW w:w="396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lang w:eastAsia="zh-CN"/>
              </w:rPr>
              <w:t>预算</w:t>
            </w:r>
            <w:r>
              <w:rPr>
                <w:rFonts w:hint="eastAsia" w:ascii="仿宋" w:hAnsi="仿宋" w:eastAsia="仿宋" w:cs="仿宋"/>
                <w:b/>
                <w:bCs/>
                <w:sz w:val="22"/>
                <w:szCs w:val="22"/>
              </w:rPr>
              <w:t>数</w:t>
            </w:r>
          </w:p>
        </w:tc>
        <w:tc>
          <w:tcPr>
            <w:tcW w:w="3943" w:type="dxa"/>
            <w:tcBorders>
              <w:left w:val="single" w:color="000000" w:sz="4" w:space="0"/>
              <w:bottom w:val="single" w:color="000000" w:sz="4" w:space="0"/>
            </w:tcBorders>
            <w:vAlign w:val="center"/>
          </w:tcPr>
          <w:p>
            <w:pPr>
              <w:widowControl w:val="0"/>
              <w:jc w:val="center"/>
              <w:rPr>
                <w:rFonts w:hint="eastAsia" w:ascii="仿宋" w:hAnsi="仿宋" w:eastAsia="仿宋" w:cs="仿宋"/>
                <w:b/>
                <w:bCs/>
                <w:sz w:val="22"/>
                <w:szCs w:val="22"/>
                <w:lang w:eastAsia="zh-CN"/>
              </w:rPr>
            </w:pPr>
            <w:r>
              <w:rPr>
                <w:rFonts w:hint="eastAsia" w:ascii="仿宋" w:hAnsi="仿宋" w:eastAsia="仿宋" w:cs="仿宋"/>
                <w:b/>
                <w:bCs/>
                <w:sz w:val="22"/>
                <w:szCs w:val="22"/>
                <w:lang w:val="en-US" w:eastAsia="zh-CN"/>
              </w:rPr>
              <w:t>项目</w:t>
            </w:r>
          </w:p>
        </w:tc>
        <w:tc>
          <w:tcPr>
            <w:tcW w:w="3899" w:type="dxa"/>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b/>
                <w:bCs/>
                <w:sz w:val="22"/>
                <w:szCs w:val="22"/>
              </w:rPr>
            </w:pPr>
            <w:r>
              <w:rPr>
                <w:rFonts w:hint="eastAsia" w:ascii="仿宋" w:hAnsi="仿宋" w:eastAsia="仿宋" w:cs="仿宋"/>
                <w:b/>
                <w:bCs/>
                <w:sz w:val="22"/>
                <w:szCs w:val="22"/>
                <w:lang w:eastAsia="zh-CN"/>
              </w:rPr>
              <w:t>预算</w:t>
            </w:r>
            <w:r>
              <w:rPr>
                <w:rFonts w:hint="eastAsia" w:ascii="仿宋" w:hAnsi="仿宋" w:eastAsia="仿宋" w:cs="仿宋"/>
                <w:b/>
                <w:bCs/>
                <w:sz w:val="22"/>
                <w:szCs w:val="22"/>
              </w:rPr>
              <w:t>数</w:t>
            </w: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一、本年收入</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21,160.38</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一、本年支出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21,160.38</w:t>
            </w: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15,545.38</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5,615.00</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二、上年结转</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12,199.29</w:t>
            </w: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（九）社会保险基金支出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（十）卫生健康支出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（十一）节能环保支出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（十二）城乡社区支出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（十三）农林水支出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（十四）交通运输支出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（十五）资源勘探工业信息等支出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（十六）商业服务业等支出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（十七）金融支出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（十八）援助其他地区支出 </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（十九）自然资源海洋气象等支出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（二十）住房保障支出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3,346.09</w:t>
            </w: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（二十一）粮油物资储备支出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（二十二）国有资本经营预算支出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（二十三）灾害防治及应急管理支出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（二十四）预备费</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（二十五）其他支出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5,615.00</w:t>
            </w: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（二十六）转移性支出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（二十七）债务还本支出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（二十八）债务付息支出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（二十九）债务发行费用支出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（三十）抗疫特别国债安排的支出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二、年终结转结余</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p>
        </w:tc>
      </w:tr>
      <w:tr>
        <w:tblPrEx>
          <w:tblLayout w:type="fixed"/>
          <w:tblCellMar>
            <w:top w:w="55" w:type="dxa"/>
            <w:left w:w="55" w:type="dxa"/>
            <w:bottom w:w="55" w:type="dxa"/>
            <w:right w:w="55" w:type="dxa"/>
          </w:tblCellMar>
        </w:tblPrEx>
        <w:trPr>
          <w:cantSplit/>
          <w:trHeight w:val="296" w:hRule="exact"/>
        </w:trPr>
        <w:tc>
          <w:tcPr>
            <w:tcW w:w="398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lang w:val="en-US" w:eastAsia="zh-CN"/>
              </w:rPr>
              <w:t>收入</w:t>
            </w:r>
            <w:r>
              <w:rPr>
                <w:rFonts w:hint="eastAsia" w:ascii="仿宋" w:hAnsi="仿宋" w:eastAsia="仿宋" w:cs="仿宋"/>
                <w:b/>
                <w:bCs/>
                <w:sz w:val="22"/>
                <w:szCs w:val="22"/>
              </w:rPr>
              <w:t>总计</w:t>
            </w:r>
          </w:p>
        </w:tc>
        <w:tc>
          <w:tcPr>
            <w:tcW w:w="396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21,160.38</w:t>
            </w:r>
          </w:p>
        </w:tc>
        <w:tc>
          <w:tcPr>
            <w:tcW w:w="394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lang w:val="en-US" w:eastAsia="zh-CN"/>
              </w:rPr>
              <w:t>支出</w:t>
            </w:r>
            <w:r>
              <w:rPr>
                <w:rFonts w:hint="eastAsia" w:ascii="仿宋" w:hAnsi="仿宋" w:eastAsia="仿宋" w:cs="仿宋"/>
                <w:b/>
                <w:bCs/>
                <w:sz w:val="22"/>
                <w:szCs w:val="22"/>
              </w:rPr>
              <w:t>总计</w:t>
            </w:r>
          </w:p>
        </w:tc>
        <w:tc>
          <w:tcPr>
            <w:tcW w:w="3899"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21,160.38</w:t>
            </w:r>
          </w:p>
        </w:tc>
      </w:tr>
    </w:tbl>
    <w:p>
      <w:pPr>
        <w:ind w:left="-220" w:leftChars="-100" w:firstLine="0" w:firstLineChars="0"/>
        <w:rPr>
          <w:rFonts w:hint="eastAsia" w:ascii="仿宋" w:hAnsi="仿宋" w:eastAsia="仿宋" w:cs="仿宋"/>
          <w:b/>
          <w:bCs/>
        </w:rPr>
        <w:sectPr>
          <w:footerReference r:id="rId10"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216" w:type="dxa"/>
        <w:tblInd w:w="175" w:type="dxa"/>
        <w:tblLayout w:type="fixed"/>
        <w:tblCellMar>
          <w:top w:w="55" w:type="dxa"/>
          <w:left w:w="55" w:type="dxa"/>
          <w:bottom w:w="55" w:type="dxa"/>
          <w:right w:w="55" w:type="dxa"/>
        </w:tblCellMar>
      </w:tblPr>
      <w:tblGrid>
        <w:gridCol w:w="1846"/>
        <w:gridCol w:w="4213"/>
        <w:gridCol w:w="2040"/>
        <w:gridCol w:w="1827"/>
        <w:gridCol w:w="1813"/>
        <w:gridCol w:w="1813"/>
        <w:gridCol w:w="1664"/>
      </w:tblGrid>
      <w:tr>
        <w:tblPrEx>
          <w:tblLayout w:type="fixed"/>
          <w:tblCellMar>
            <w:top w:w="55" w:type="dxa"/>
            <w:left w:w="55" w:type="dxa"/>
            <w:bottom w:w="55" w:type="dxa"/>
            <w:right w:w="55" w:type="dxa"/>
          </w:tblCellMar>
        </w:tblPrEx>
        <w:trPr>
          <w:cantSplit/>
          <w:trHeight w:val="321" w:hRule="atLeast"/>
        </w:trPr>
        <w:tc>
          <w:tcPr>
            <w:tcW w:w="15216" w:type="dxa"/>
            <w:gridSpan w:val="7"/>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b/>
                <w:bCs/>
                <w:sz w:val="44"/>
                <w:szCs w:val="44"/>
              </w:rPr>
            </w:pPr>
            <w:r>
              <w:rPr>
                <w:rFonts w:hint="eastAsia" w:ascii="仿宋" w:hAnsi="仿宋" w:eastAsia="仿宋" w:cs="仿宋"/>
              </w:rPr>
              <w:t>公开05表</w:t>
            </w:r>
          </w:p>
        </w:tc>
      </w:tr>
      <w:tr>
        <w:tblPrEx>
          <w:tblLayout w:type="fixed"/>
          <w:tblCellMar>
            <w:top w:w="55" w:type="dxa"/>
            <w:left w:w="55" w:type="dxa"/>
            <w:bottom w:w="55" w:type="dxa"/>
            <w:right w:w="55" w:type="dxa"/>
          </w:tblCellMar>
        </w:tblPrEx>
        <w:trPr>
          <w:cantSplit/>
          <w:trHeight w:val="321" w:hRule="atLeast"/>
        </w:trPr>
        <w:tc>
          <w:tcPr>
            <w:tcW w:w="15216" w:type="dxa"/>
            <w:gridSpan w:val="7"/>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7"/>
              </w:rPr>
            </w:pPr>
            <w:r>
              <w:rPr>
                <w:rFonts w:hint="eastAsia" w:ascii="仿宋" w:hAnsi="仿宋" w:eastAsia="仿宋" w:cs="仿宋"/>
                <w:b/>
                <w:bCs/>
                <w:sz w:val="44"/>
                <w:szCs w:val="44"/>
              </w:rPr>
              <w:t>财政拨款支出表（功能科目）</w:t>
            </w:r>
          </w:p>
        </w:tc>
      </w:tr>
      <w:tr>
        <w:tblPrEx>
          <w:tblLayout w:type="fixed"/>
          <w:tblCellMar>
            <w:top w:w="55" w:type="dxa"/>
            <w:left w:w="55" w:type="dxa"/>
            <w:bottom w:w="55" w:type="dxa"/>
            <w:right w:w="55" w:type="dxa"/>
          </w:tblCellMar>
        </w:tblPrEx>
        <w:trPr>
          <w:cantSplit/>
          <w:trHeight w:val="309" w:hRule="atLeast"/>
        </w:trPr>
        <w:tc>
          <w:tcPr>
            <w:tcW w:w="13552" w:type="dxa"/>
            <w:gridSpan w:val="6"/>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7"/>
              </w:rPr>
            </w:pPr>
            <w:r>
              <w:rPr>
                <w:rFonts w:hint="eastAsia" w:ascii="仿宋" w:hAnsi="仿宋" w:eastAsia="仿宋" w:cs="仿宋"/>
                <w:color w:val="000000"/>
                <w:sz w:val="22"/>
                <w:szCs w:val="22"/>
                <w:lang w:eastAsia="zh-CN"/>
              </w:rPr>
              <w:t>部门</w:t>
            </w:r>
            <w:r>
              <w:rPr>
                <w:rFonts w:ascii="仿宋" w:hAnsi="仿宋" w:eastAsia="仿宋" w:cs="仿宋"/>
                <w:color w:val="000000"/>
                <w:sz w:val="22"/>
              </w:rPr>
              <w:t>：</w:t>
            </w:r>
            <w:r>
              <w:rPr>
                <w:rFonts w:hint="eastAsia" w:ascii="仿宋" w:hAnsi="仿宋" w:eastAsia="仿宋" w:cs="仿宋"/>
              </w:rPr>
              <w:t>江苏省民政厅</w:t>
            </w:r>
          </w:p>
        </w:tc>
        <w:tc>
          <w:tcPr>
            <w:tcW w:w="1664" w:type="dxa"/>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Layout w:type="fixed"/>
          <w:tblCellMar>
            <w:top w:w="55" w:type="dxa"/>
            <w:left w:w="55" w:type="dxa"/>
            <w:bottom w:w="55" w:type="dxa"/>
            <w:right w:w="55" w:type="dxa"/>
          </w:tblCellMar>
        </w:tblPrEx>
        <w:trPr>
          <w:cantSplit/>
          <w:trHeight w:val="319" w:hRule="atLeast"/>
        </w:trPr>
        <w:tc>
          <w:tcPr>
            <w:tcW w:w="1846" w:type="dxa"/>
            <w:vMerge w:val="restart"/>
            <w:tcBorders>
              <w:top w:val="single" w:color="000000" w:sz="6" w:space="0"/>
              <w:lef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科目编码</w:t>
            </w:r>
          </w:p>
        </w:tc>
        <w:tc>
          <w:tcPr>
            <w:tcW w:w="4213" w:type="dxa"/>
            <w:vMerge w:val="restart"/>
            <w:tcBorders>
              <w:top w:val="single" w:color="000000" w:sz="6" w:space="0"/>
              <w:lef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科目名称</w:t>
            </w:r>
          </w:p>
        </w:tc>
        <w:tc>
          <w:tcPr>
            <w:tcW w:w="2040" w:type="dxa"/>
            <w:vMerge w:val="restart"/>
            <w:tcBorders>
              <w:top w:val="single" w:color="000000" w:sz="6" w:space="0"/>
              <w:lef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合计</w:t>
            </w:r>
          </w:p>
        </w:tc>
        <w:tc>
          <w:tcPr>
            <w:tcW w:w="5453" w:type="dxa"/>
            <w:gridSpan w:val="3"/>
            <w:tcBorders>
              <w:top w:val="single" w:color="000000" w:sz="6" w:space="0"/>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基本支出</w:t>
            </w:r>
          </w:p>
        </w:tc>
        <w:tc>
          <w:tcPr>
            <w:tcW w:w="1664" w:type="dxa"/>
            <w:vMerge w:val="restart"/>
            <w:tcBorders>
              <w:top w:val="single" w:color="000000" w:sz="6" w:space="0"/>
              <w:left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项目支出</w:t>
            </w:r>
          </w:p>
        </w:tc>
      </w:tr>
      <w:tr>
        <w:tblPrEx>
          <w:tblLayout w:type="fixed"/>
          <w:tblCellMar>
            <w:top w:w="55" w:type="dxa"/>
            <w:left w:w="55" w:type="dxa"/>
            <w:bottom w:w="55" w:type="dxa"/>
            <w:right w:w="55" w:type="dxa"/>
          </w:tblCellMar>
        </w:tblPrEx>
        <w:trPr>
          <w:cantSplit/>
          <w:trHeight w:val="296" w:hRule="atLeast"/>
        </w:trPr>
        <w:tc>
          <w:tcPr>
            <w:tcW w:w="1846" w:type="dxa"/>
            <w:vMerge w:val="continue"/>
            <w:tcBorders>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p>
        </w:tc>
        <w:tc>
          <w:tcPr>
            <w:tcW w:w="4213" w:type="dxa"/>
            <w:vMerge w:val="continue"/>
            <w:tcBorders>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p>
        </w:tc>
        <w:tc>
          <w:tcPr>
            <w:tcW w:w="2040" w:type="dxa"/>
            <w:vMerge w:val="continue"/>
            <w:tcBorders>
              <w:left w:val="single" w:color="000000" w:sz="6" w:space="0"/>
              <w:bottom w:val="single" w:color="000000" w:sz="6" w:space="0"/>
            </w:tcBorders>
          </w:tcPr>
          <w:p>
            <w:pPr>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p>
        </w:tc>
        <w:tc>
          <w:tcPr>
            <w:tcW w:w="1827" w:type="dxa"/>
            <w:tcBorders>
              <w:left w:val="single" w:color="000000" w:sz="6" w:space="0"/>
              <w:bottom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小计</w:t>
            </w:r>
          </w:p>
        </w:tc>
        <w:tc>
          <w:tcPr>
            <w:tcW w:w="1813" w:type="dxa"/>
            <w:tcBorders>
              <w:left w:val="single" w:color="000000" w:sz="6" w:space="0"/>
              <w:bottom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人员经费</w:t>
            </w:r>
          </w:p>
        </w:tc>
        <w:tc>
          <w:tcPr>
            <w:tcW w:w="1813" w:type="dxa"/>
            <w:tcBorders>
              <w:left w:val="single" w:color="000000" w:sz="6" w:space="0"/>
              <w:bottom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公用经费</w:t>
            </w:r>
          </w:p>
        </w:tc>
        <w:tc>
          <w:tcPr>
            <w:tcW w:w="1664" w:type="dxa"/>
            <w:vMerge w:val="continue"/>
            <w:tcBorders>
              <w:left w:val="single" w:color="000000" w:sz="6" w:space="0"/>
              <w:bottom w:val="single" w:color="000000" w:sz="6" w:space="0"/>
              <w:right w:val="single" w:color="000000" w:sz="6" w:space="0"/>
            </w:tcBorders>
          </w:tcPr>
          <w:p>
            <w:pPr>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50" w:hRule="exact"/>
        </w:trPr>
        <w:tc>
          <w:tcPr>
            <w:tcW w:w="6059" w:type="dxa"/>
            <w:gridSpan w:val="2"/>
            <w:tcBorders>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合计</w:t>
            </w:r>
          </w:p>
        </w:tc>
        <w:tc>
          <w:tcPr>
            <w:tcW w:w="2040"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21,160.38</w:t>
            </w:r>
          </w:p>
        </w:tc>
        <w:tc>
          <w:tcPr>
            <w:tcW w:w="1827"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11,059.32</w:t>
            </w:r>
          </w:p>
        </w:tc>
        <w:tc>
          <w:tcPr>
            <w:tcW w:w="1813"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9,820.42</w:t>
            </w:r>
          </w:p>
        </w:tc>
        <w:tc>
          <w:tcPr>
            <w:tcW w:w="1813"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1,238.90</w:t>
            </w:r>
          </w:p>
        </w:tc>
        <w:tc>
          <w:tcPr>
            <w:tcW w:w="1664" w:type="dxa"/>
            <w:tcBorders>
              <w:left w:val="single" w:color="000000" w:sz="6" w:space="0"/>
              <w:bottom w:val="single" w:color="000000" w:sz="6" w:space="0"/>
              <w:right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10,101.06</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208</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12,199.29</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7,713.23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6,474.33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1,238.90</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4,486.06</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民政管理事务</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7,528.38</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4,502.32</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3,658.65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843.67</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3,026.06</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2080201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行政运行</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4,218.46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4,218.46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3,380.33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838.13</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2080202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一般行政管理事务</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1,080.00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1,080.00</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2080203</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机关服务</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148.21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67.21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61.67</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5.54</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81.00</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2080206</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社会组织管理</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161.31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161.31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161.31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1,920.40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55.34</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55.34</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1,865.06</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988.52</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988.52</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963.52</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25.00</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591.29</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591.29</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591.29</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224.66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224.66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224.66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2080599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其他行政事业单位养老支出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172.57</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172.57</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147.57</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25.00</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20808</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抚恤</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1,537.61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607.61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469.40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138.21</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930.00</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2080899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其他优抚支出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1,537.61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607.61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469.40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138.21</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930.00</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20810</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社会福利</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1,183.85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1,153.85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969.15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184.70</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30.00</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2081005</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社会福利事业单位</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1,183.85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1,153.85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969.15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184.70</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30.00</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20820</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临时救助</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500.00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500.00</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2082001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临时救助支出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500.00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500.00</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20899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460.93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460.93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413.61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47.32</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2089999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460.93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460.93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413.61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47.32</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221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住房保障支出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3,346.09</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3,346.09</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3,346.09</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住房改革支出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3,346.09</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3,346.09</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3,346.09</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住房公积金</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594.56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594.56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594.56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提租补贴</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2,751.53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2,751.53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2,751.53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229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5,615.00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5,615.00</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22960</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彩票公益金安排的支出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5,615.00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5,615.00</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2296002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用于社会福利的彩票公益金支出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5,250.00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5,250.00</w:t>
            </w:r>
          </w:p>
        </w:tc>
      </w:tr>
      <w:tr>
        <w:tblPrEx>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2296099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用于其他社会公益事业的彩票公益金支出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365.00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365.00</w:t>
            </w:r>
          </w:p>
        </w:tc>
      </w:tr>
    </w:tbl>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rPr>
          <w:rFonts w:hint="eastAsia" w:ascii="仿宋" w:hAnsi="仿宋" w:eastAsia="仿宋" w:cs="仿宋"/>
          <w:sz w:val="20"/>
        </w:rPr>
      </w:pPr>
    </w:p>
    <w:tbl>
      <w:tblPr>
        <w:tblStyle w:val="13"/>
        <w:tblW w:w="10817" w:type="dxa"/>
        <w:tblInd w:w="-103" w:type="dxa"/>
        <w:tblLayout w:type="fixed"/>
        <w:tblCellMar>
          <w:top w:w="55" w:type="dxa"/>
          <w:left w:w="55" w:type="dxa"/>
          <w:bottom w:w="55" w:type="dxa"/>
          <w:right w:w="55" w:type="dxa"/>
        </w:tblCellMar>
      </w:tblPr>
      <w:tblGrid>
        <w:gridCol w:w="1131"/>
        <w:gridCol w:w="3542"/>
        <w:gridCol w:w="2047"/>
        <w:gridCol w:w="2040"/>
        <w:gridCol w:w="2057"/>
      </w:tblGrid>
      <w:tr>
        <w:tblPrEx>
          <w:tblLayout w:type="fixed"/>
          <w:tblCellMar>
            <w:top w:w="55" w:type="dxa"/>
            <w:left w:w="55" w:type="dxa"/>
            <w:bottom w:w="55" w:type="dxa"/>
            <w:right w:w="55" w:type="dxa"/>
          </w:tblCellMar>
        </w:tblPrEx>
        <w:trPr>
          <w:cantSplit/>
          <w:trHeight w:val="319" w:hRule="atLeast"/>
        </w:trPr>
        <w:tc>
          <w:tcPr>
            <w:tcW w:w="10817" w:type="dxa"/>
            <w:gridSpan w:val="5"/>
            <w:vAlign w:val="center"/>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公开06表</w:t>
            </w:r>
          </w:p>
        </w:tc>
      </w:tr>
      <w:tr>
        <w:tblPrEx>
          <w:tblLayout w:type="fixed"/>
          <w:tblCellMar>
            <w:top w:w="55" w:type="dxa"/>
            <w:left w:w="55" w:type="dxa"/>
            <w:bottom w:w="55" w:type="dxa"/>
            <w:right w:w="55" w:type="dxa"/>
          </w:tblCellMar>
        </w:tblPrEx>
        <w:trPr>
          <w:cantSplit/>
          <w:trHeight w:val="319" w:hRule="atLeast"/>
        </w:trPr>
        <w:tc>
          <w:tcPr>
            <w:tcW w:w="10817" w:type="dxa"/>
            <w:gridSpan w:val="5"/>
          </w:tcPr>
          <w:p>
            <w:pPr>
              <w:pStyle w:val="22"/>
              <w:widowControl w:val="0"/>
              <w:jc w:val="center"/>
              <w:rPr>
                <w:rFonts w:hint="eastAsia" w:ascii="仿宋" w:hAnsi="仿宋" w:eastAsia="仿宋" w:cs="仿宋"/>
                <w:sz w:val="20"/>
              </w:rPr>
            </w:pPr>
            <w:r>
              <w:rPr>
                <w:rFonts w:hint="eastAsia" w:ascii="仿宋" w:hAnsi="仿宋" w:eastAsia="仿宋" w:cs="仿宋"/>
                <w:b/>
                <w:bCs/>
                <w:sz w:val="44"/>
                <w:szCs w:val="44"/>
              </w:rPr>
              <w:t>财政拨款基本支出表（经济科目）</w:t>
            </w:r>
          </w:p>
        </w:tc>
      </w:tr>
      <w:tr>
        <w:tblPrEx>
          <w:tblLayout w:type="fixed"/>
          <w:tblCellMar>
            <w:top w:w="55" w:type="dxa"/>
            <w:left w:w="55" w:type="dxa"/>
            <w:bottom w:w="55" w:type="dxa"/>
            <w:right w:w="55" w:type="dxa"/>
          </w:tblCellMar>
        </w:tblPrEx>
        <w:trPr>
          <w:cantSplit/>
          <w:trHeight w:val="319" w:hRule="atLeast"/>
        </w:trPr>
        <w:tc>
          <w:tcPr>
            <w:tcW w:w="8760"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部门</w:t>
            </w:r>
            <w:r>
              <w:rPr>
                <w:rFonts w:ascii="仿宋" w:hAnsi="仿宋" w:eastAsia="仿宋" w:cs="仿宋"/>
                <w:color w:val="000000"/>
                <w:sz w:val="22"/>
              </w:rPr>
              <w:t>：</w:t>
            </w:r>
            <w:r>
              <w:rPr>
                <w:rFonts w:hint="eastAsia" w:ascii="仿宋" w:hAnsi="仿宋" w:eastAsia="仿宋" w:cs="仿宋"/>
                <w:sz w:val="22"/>
                <w:szCs w:val="22"/>
              </w:rPr>
              <w:t>江苏省民政厅</w:t>
            </w: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Layout w:type="fixed"/>
          <w:tblCellMar>
            <w:top w:w="55" w:type="dxa"/>
            <w:left w:w="55" w:type="dxa"/>
            <w:bottom w:w="55" w:type="dxa"/>
            <w:right w:w="55" w:type="dxa"/>
          </w:tblCellMar>
        </w:tblPrEx>
        <w:trPr>
          <w:cantSplit/>
          <w:trHeight w:val="243" w:hRule="atLeast"/>
        </w:trPr>
        <w:tc>
          <w:tcPr>
            <w:tcW w:w="4673"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部门预算支出经济分类科目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本年财政拨款基本支出</w:t>
            </w:r>
          </w:p>
        </w:tc>
      </w:tr>
      <w:tr>
        <w:tblPrEx>
          <w:tblLayout w:type="fixed"/>
          <w:tblCellMar>
            <w:top w:w="55" w:type="dxa"/>
            <w:left w:w="55" w:type="dxa"/>
            <w:bottom w:w="55" w:type="dxa"/>
            <w:right w:w="55" w:type="dxa"/>
          </w:tblCellMar>
        </w:tblPrEx>
        <w:trPr>
          <w:cantSplit/>
          <w:trHeight w:val="267" w:hRule="atLeast"/>
        </w:trPr>
        <w:tc>
          <w:tcPr>
            <w:tcW w:w="11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cantSplit/>
          <w:trHeight w:val="350" w:hRule="exact"/>
        </w:trPr>
        <w:tc>
          <w:tcPr>
            <w:tcW w:w="4673"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11,059.32</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9,820.42</w:t>
            </w:r>
          </w:p>
        </w:tc>
        <w:tc>
          <w:tcPr>
            <w:tcW w:w="2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1,238.90</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8,079.99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8,079.99</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1,324.83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1,324.83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2,107.18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2,107.18</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872.01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872.01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627.46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627.46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451.97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451.97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224.66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224.66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100.21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100.21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594.56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594.56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75.44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75.44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1,701.67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1,701.67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1,238.90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1,238.90</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124.67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124.67</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45.18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45.18</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0.10</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194.00</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25.03</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15.00</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127.73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127.73</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23.14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23.14</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0.10</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121.00</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104.68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104.68</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29.90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29.90</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189.46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189.46</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233.91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233.91</w:t>
            </w: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1,740.43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1,740.43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194.93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194.93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1,536.14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1,536.14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0.50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0.50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numPr>
          <w:ilvl w:val="0"/>
          <w:numId w:val="0"/>
        </w:numPr>
        <w:suppressAutoHyphens/>
        <w:bidi w:val="0"/>
        <w:spacing w:before="0" w:after="0" w:line="255" w:lineRule="exact"/>
        <w:jc w:val="left"/>
        <w:rPr>
          <w:rFonts w:hint="eastAsia" w:ascii="仿宋" w:hAnsi="仿宋" w:eastAsia="仿宋" w:cs="仿宋"/>
          <w:b/>
          <w:bCs/>
          <w:sz w:val="22"/>
          <w:szCs w:val="22"/>
        </w:rPr>
        <w:sectPr>
          <w:footerReference r:id="rId12"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216" w:type="dxa"/>
        <w:tblInd w:w="175" w:type="dxa"/>
        <w:tblLayout w:type="fixed"/>
        <w:tblCellMar>
          <w:top w:w="55" w:type="dxa"/>
          <w:left w:w="55" w:type="dxa"/>
          <w:bottom w:w="55" w:type="dxa"/>
          <w:right w:w="55" w:type="dxa"/>
        </w:tblCellMar>
      </w:tblPr>
      <w:tblGrid>
        <w:gridCol w:w="1792"/>
        <w:gridCol w:w="4307"/>
        <w:gridCol w:w="1960"/>
        <w:gridCol w:w="1693"/>
        <w:gridCol w:w="1987"/>
        <w:gridCol w:w="1827"/>
        <w:gridCol w:w="1650"/>
      </w:tblGrid>
      <w:tr>
        <w:tblPrEx>
          <w:tblLayout w:type="fixed"/>
          <w:tblCellMar>
            <w:top w:w="55" w:type="dxa"/>
            <w:left w:w="55" w:type="dxa"/>
            <w:bottom w:w="55" w:type="dxa"/>
            <w:right w:w="55" w:type="dxa"/>
          </w:tblCellMar>
        </w:tblPrEx>
        <w:trPr>
          <w:cantSplit/>
          <w:trHeight w:val="321" w:hRule="atLeast"/>
        </w:trPr>
        <w:tc>
          <w:tcPr>
            <w:tcW w:w="15216" w:type="dxa"/>
            <w:gridSpan w:val="7"/>
            <w:vAlign w:val="center"/>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w:t>
            </w:r>
            <w:r>
              <w:rPr>
                <w:rFonts w:hint="eastAsia" w:ascii="仿宋" w:hAnsi="仿宋" w:eastAsia="仿宋" w:cs="仿宋"/>
                <w:lang w:val="en-US" w:eastAsia="zh-CN"/>
              </w:rPr>
              <w:t>7</w:t>
            </w:r>
            <w:r>
              <w:rPr>
                <w:rFonts w:hint="eastAsia" w:ascii="仿宋" w:hAnsi="仿宋" w:eastAsia="仿宋" w:cs="仿宋"/>
              </w:rPr>
              <w:t>表</w:t>
            </w:r>
          </w:p>
        </w:tc>
      </w:tr>
      <w:tr>
        <w:tblPrEx>
          <w:tblLayout w:type="fixed"/>
          <w:tblCellMar>
            <w:top w:w="55" w:type="dxa"/>
            <w:left w:w="55" w:type="dxa"/>
            <w:bottom w:w="55" w:type="dxa"/>
            <w:right w:w="55" w:type="dxa"/>
          </w:tblCellMar>
        </w:tblPrEx>
        <w:trPr>
          <w:cantSplit/>
          <w:trHeight w:val="321" w:hRule="atLeast"/>
        </w:trPr>
        <w:tc>
          <w:tcPr>
            <w:tcW w:w="15216" w:type="dxa"/>
            <w:gridSpan w:val="7"/>
          </w:tcPr>
          <w:p>
            <w:pPr>
              <w:pStyle w:val="22"/>
              <w:widowControl w:val="0"/>
              <w:jc w:val="center"/>
              <w:rPr>
                <w:rFonts w:hint="eastAsia" w:ascii="仿宋" w:hAnsi="仿宋" w:eastAsia="仿宋" w:cs="仿宋"/>
                <w:sz w:val="27"/>
              </w:rPr>
            </w:pPr>
            <w:r>
              <w:rPr>
                <w:rFonts w:hint="eastAsia" w:ascii="仿宋" w:hAnsi="仿宋" w:eastAsia="仿宋" w:cs="仿宋"/>
                <w:b/>
                <w:bCs/>
                <w:sz w:val="44"/>
                <w:szCs w:val="44"/>
              </w:rPr>
              <w:t>一般公共预算支出表</w:t>
            </w:r>
          </w:p>
        </w:tc>
      </w:tr>
      <w:tr>
        <w:tblPrEx>
          <w:tblLayout w:type="fixed"/>
          <w:tblCellMar>
            <w:top w:w="55" w:type="dxa"/>
            <w:left w:w="55" w:type="dxa"/>
            <w:bottom w:w="55" w:type="dxa"/>
            <w:right w:w="55" w:type="dxa"/>
          </w:tblCellMar>
        </w:tblPrEx>
        <w:trPr>
          <w:cantSplit/>
          <w:trHeight w:val="288" w:hRule="atLeast"/>
        </w:trPr>
        <w:tc>
          <w:tcPr>
            <w:tcW w:w="13566" w:type="dxa"/>
            <w:gridSpan w:val="6"/>
          </w:tcPr>
          <w:p>
            <w:pPr>
              <w:pStyle w:val="22"/>
              <w:widowControl w:val="0"/>
              <w:jc w:val="left"/>
              <w:rPr>
                <w:rFonts w:hint="eastAsia" w:ascii="仿宋" w:hAnsi="仿宋" w:eastAsia="仿宋" w:cs="仿宋"/>
                <w:sz w:val="27"/>
              </w:rPr>
            </w:pPr>
            <w:r>
              <w:rPr>
                <w:rFonts w:hint="eastAsia" w:ascii="仿宋" w:hAnsi="仿宋" w:eastAsia="仿宋" w:cs="仿宋"/>
                <w:color w:val="000000"/>
                <w:sz w:val="22"/>
                <w:szCs w:val="22"/>
                <w:lang w:eastAsia="zh-CN"/>
              </w:rPr>
              <w:t>部门</w:t>
            </w:r>
            <w:r>
              <w:rPr>
                <w:rFonts w:ascii="仿宋" w:hAnsi="仿宋" w:eastAsia="仿宋" w:cs="仿宋"/>
                <w:color w:val="000000"/>
                <w:sz w:val="22"/>
              </w:rPr>
              <w:t>：</w:t>
            </w:r>
            <w:r>
              <w:rPr>
                <w:rFonts w:hint="eastAsia" w:ascii="仿宋" w:hAnsi="仿宋" w:eastAsia="仿宋" w:cs="仿宋"/>
              </w:rPr>
              <w:t>江苏省民政厅</w:t>
            </w:r>
          </w:p>
        </w:tc>
        <w:tc>
          <w:tcPr>
            <w:tcW w:w="1650" w:type="dxa"/>
            <w:vAlign w:val="center"/>
          </w:tcPr>
          <w:p>
            <w:pPr>
              <w:pStyle w:val="22"/>
              <w:widowControl w:val="0"/>
              <w:jc w:val="right"/>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Layout w:type="fixed"/>
          <w:tblCellMar>
            <w:top w:w="55" w:type="dxa"/>
            <w:left w:w="55" w:type="dxa"/>
            <w:bottom w:w="55" w:type="dxa"/>
            <w:right w:w="55" w:type="dxa"/>
          </w:tblCellMar>
        </w:tblPrEx>
        <w:trPr>
          <w:cantSplit/>
          <w:trHeight w:val="319" w:hRule="atLeast"/>
        </w:trPr>
        <w:tc>
          <w:tcPr>
            <w:tcW w:w="1792" w:type="dxa"/>
            <w:vMerge w:val="restart"/>
            <w:tcBorders>
              <w:top w:val="single" w:color="000000" w:sz="6" w:space="0"/>
              <w:lef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4307" w:type="dxa"/>
            <w:vMerge w:val="restart"/>
            <w:tcBorders>
              <w:top w:val="single" w:color="000000" w:sz="6" w:space="0"/>
              <w:lef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1960" w:type="dxa"/>
            <w:vMerge w:val="restart"/>
            <w:tcBorders>
              <w:top w:val="single" w:color="000000" w:sz="6" w:space="0"/>
              <w:lef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5507" w:type="dxa"/>
            <w:gridSpan w:val="3"/>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1650" w:type="dxa"/>
            <w:vMerge w:val="restart"/>
            <w:tcBorders>
              <w:top w:val="single" w:color="000000" w:sz="6" w:space="0"/>
              <w:left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Layout w:type="fixed"/>
          <w:tblCellMar>
            <w:top w:w="55" w:type="dxa"/>
            <w:left w:w="55" w:type="dxa"/>
            <w:bottom w:w="55" w:type="dxa"/>
            <w:right w:w="55" w:type="dxa"/>
          </w:tblCellMar>
        </w:tblPrEx>
        <w:trPr>
          <w:cantSplit/>
          <w:trHeight w:val="341" w:hRule="atLeast"/>
        </w:trPr>
        <w:tc>
          <w:tcPr>
            <w:tcW w:w="1792" w:type="dxa"/>
            <w:vMerge w:val="continue"/>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p>
        </w:tc>
        <w:tc>
          <w:tcPr>
            <w:tcW w:w="4307" w:type="dxa"/>
            <w:vMerge w:val="continue"/>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p>
        </w:tc>
        <w:tc>
          <w:tcPr>
            <w:tcW w:w="1960"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1693" w:type="dxa"/>
            <w:tcBorders>
              <w:left w:val="single" w:color="000000" w:sz="6" w:space="0"/>
              <w:bottom w:val="single" w:color="000000" w:sz="6" w:space="0"/>
            </w:tcBorders>
            <w:vAlign w:val="center"/>
          </w:tcPr>
          <w:p>
            <w:pPr>
              <w:keepNext w:val="0"/>
              <w:keepLines w:val="0"/>
              <w:widowControl/>
              <w:suppressLineNumbers w:val="0"/>
              <w:spacing w:before="0" w:beforeAutospacing="0" w:after="0" w:afterAutospacing="0"/>
              <w:ind w:left="0" w:leftChars="0" w:right="0" w:rightChars="0"/>
              <w:jc w:val="center"/>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小计</w:t>
            </w:r>
          </w:p>
        </w:tc>
        <w:tc>
          <w:tcPr>
            <w:tcW w:w="1987" w:type="dxa"/>
            <w:tcBorders>
              <w:left w:val="single" w:color="000000" w:sz="6" w:space="0"/>
              <w:bottom w:val="single" w:color="000000" w:sz="6" w:space="0"/>
            </w:tcBorders>
            <w:vAlign w:val="center"/>
          </w:tcPr>
          <w:p>
            <w:pPr>
              <w:keepNext w:val="0"/>
              <w:keepLines w:val="0"/>
              <w:widowControl/>
              <w:suppressLineNumbers w:val="0"/>
              <w:spacing w:before="0" w:beforeAutospacing="0" w:after="0" w:afterAutospacing="0"/>
              <w:ind w:left="0" w:leftChars="0" w:right="0" w:rightChars="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人员经费</w:t>
            </w:r>
          </w:p>
        </w:tc>
        <w:tc>
          <w:tcPr>
            <w:tcW w:w="1827" w:type="dxa"/>
            <w:tcBorders>
              <w:left w:val="single" w:color="000000" w:sz="6" w:space="0"/>
              <w:bottom w:val="single" w:color="000000" w:sz="6" w:space="0"/>
            </w:tcBorders>
            <w:vAlign w:val="center"/>
          </w:tcPr>
          <w:p>
            <w:pPr>
              <w:keepNext w:val="0"/>
              <w:keepLines w:val="0"/>
              <w:widowControl/>
              <w:suppressLineNumbers w:val="0"/>
              <w:spacing w:before="0" w:beforeAutospacing="0" w:after="0" w:afterAutospacing="0"/>
              <w:ind w:left="0" w:leftChars="0" w:right="0" w:rightChars="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公用经费</w:t>
            </w:r>
          </w:p>
        </w:tc>
        <w:tc>
          <w:tcPr>
            <w:tcW w:w="1650"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78" w:hRule="exact"/>
        </w:trPr>
        <w:tc>
          <w:tcPr>
            <w:tcW w:w="6099"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1960"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15,545.38</w:t>
            </w:r>
          </w:p>
        </w:tc>
        <w:tc>
          <w:tcPr>
            <w:tcW w:w="1693"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11,059.32</w:t>
            </w:r>
          </w:p>
        </w:tc>
        <w:tc>
          <w:tcPr>
            <w:tcW w:w="1987"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9,820.42</w:t>
            </w:r>
          </w:p>
        </w:tc>
        <w:tc>
          <w:tcPr>
            <w:tcW w:w="1827"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1,238.90</w:t>
            </w:r>
          </w:p>
        </w:tc>
        <w:tc>
          <w:tcPr>
            <w:tcW w:w="1650"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4,486.06</w:t>
            </w: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12,199.29</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7,713.23</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6,474.33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1,238.90</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4,486.06</w:t>
            </w: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民政管理事务</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7,528.38</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4,502.32</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3,658.65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843.67</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3,026.06</w:t>
            </w: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2080201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行政运行</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4,218.46</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4,218.46</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3,380.33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838.13</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一般行政管理事务</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1,080.00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1,080.00</w:t>
            </w: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2080203</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机关服务</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148.21</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67.21</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61.67</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5.54</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81.00</w:t>
            </w: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2080206</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社会组织管理</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161.31</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161.31</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161.31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1,920.40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55.34</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55.34</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1,865.06</w:t>
            </w: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988.52</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988.52</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963.52</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591.29</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591.29</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591.29</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224.66</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224.66</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224.66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2080599</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其他行政事业单位养老支出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172.57</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172.57</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147.57</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20808</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抚恤</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1,537.61</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607.61</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469.40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138.21</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930.00</w:t>
            </w: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2080899</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其他优抚支出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1,537.61</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607.61</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469.40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138.21</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930.00</w:t>
            </w: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20810</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社会福利</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1,183.85</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1,153.85</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969.15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184.70</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30.00</w:t>
            </w: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2081005</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社会福利事业单位</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1,183.85</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1,153.85</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969.15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184.70</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30.00</w:t>
            </w: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20820</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临时救助</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2082001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临时救助支出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500.00</w:t>
            </w: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460.93</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460.93</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413.61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47.32</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2089999</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460.93</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460.93</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413.61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47.32</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3,346.09</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3,346.09</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3,346.09</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住房改革支出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3,346.09</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3,346.09</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3,346.09</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住房公积金</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594.56</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594.56</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594.56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提租补贴</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2,751.53</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2,751.53</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2,751.53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bl>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3"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954" w:type="dxa"/>
        <w:tblInd w:w="-204" w:type="dxa"/>
        <w:tblLayout w:type="fixed"/>
        <w:tblCellMar>
          <w:top w:w="55" w:type="dxa"/>
          <w:left w:w="55" w:type="dxa"/>
          <w:bottom w:w="55" w:type="dxa"/>
          <w:right w:w="55" w:type="dxa"/>
        </w:tblCellMar>
      </w:tblPr>
      <w:tblGrid>
        <w:gridCol w:w="1227"/>
        <w:gridCol w:w="3667"/>
        <w:gridCol w:w="2413"/>
        <w:gridCol w:w="1974"/>
        <w:gridCol w:w="1673"/>
      </w:tblGrid>
      <w:tr>
        <w:tblPrEx>
          <w:tblLayout w:type="fixed"/>
          <w:tblCellMar>
            <w:top w:w="55" w:type="dxa"/>
            <w:left w:w="55" w:type="dxa"/>
            <w:bottom w:w="55" w:type="dxa"/>
            <w:right w:w="55" w:type="dxa"/>
          </w:tblCellMar>
        </w:tblPrEx>
        <w:trPr>
          <w:cantSplit/>
          <w:trHeight w:val="319" w:hRule="atLeast"/>
        </w:trPr>
        <w:tc>
          <w:tcPr>
            <w:tcW w:w="10954" w:type="dxa"/>
            <w:gridSpan w:val="5"/>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公开08表</w:t>
            </w:r>
          </w:p>
        </w:tc>
      </w:tr>
      <w:tr>
        <w:tblPrEx>
          <w:tblLayout w:type="fixed"/>
          <w:tblCellMar>
            <w:top w:w="55" w:type="dxa"/>
            <w:left w:w="55" w:type="dxa"/>
            <w:bottom w:w="55" w:type="dxa"/>
            <w:right w:w="55" w:type="dxa"/>
          </w:tblCellMar>
        </w:tblPrEx>
        <w:trPr>
          <w:cantSplit/>
          <w:trHeight w:val="189" w:hRule="atLeast"/>
        </w:trPr>
        <w:tc>
          <w:tcPr>
            <w:tcW w:w="10954" w:type="dxa"/>
            <w:gridSpan w:val="5"/>
          </w:tcPr>
          <w:p>
            <w:pPr>
              <w:pStyle w:val="22"/>
              <w:widowControl w:val="0"/>
              <w:jc w:val="center"/>
              <w:rPr>
                <w:rFonts w:hint="eastAsia" w:ascii="仿宋" w:hAnsi="仿宋" w:eastAsia="仿宋" w:cs="仿宋"/>
                <w:sz w:val="20"/>
              </w:rPr>
            </w:pPr>
            <w:r>
              <w:rPr>
                <w:rFonts w:hint="eastAsia" w:ascii="仿宋" w:hAnsi="仿宋" w:eastAsia="仿宋" w:cs="仿宋"/>
                <w:b/>
                <w:bCs/>
                <w:sz w:val="44"/>
                <w:szCs w:val="44"/>
              </w:rPr>
              <w:t>一般公共预算基本支出表</w:t>
            </w:r>
          </w:p>
        </w:tc>
      </w:tr>
      <w:tr>
        <w:tblPrEx>
          <w:tblLayout w:type="fixed"/>
          <w:tblCellMar>
            <w:top w:w="55" w:type="dxa"/>
            <w:left w:w="55" w:type="dxa"/>
            <w:bottom w:w="55" w:type="dxa"/>
            <w:right w:w="55" w:type="dxa"/>
          </w:tblCellMar>
        </w:tblPrEx>
        <w:trPr>
          <w:cantSplit/>
          <w:trHeight w:val="138" w:hRule="atLeast"/>
        </w:trPr>
        <w:tc>
          <w:tcPr>
            <w:tcW w:w="9281"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部门</w:t>
            </w:r>
            <w:r>
              <w:rPr>
                <w:rFonts w:ascii="仿宋" w:hAnsi="仿宋" w:eastAsia="仿宋" w:cs="仿宋"/>
                <w:color w:val="000000"/>
                <w:sz w:val="22"/>
              </w:rPr>
              <w:t>：</w:t>
            </w:r>
            <w:r>
              <w:rPr>
                <w:rFonts w:hint="eastAsia" w:ascii="仿宋" w:hAnsi="仿宋" w:eastAsia="仿宋" w:cs="仿宋"/>
              </w:rPr>
              <w:t>江苏省民政厅</w:t>
            </w:r>
          </w:p>
        </w:tc>
        <w:tc>
          <w:tcPr>
            <w:tcW w:w="1673" w:type="dxa"/>
            <w:vAlign w:val="center"/>
          </w:tcPr>
          <w:p>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Layout w:type="fixed"/>
          <w:tblCellMar>
            <w:top w:w="55" w:type="dxa"/>
            <w:left w:w="55" w:type="dxa"/>
            <w:bottom w:w="55" w:type="dxa"/>
            <w:right w:w="55" w:type="dxa"/>
          </w:tblCellMar>
        </w:tblPrEx>
        <w:trPr>
          <w:cantSplit/>
          <w:trHeight w:val="180" w:hRule="atLeast"/>
        </w:trPr>
        <w:tc>
          <w:tcPr>
            <w:tcW w:w="4894" w:type="dxa"/>
            <w:gridSpan w:val="2"/>
            <w:tcBorders>
              <w:top w:val="single" w:color="000000" w:sz="4" w:space="0"/>
              <w:left w:val="single" w:color="000000" w:sz="4" w:space="0"/>
              <w:bottom w:val="single" w:color="000000" w:sz="4" w:space="0"/>
            </w:tcBorders>
            <w:vAlign w:val="center"/>
          </w:tcPr>
          <w:p>
            <w:pPr>
              <w:widowControl w:val="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部门预算支出经济分类科目</w:t>
            </w:r>
          </w:p>
        </w:tc>
        <w:tc>
          <w:tcPr>
            <w:tcW w:w="6060" w:type="dxa"/>
            <w:gridSpan w:val="3"/>
            <w:tcBorders>
              <w:top w:val="single" w:color="000000" w:sz="4" w:space="0"/>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本年一般公共预算基本支出</w:t>
            </w:r>
          </w:p>
        </w:tc>
      </w:tr>
      <w:tr>
        <w:tblPrEx>
          <w:tblLayout w:type="fixed"/>
          <w:tblCellMar>
            <w:top w:w="55" w:type="dxa"/>
            <w:left w:w="55" w:type="dxa"/>
            <w:bottom w:w="55" w:type="dxa"/>
            <w:right w:w="55" w:type="dxa"/>
          </w:tblCellMar>
        </w:tblPrEx>
        <w:trPr>
          <w:cantSplit/>
          <w:trHeight w:val="190" w:hRule="atLeast"/>
        </w:trPr>
        <w:tc>
          <w:tcPr>
            <w:tcW w:w="122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科目编码</w:t>
            </w:r>
          </w:p>
        </w:tc>
        <w:tc>
          <w:tcPr>
            <w:tcW w:w="366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41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197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1673"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cantSplit/>
          <w:trHeight w:val="382" w:hRule="exact"/>
        </w:trPr>
        <w:tc>
          <w:tcPr>
            <w:tcW w:w="4894"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413"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11,059.32</w:t>
            </w:r>
          </w:p>
        </w:tc>
        <w:tc>
          <w:tcPr>
            <w:tcW w:w="19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9,820.42</w:t>
            </w:r>
          </w:p>
        </w:tc>
        <w:tc>
          <w:tcPr>
            <w:tcW w:w="167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1,238.90</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工资福利支出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8,079.99</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8,079.99</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基本工资</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1,324.83</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1,324.83</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津贴补贴</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2,107.18</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2,107.18</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奖金</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872.01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872.01</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绩效工资</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627.46</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627.46</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451.97</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451.97</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职业年金缴费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224.66</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224.66</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100.21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100.21</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住房公积金</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594.56</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594.56</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医疗费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75.44</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75.44</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其他工资福利支出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1,701.67</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1,701.67</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1,238.90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1,238.90</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办公费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124.67</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124.67</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印刷费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45.18</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45.18</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手续费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0.10</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电费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194.00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194.00</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邮电费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25.03</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25.03</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物业管理费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15.00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15.00</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差旅费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127.73</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127.73</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维修（护）费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23.14</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23.14</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公务接待费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0.10</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工会经费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121.00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121.00</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福利费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104.68</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104.68</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公务用车运行维护费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29.90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29.90</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其他交通费用</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189.46</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189.46</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其他商品和服务支出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233.91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233.91</w:t>
            </w: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1,740.43</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1,740.43</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离休费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194.93</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194.93</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退休费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1,536.14</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1,536.14</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退职（役）费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8.86</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8.86</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奖励金</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0.50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0.50</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4"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909" w:type="dxa"/>
        <w:tblInd w:w="-226" w:type="dxa"/>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tblPrEx>
          <w:tblLayout w:type="fixed"/>
          <w:tblCellMar>
            <w:top w:w="55" w:type="dxa"/>
            <w:left w:w="55" w:type="dxa"/>
            <w:bottom w:w="55" w:type="dxa"/>
            <w:right w:w="55" w:type="dxa"/>
          </w:tblCellMar>
        </w:tblPrEx>
        <w:trPr>
          <w:cantSplit/>
          <w:trHeight w:val="321" w:hRule="atLeast"/>
        </w:trPr>
        <w:tc>
          <w:tcPr>
            <w:tcW w:w="15909" w:type="dxa"/>
            <w:gridSpan w:val="8"/>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公开09表</w:t>
            </w:r>
          </w:p>
        </w:tc>
      </w:tr>
      <w:tr>
        <w:tblPrEx>
          <w:tblLayout w:type="fixed"/>
          <w:tblCellMar>
            <w:top w:w="55" w:type="dxa"/>
            <w:left w:w="55" w:type="dxa"/>
            <w:bottom w:w="55" w:type="dxa"/>
            <w:right w:w="55" w:type="dxa"/>
          </w:tblCellMar>
        </w:tblPrEx>
        <w:trPr>
          <w:cantSplit/>
          <w:trHeight w:val="207" w:hRule="atLeast"/>
        </w:trPr>
        <w:tc>
          <w:tcPr>
            <w:tcW w:w="15909" w:type="dxa"/>
            <w:gridSpan w:val="8"/>
          </w:tcPr>
          <w:p>
            <w:pPr>
              <w:pStyle w:val="22"/>
              <w:widowControl w:val="0"/>
              <w:jc w:val="center"/>
              <w:rPr>
                <w:rFonts w:hint="eastAsia" w:ascii="仿宋" w:hAnsi="仿宋" w:eastAsia="仿宋" w:cs="仿宋"/>
                <w:sz w:val="20"/>
              </w:rPr>
            </w:pPr>
            <w:r>
              <w:rPr>
                <w:rFonts w:hint="eastAsia" w:ascii="仿宋" w:hAnsi="仿宋" w:eastAsia="仿宋" w:cs="仿宋"/>
                <w:b/>
                <w:bCs/>
                <w:sz w:val="44"/>
                <w:szCs w:val="44"/>
              </w:rPr>
              <w:t>一般公共预算“三公”经费、会议费、培训费支出表</w:t>
            </w:r>
          </w:p>
        </w:tc>
      </w:tr>
      <w:tr>
        <w:tblPrEx>
          <w:tblLayout w:type="fixed"/>
          <w:tblCellMar>
            <w:top w:w="55" w:type="dxa"/>
            <w:left w:w="55" w:type="dxa"/>
            <w:bottom w:w="55" w:type="dxa"/>
            <w:right w:w="55" w:type="dxa"/>
          </w:tblCellMar>
        </w:tblPrEx>
        <w:trPr>
          <w:cantSplit/>
          <w:trHeight w:val="103" w:hRule="atLeast"/>
        </w:trPr>
        <w:tc>
          <w:tcPr>
            <w:tcW w:w="12069" w:type="dxa"/>
            <w:gridSpan w:val="6"/>
            <w:tcBorders>
              <w:bottom w:val="single" w:color="auto" w:sz="4" w:space="0"/>
            </w:tcBorders>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部门</w:t>
            </w:r>
            <w:r>
              <w:rPr>
                <w:rFonts w:ascii="仿宋" w:hAnsi="仿宋" w:eastAsia="仿宋" w:cs="仿宋"/>
                <w:color w:val="000000"/>
                <w:sz w:val="22"/>
              </w:rPr>
              <w:t>：</w:t>
            </w:r>
            <w:r>
              <w:rPr>
                <w:rFonts w:hint="eastAsia" w:ascii="仿宋" w:hAnsi="仿宋" w:eastAsia="仿宋" w:cs="仿宋"/>
              </w:rPr>
              <w:t>江苏省民政厅</w:t>
            </w:r>
          </w:p>
        </w:tc>
        <w:tc>
          <w:tcPr>
            <w:tcW w:w="3840" w:type="dxa"/>
            <w:gridSpan w:val="2"/>
            <w:tcBorders>
              <w:bottom w:val="single" w:color="auto" w:sz="4" w:space="0"/>
            </w:tcBorders>
            <w:vAlign w:val="center"/>
          </w:tcPr>
          <w:p>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Layout w:type="fixed"/>
          <w:tblCellMar>
            <w:top w:w="55" w:type="dxa"/>
            <w:left w:w="55" w:type="dxa"/>
            <w:bottom w:w="55" w:type="dxa"/>
            <w:right w:w="55" w:type="dxa"/>
          </w:tblCellMar>
        </w:tblPrEx>
        <w:trPr>
          <w:cantSplit/>
          <w:trHeight w:val="297" w:hRule="atLeast"/>
        </w:trPr>
        <w:tc>
          <w:tcPr>
            <w:tcW w:w="2471"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w:t>
            </w:r>
            <w:r>
              <w:rPr>
                <w:rFonts w:hint="eastAsia" w:ascii="仿宋" w:hAnsi="仿宋" w:eastAsia="仿宋" w:cs="仿宋"/>
                <w:lang w:val="en-US" w:eastAsia="zh-CN"/>
              </w:rPr>
              <w:t>维护</w:t>
            </w:r>
            <w:r>
              <w:rPr>
                <w:rFonts w:hint="eastAsia" w:ascii="仿宋" w:hAnsi="仿宋" w:eastAsia="仿宋" w:cs="仿宋"/>
              </w:rPr>
              <w:t>费</w:t>
            </w:r>
          </w:p>
        </w:tc>
        <w:tc>
          <w:tcPr>
            <w:tcW w:w="1852"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会议费</w:t>
            </w:r>
          </w:p>
        </w:tc>
        <w:tc>
          <w:tcPr>
            <w:tcW w:w="1783"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培训费</w:t>
            </w:r>
          </w:p>
        </w:tc>
      </w:tr>
      <w:tr>
        <w:tblPrEx>
          <w:tblLayout w:type="fixed"/>
          <w:tblCellMar>
            <w:top w:w="55" w:type="dxa"/>
            <w:left w:w="55" w:type="dxa"/>
            <w:bottom w:w="55" w:type="dxa"/>
            <w:right w:w="55" w:type="dxa"/>
          </w:tblCellMar>
        </w:tblPrEx>
        <w:trPr>
          <w:cantSplit/>
          <w:trHeight w:val="728" w:hRule="exact"/>
        </w:trPr>
        <w:tc>
          <w:tcPr>
            <w:tcW w:w="2471"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2332"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2037"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ascii="仿宋" w:hAnsi="仿宋" w:eastAsia="仿宋" w:cs="仿宋"/>
              </w:rPr>
              <w:t>小计</w:t>
            </w:r>
          </w:p>
        </w:tc>
        <w:tc>
          <w:tcPr>
            <w:tcW w:w="1697"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w:t>
            </w:r>
            <w:r>
              <w:rPr>
                <w:rFonts w:hint="eastAsia" w:ascii="仿宋" w:hAnsi="仿宋" w:eastAsia="仿宋" w:cs="仿宋"/>
                <w:lang w:val="en-US" w:eastAsia="zh-CN"/>
              </w:rPr>
              <w:t>维护</w:t>
            </w:r>
            <w:r>
              <w:rPr>
                <w:rFonts w:hint="eastAsia" w:ascii="仿宋" w:hAnsi="仿宋" w:eastAsia="仿宋" w:cs="仿宋"/>
              </w:rPr>
              <w:t>费</w:t>
            </w:r>
          </w:p>
        </w:tc>
        <w:tc>
          <w:tcPr>
            <w:tcW w:w="1852"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2057"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1783"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cantSplit/>
          <w:trHeight w:val="165" w:hRule="atLeast"/>
        </w:trPr>
        <w:tc>
          <w:tcPr>
            <w:tcW w:w="2471"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91.00</w:t>
            </w:r>
          </w:p>
        </w:tc>
        <w:tc>
          <w:tcPr>
            <w:tcW w:w="2332"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35.00</w:t>
            </w:r>
          </w:p>
        </w:tc>
        <w:tc>
          <w:tcPr>
            <w:tcW w:w="2037"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29.90</w:t>
            </w:r>
          </w:p>
        </w:tc>
        <w:tc>
          <w:tcPr>
            <w:tcW w:w="1697"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1680"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29.90</w:t>
            </w:r>
          </w:p>
        </w:tc>
        <w:tc>
          <w:tcPr>
            <w:tcW w:w="1852"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26.10</w:t>
            </w:r>
          </w:p>
        </w:tc>
        <w:tc>
          <w:tcPr>
            <w:tcW w:w="2057"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328.20</w:t>
            </w:r>
          </w:p>
        </w:tc>
        <w:tc>
          <w:tcPr>
            <w:tcW w:w="1783"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187.20</w:t>
            </w:r>
          </w:p>
        </w:tc>
      </w:tr>
    </w:tbl>
    <w:p>
      <w:pPr>
        <w:widowControl w:val="0"/>
        <w:suppressAutoHyphens/>
        <w:bidi w:val="0"/>
        <w:spacing w:before="0" w:after="0"/>
        <w:ind w:left="227" w:right="0" w:firstLine="221" w:firstLineChars="100"/>
        <w:jc w:val="left"/>
        <w:rPr>
          <w:rFonts w:hint="eastAsia" w:ascii="仿宋" w:hAnsi="仿宋" w:eastAsia="仿宋" w:cs="仿宋"/>
          <w:b/>
          <w:bCs/>
          <w:sz w:val="22"/>
          <w:szCs w:val="22"/>
        </w:rPr>
        <w:sectPr>
          <w:footerReference r:id="rId15"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812" w:type="dxa"/>
        <w:tblInd w:w="-108" w:type="dxa"/>
        <w:tblLayout w:type="fixed"/>
        <w:tblCellMar>
          <w:top w:w="55" w:type="dxa"/>
          <w:left w:w="55" w:type="dxa"/>
          <w:bottom w:w="55" w:type="dxa"/>
          <w:right w:w="55" w:type="dxa"/>
        </w:tblCellMar>
      </w:tblPr>
      <w:tblGrid>
        <w:gridCol w:w="1618"/>
        <w:gridCol w:w="2834"/>
        <w:gridCol w:w="1783"/>
        <w:gridCol w:w="2092"/>
        <w:gridCol w:w="2485"/>
      </w:tblGrid>
      <w:tr>
        <w:tblPrEx>
          <w:tblLayout w:type="fixed"/>
          <w:tblCellMar>
            <w:top w:w="55" w:type="dxa"/>
            <w:left w:w="55" w:type="dxa"/>
            <w:bottom w:w="55" w:type="dxa"/>
            <w:right w:w="55" w:type="dxa"/>
          </w:tblCellMar>
        </w:tblPrEx>
        <w:trPr>
          <w:cantSplit/>
          <w:trHeight w:val="213" w:hRule="atLeast"/>
        </w:trPr>
        <w:tc>
          <w:tcPr>
            <w:tcW w:w="10812" w:type="dxa"/>
            <w:gridSpan w:val="5"/>
            <w:tcBorders>
              <w:top w:val="nil"/>
              <w:left w:val="nil"/>
              <w:bottom w:val="nil"/>
              <w:right w:val="nil"/>
            </w:tcBorders>
            <w:vAlign w:val="center"/>
          </w:tcPr>
          <w:p>
            <w:pPr>
              <w:pStyle w:val="22"/>
              <w:widowControl w:val="0"/>
              <w:jc w:val="left"/>
              <w:rPr>
                <w:rFonts w:hint="eastAsia" w:ascii="仿宋" w:hAnsi="仿宋" w:eastAsia="仿宋" w:cs="仿宋"/>
              </w:rPr>
            </w:pPr>
            <w:r>
              <w:rPr>
                <w:rFonts w:hint="eastAsia" w:ascii="仿宋" w:hAnsi="仿宋" w:eastAsia="仿宋" w:cs="仿宋"/>
              </w:rPr>
              <w:t>公开</w:t>
            </w:r>
            <w:r>
              <w:rPr>
                <w:rFonts w:hint="eastAsia" w:ascii="仿宋" w:hAnsi="仿宋" w:eastAsia="仿宋" w:cs="仿宋"/>
                <w:lang w:val="en-US" w:eastAsia="zh-CN"/>
              </w:rPr>
              <w:t>10</w:t>
            </w:r>
            <w:r>
              <w:rPr>
                <w:rFonts w:hint="eastAsia" w:ascii="仿宋" w:hAnsi="仿宋" w:eastAsia="仿宋" w:cs="仿宋"/>
              </w:rPr>
              <w:t>表</w:t>
            </w:r>
          </w:p>
        </w:tc>
      </w:tr>
      <w:tr>
        <w:tblPrEx>
          <w:tblLayout w:type="fixed"/>
          <w:tblCellMar>
            <w:top w:w="55" w:type="dxa"/>
            <w:left w:w="55" w:type="dxa"/>
            <w:bottom w:w="55" w:type="dxa"/>
            <w:right w:w="55" w:type="dxa"/>
          </w:tblCellMar>
        </w:tblPrEx>
        <w:trPr>
          <w:cantSplit/>
          <w:trHeight w:val="213" w:hRule="atLeast"/>
        </w:trPr>
        <w:tc>
          <w:tcPr>
            <w:tcW w:w="10812" w:type="dxa"/>
            <w:gridSpan w:val="5"/>
            <w:tcBorders>
              <w:top w:val="nil"/>
              <w:left w:val="nil"/>
              <w:bottom w:val="nil"/>
              <w:right w:val="nil"/>
            </w:tcBorders>
            <w:vAlign w:val="center"/>
          </w:tcPr>
          <w:p>
            <w:pPr>
              <w:pStyle w:val="22"/>
              <w:widowControl w:val="0"/>
              <w:jc w:val="center"/>
              <w:rPr>
                <w:rFonts w:hint="eastAsia" w:ascii="仿宋" w:hAnsi="仿宋" w:eastAsia="仿宋" w:cs="仿宋"/>
              </w:rPr>
            </w:pPr>
            <w:r>
              <w:rPr>
                <w:rFonts w:hint="eastAsia" w:ascii="仿宋" w:hAnsi="仿宋" w:eastAsia="仿宋" w:cs="仿宋"/>
                <w:b/>
                <w:bCs/>
                <w:sz w:val="44"/>
                <w:szCs w:val="44"/>
              </w:rPr>
              <w:t>政府性基金预算支出表</w:t>
            </w:r>
          </w:p>
        </w:tc>
      </w:tr>
      <w:tr>
        <w:tblPrEx>
          <w:tblLayout w:type="fixed"/>
          <w:tblCellMar>
            <w:top w:w="55" w:type="dxa"/>
            <w:left w:w="55" w:type="dxa"/>
            <w:bottom w:w="55" w:type="dxa"/>
            <w:right w:w="55" w:type="dxa"/>
          </w:tblCellMar>
        </w:tblPrEx>
        <w:trPr>
          <w:cantSplit/>
          <w:trHeight w:val="213" w:hRule="atLeast"/>
        </w:trPr>
        <w:tc>
          <w:tcPr>
            <w:tcW w:w="8327" w:type="dxa"/>
            <w:gridSpan w:val="4"/>
            <w:tcBorders>
              <w:top w:val="nil"/>
              <w:left w:val="nil"/>
              <w:bottom w:val="single" w:color="auto" w:sz="4" w:space="0"/>
              <w:right w:val="nil"/>
            </w:tcBorders>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部门</w:t>
            </w:r>
            <w:r>
              <w:rPr>
                <w:rFonts w:ascii="仿宋" w:hAnsi="仿宋" w:eastAsia="仿宋" w:cs="仿宋"/>
                <w:color w:val="000000"/>
                <w:sz w:val="22"/>
              </w:rPr>
              <w:t>：</w:t>
            </w:r>
            <w:r>
              <w:rPr>
                <w:rFonts w:hint="eastAsia" w:ascii="仿宋" w:hAnsi="仿宋" w:eastAsia="仿宋" w:cs="仿宋"/>
              </w:rPr>
              <w:t>江苏省民政厅</w:t>
            </w:r>
          </w:p>
        </w:tc>
        <w:tc>
          <w:tcPr>
            <w:tcW w:w="2485" w:type="dxa"/>
            <w:tcBorders>
              <w:top w:val="nil"/>
              <w:left w:val="nil"/>
              <w:bottom w:val="single" w:color="auto" w:sz="4" w:space="0"/>
              <w:right w:val="nil"/>
            </w:tcBorders>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Layout w:type="fixed"/>
          <w:tblCellMar>
            <w:top w:w="55" w:type="dxa"/>
            <w:left w:w="55" w:type="dxa"/>
            <w:bottom w:w="55" w:type="dxa"/>
            <w:right w:w="55" w:type="dxa"/>
          </w:tblCellMar>
        </w:tblPrEx>
        <w:trPr>
          <w:cantSplit/>
          <w:trHeight w:val="187" w:hRule="atLeast"/>
        </w:trPr>
        <w:tc>
          <w:tcPr>
            <w:tcW w:w="1618" w:type="dxa"/>
            <w:vMerge w:val="restart"/>
            <w:tcBorders>
              <w:top w:val="single" w:color="auto" w:sz="4" w:space="0"/>
              <w:left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834" w:type="dxa"/>
            <w:vMerge w:val="restart"/>
            <w:tcBorders>
              <w:top w:val="single" w:color="auto" w:sz="4" w:space="0"/>
              <w:left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6360" w:type="dxa"/>
            <w:gridSpan w:val="3"/>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本年政府性基金预算支出</w:t>
            </w:r>
          </w:p>
        </w:tc>
      </w:tr>
      <w:tr>
        <w:tblPrEx>
          <w:tblLayout w:type="fixed"/>
          <w:tblCellMar>
            <w:top w:w="55" w:type="dxa"/>
            <w:left w:w="55" w:type="dxa"/>
            <w:bottom w:w="55" w:type="dxa"/>
            <w:right w:w="55" w:type="dxa"/>
          </w:tblCellMar>
        </w:tblPrEx>
        <w:trPr>
          <w:cantSplit/>
          <w:trHeight w:val="139" w:hRule="atLeast"/>
        </w:trPr>
        <w:tc>
          <w:tcPr>
            <w:tcW w:w="1618" w:type="dxa"/>
            <w:vMerge w:val="continue"/>
            <w:tcBorders>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p>
        </w:tc>
        <w:tc>
          <w:tcPr>
            <w:tcW w:w="2834" w:type="dxa"/>
            <w:vMerge w:val="continue"/>
            <w:tcBorders>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p>
        </w:tc>
        <w:tc>
          <w:tcPr>
            <w:tcW w:w="1783"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default" w:ascii="仿宋" w:hAnsi="仿宋" w:eastAsia="仿宋" w:cs="仿宋"/>
                <w:lang w:val="en-US" w:eastAsia="zh-CN"/>
              </w:rPr>
            </w:pPr>
            <w:r>
              <w:rPr>
                <w:rFonts w:hint="eastAsia" w:ascii="仿宋" w:hAnsi="仿宋" w:eastAsia="仿宋" w:cs="仿宋"/>
                <w:lang w:val="en-US" w:eastAsia="zh-CN"/>
              </w:rPr>
              <w:t>合计</w:t>
            </w:r>
          </w:p>
        </w:tc>
        <w:tc>
          <w:tcPr>
            <w:tcW w:w="2092"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2485"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cantSplit/>
          <w:trHeight w:val="462" w:hRule="atLeast"/>
        </w:trPr>
        <w:tc>
          <w:tcPr>
            <w:tcW w:w="1618"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p>
        </w:tc>
        <w:tc>
          <w:tcPr>
            <w:tcW w:w="2834"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合计</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5,615.00</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5,615.00</w:t>
            </w:r>
          </w:p>
        </w:tc>
      </w:tr>
      <w:tr>
        <w:tblPrEx>
          <w:tblLayout w:type="fixed"/>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229</w:t>
            </w: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其他支出</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5,615.00</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5,615.00</w:t>
            </w:r>
          </w:p>
        </w:tc>
      </w:tr>
      <w:tr>
        <w:tblPrEx>
          <w:tblLayout w:type="fixed"/>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xml:space="preserve">  22960</w:t>
            </w: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彩票公益金安排的支出</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5,615.00</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5,615.00</w:t>
            </w:r>
          </w:p>
        </w:tc>
      </w:tr>
      <w:tr>
        <w:tblPrEx>
          <w:tblLayout w:type="fixed"/>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xml:space="preserve">    2296002</w:t>
            </w: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用于社会福利的彩票公益金支出</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5,250.00</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5,250.00</w:t>
            </w:r>
          </w:p>
        </w:tc>
      </w:tr>
      <w:tr>
        <w:tblPrEx>
          <w:tblLayout w:type="fixed"/>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xml:space="preserve">    2296099</w:t>
            </w: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用于其他社会公益事业的彩票公益金支出</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365.00</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365.00</w:t>
            </w:r>
          </w:p>
        </w:tc>
      </w:tr>
    </w:tbl>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footerReference r:id="rId16"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4695" w:type="dxa"/>
        <w:jc w:val="center"/>
        <w:tblInd w:w="0" w:type="dxa"/>
        <w:tblLayout w:type="fixed"/>
        <w:tblCellMar>
          <w:top w:w="0" w:type="dxa"/>
          <w:left w:w="108" w:type="dxa"/>
          <w:bottom w:w="0" w:type="dxa"/>
          <w:right w:w="108" w:type="dxa"/>
        </w:tblCellMar>
      </w:tblPr>
      <w:tblGrid>
        <w:gridCol w:w="1596"/>
        <w:gridCol w:w="3803"/>
        <w:gridCol w:w="3111"/>
        <w:gridCol w:w="3094"/>
        <w:gridCol w:w="3091"/>
      </w:tblGrid>
      <w:tr>
        <w:tblPrEx>
          <w:tblLayout w:type="fixed"/>
          <w:tblCellMar>
            <w:top w:w="0" w:type="dxa"/>
            <w:left w:w="108" w:type="dxa"/>
            <w:bottom w:w="0" w:type="dxa"/>
            <w:right w:w="108" w:type="dxa"/>
          </w:tblCellMar>
        </w:tblPrEx>
        <w:trPr>
          <w:cantSplit/>
          <w:trHeight w:val="447" w:hRule="atLeast"/>
          <w:jc w:val="center"/>
        </w:trPr>
        <w:tc>
          <w:tcPr>
            <w:tcW w:w="14695" w:type="dxa"/>
            <w:gridSpan w:val="5"/>
            <w:tcBorders>
              <w:top w:val="nil"/>
              <w:left w:val="nil"/>
              <w:bottom w:val="nil"/>
              <w:right w:val="nil"/>
            </w:tcBorders>
            <w:shd w:val="clear" w:color="auto" w:fill="auto"/>
            <w:vAlign w:val="center"/>
          </w:tcPr>
          <w:p>
            <w:pPr>
              <w:widowControl/>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公开11表</w:t>
            </w:r>
          </w:p>
        </w:tc>
      </w:tr>
      <w:tr>
        <w:tblPrEx>
          <w:tblLayout w:type="fixed"/>
          <w:tblCellMar>
            <w:top w:w="0" w:type="dxa"/>
            <w:left w:w="108" w:type="dxa"/>
            <w:bottom w:w="0" w:type="dxa"/>
            <w:right w:w="108" w:type="dxa"/>
          </w:tblCellMar>
        </w:tblPrEx>
        <w:trPr>
          <w:cantSplit/>
          <w:trHeight w:val="960" w:hRule="atLeast"/>
          <w:jc w:val="center"/>
        </w:trPr>
        <w:tc>
          <w:tcPr>
            <w:tcW w:w="14695" w:type="dxa"/>
            <w:gridSpan w:val="5"/>
            <w:tcBorders>
              <w:top w:val="nil"/>
              <w:left w:val="nil"/>
              <w:bottom w:val="nil"/>
              <w:right w:val="nil"/>
            </w:tcBorders>
            <w:shd w:val="clear" w:color="auto" w:fill="auto"/>
            <w:vAlign w:val="center"/>
          </w:tcPr>
          <w:p>
            <w:pPr>
              <w:widowControl/>
              <w:jc w:val="center"/>
              <w:rPr>
                <w:rFonts w:hint="eastAsia" w:ascii="仿宋" w:hAnsi="仿宋" w:eastAsia="仿宋" w:cs="仿宋"/>
                <w:color w:val="auto"/>
                <w:kern w:val="0"/>
                <w:sz w:val="22"/>
                <w:szCs w:val="22"/>
                <w:lang w:val="zh-CN" w:eastAsia="zh-CN" w:bidi="zh-CN"/>
              </w:rPr>
            </w:pPr>
            <w:r>
              <w:rPr>
                <w:rFonts w:hint="eastAsia" w:ascii="仿宋" w:hAnsi="仿宋" w:eastAsia="仿宋" w:cs="仿宋"/>
                <w:b/>
                <w:bCs/>
                <w:color w:val="auto"/>
                <w:kern w:val="0"/>
                <w:sz w:val="44"/>
                <w:szCs w:val="44"/>
                <w:lang w:val="zh-CN" w:eastAsia="zh-CN" w:bidi="zh-CN"/>
              </w:rPr>
              <w:t>国有资本经营预算支出预算表</w:t>
            </w:r>
          </w:p>
        </w:tc>
      </w:tr>
      <w:tr>
        <w:tblPrEx>
          <w:tblLayout w:type="fixed"/>
          <w:tblCellMar>
            <w:top w:w="0" w:type="dxa"/>
            <w:left w:w="108" w:type="dxa"/>
            <w:bottom w:w="0" w:type="dxa"/>
            <w:right w:w="108" w:type="dxa"/>
          </w:tblCellMar>
        </w:tblPrEx>
        <w:trPr>
          <w:cantSplit/>
          <w:trHeight w:val="319" w:hRule="atLeast"/>
          <w:jc w:val="center"/>
        </w:trPr>
        <w:tc>
          <w:tcPr>
            <w:tcW w:w="11604" w:type="dxa"/>
            <w:gridSpan w:val="4"/>
            <w:tcBorders>
              <w:top w:val="nil"/>
              <w:left w:val="nil"/>
              <w:bottom w:val="single" w:color="auto" w:sz="4" w:space="0"/>
              <w:right w:val="nil"/>
            </w:tcBorders>
            <w:shd w:val="clear" w:color="auto" w:fill="auto"/>
            <w:vAlign w:val="center"/>
          </w:tcPr>
          <w:p>
            <w:pPr>
              <w:widowControl/>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000000"/>
                <w:sz w:val="22"/>
                <w:szCs w:val="22"/>
                <w:lang w:eastAsia="zh-CN"/>
              </w:rPr>
              <w:t>部门</w:t>
            </w:r>
            <w:r>
              <w:rPr>
                <w:rFonts w:ascii="仿宋" w:hAnsi="仿宋" w:eastAsia="仿宋" w:cs="仿宋"/>
                <w:color w:val="000000"/>
                <w:sz w:val="22"/>
              </w:rPr>
              <w:t>：</w:t>
            </w:r>
            <w:r>
              <w:rPr>
                <w:rFonts w:hint="eastAsia" w:ascii="仿宋" w:hAnsi="仿宋" w:eastAsia="仿宋" w:cs="仿宋"/>
              </w:rPr>
              <w:t>江苏省民政厅</w:t>
            </w:r>
          </w:p>
        </w:tc>
        <w:tc>
          <w:tcPr>
            <w:tcW w:w="3091" w:type="dxa"/>
            <w:tcBorders>
              <w:top w:val="nil"/>
              <w:left w:val="nil"/>
              <w:bottom w:val="nil"/>
              <w:right w:val="nil"/>
            </w:tcBorders>
            <w:shd w:val="clear" w:color="auto" w:fill="auto"/>
            <w:vAlign w:val="center"/>
          </w:tcPr>
          <w:p>
            <w:pPr>
              <w:widowControl/>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单位：万元</w:t>
            </w:r>
          </w:p>
        </w:tc>
      </w:tr>
      <w:tr>
        <w:tblPrEx>
          <w:tblLayout w:type="fixed"/>
          <w:tblCellMar>
            <w:top w:w="0" w:type="dxa"/>
            <w:left w:w="108" w:type="dxa"/>
            <w:bottom w:w="0" w:type="dxa"/>
            <w:right w:w="108" w:type="dxa"/>
          </w:tblCellMar>
        </w:tblPrEx>
        <w:trPr>
          <w:cantSplit/>
          <w:trHeight w:val="143"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项    目</w:t>
            </w:r>
          </w:p>
        </w:tc>
        <w:tc>
          <w:tcPr>
            <w:tcW w:w="311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本年支出合计</w:t>
            </w:r>
          </w:p>
        </w:tc>
        <w:tc>
          <w:tcPr>
            <w:tcW w:w="309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xml:space="preserve">基本支出  </w:t>
            </w:r>
          </w:p>
        </w:tc>
        <w:tc>
          <w:tcPr>
            <w:tcW w:w="309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项目支出</w:t>
            </w:r>
          </w:p>
        </w:tc>
      </w:tr>
      <w:tr>
        <w:tblPrEx>
          <w:tblLayout w:type="fixed"/>
          <w:tblCellMar>
            <w:top w:w="0" w:type="dxa"/>
            <w:left w:w="108" w:type="dxa"/>
            <w:bottom w:w="0" w:type="dxa"/>
            <w:right w:w="108" w:type="dxa"/>
          </w:tblCellMar>
        </w:tblPrEx>
        <w:trPr>
          <w:cantSplit/>
          <w:trHeight w:val="201" w:hRule="atLeast"/>
          <w:jc w:val="center"/>
        </w:trPr>
        <w:tc>
          <w:tcPr>
            <w:tcW w:w="159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功能分类</w:t>
            </w:r>
          </w:p>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科目编码</w:t>
            </w:r>
          </w:p>
        </w:tc>
        <w:tc>
          <w:tcPr>
            <w:tcW w:w="380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科目名称</w:t>
            </w:r>
          </w:p>
        </w:tc>
        <w:tc>
          <w:tcPr>
            <w:tcW w:w="3111"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c>
          <w:tcPr>
            <w:tcW w:w="3094"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c>
          <w:tcPr>
            <w:tcW w:w="3091"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r>
      <w:tr>
        <w:tblPrEx>
          <w:tblLayout w:type="fixed"/>
          <w:tblCellMar>
            <w:top w:w="0" w:type="dxa"/>
            <w:left w:w="108" w:type="dxa"/>
            <w:bottom w:w="0" w:type="dxa"/>
            <w:right w:w="108" w:type="dxa"/>
          </w:tblCellMar>
        </w:tblPrEx>
        <w:trPr>
          <w:cantSplit/>
          <w:trHeight w:val="90"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栏次</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1</w:t>
            </w: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2</w:t>
            </w: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3</w:t>
            </w:r>
          </w:p>
        </w:tc>
      </w:tr>
      <w:tr>
        <w:tblPrEx>
          <w:tblLayout w:type="fixed"/>
          <w:tblCellMar>
            <w:top w:w="0" w:type="dxa"/>
            <w:left w:w="108" w:type="dxa"/>
            <w:bottom w:w="0" w:type="dxa"/>
            <w:right w:w="108" w:type="dxa"/>
          </w:tblCellMar>
        </w:tblPrEx>
        <w:trPr>
          <w:cantSplit/>
          <w:trHeight w:val="246"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合计</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r>
      <w:tr>
        <w:tblPrEx>
          <w:tblLayout w:type="fixed"/>
          <w:tblCellMar>
            <w:top w:w="0" w:type="dxa"/>
            <w:left w:w="108" w:type="dxa"/>
            <w:bottom w:w="0" w:type="dxa"/>
            <w:right w:w="108" w:type="dxa"/>
          </w:tblCellMar>
        </w:tblPrEx>
        <w:trPr>
          <w:cantSplit/>
          <w:trHeight w:val="90" w:hRule="atLeast"/>
          <w:jc w:val="center"/>
        </w:trPr>
        <w:tc>
          <w:tcPr>
            <w:tcW w:w="1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p>
        </w:tc>
        <w:tc>
          <w:tcPr>
            <w:tcW w:w="380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r>
      <w:tr>
        <w:tblPrEx>
          <w:tblLayout w:type="fixed"/>
          <w:tblCellMar>
            <w:top w:w="0" w:type="dxa"/>
            <w:left w:w="108" w:type="dxa"/>
            <w:bottom w:w="0" w:type="dxa"/>
            <w:right w:w="108" w:type="dxa"/>
          </w:tblCellMar>
        </w:tblPrEx>
        <w:trPr>
          <w:cantSplit/>
          <w:trHeight w:val="90" w:hRule="atLeast"/>
          <w:jc w:val="center"/>
        </w:trPr>
        <w:tc>
          <w:tcPr>
            <w:tcW w:w="1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p>
        </w:tc>
        <w:tc>
          <w:tcPr>
            <w:tcW w:w="380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r>
    </w:tbl>
    <w:p>
      <w:pPr>
        <w:numPr>
          <w:ilvl w:val="0"/>
          <w:numId w:val="0"/>
        </w:numPr>
        <w:spacing w:before="25" w:after="0"/>
        <w:ind w:firstLine="442" w:firstLineChars="200"/>
        <w:rPr>
          <w:rFonts w:hint="default" w:ascii="仿宋" w:hAnsi="仿宋" w:eastAsia="仿宋" w:cs="仿宋"/>
          <w:b/>
          <w:bCs/>
          <w:sz w:val="22"/>
          <w:szCs w:val="22"/>
          <w:lang w:val="en-US" w:eastAsia="zh-CN"/>
        </w:rPr>
      </w:pPr>
      <w:r>
        <w:rPr>
          <w:rFonts w:ascii="仿宋" w:hAnsi="仿宋" w:eastAsia="仿宋" w:cs="仿宋"/>
          <w:b/>
          <w:sz w:val="22"/>
        </w:rPr>
        <w:t>注：本部门无</w:t>
      </w:r>
      <w:r>
        <w:rPr>
          <w:rFonts w:hint="eastAsia" w:ascii="仿宋" w:hAnsi="仿宋" w:eastAsia="仿宋" w:cs="仿宋"/>
          <w:b/>
          <w:bCs/>
          <w:sz w:val="22"/>
          <w:szCs w:val="22"/>
          <w:lang w:val="zh-CN" w:eastAsia="zh-CN"/>
        </w:rPr>
        <w:t>国有资本经营预算支出</w:t>
      </w:r>
      <w:r>
        <w:rPr>
          <w:rFonts w:hint="eastAsia" w:ascii="仿宋" w:hAnsi="仿宋" w:eastAsia="仿宋" w:cs="仿宋"/>
          <w:b/>
          <w:bCs/>
          <w:sz w:val="22"/>
          <w:szCs w:val="22"/>
          <w:lang w:val="en-US" w:eastAsia="zh-CN"/>
        </w:rPr>
        <w:t>，故本表无数据。</w:t>
      </w:r>
    </w:p>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235" w:type="dxa"/>
        <w:tblInd w:w="-403" w:type="dxa"/>
        <w:tblLayout w:type="fixed"/>
        <w:tblCellMar>
          <w:top w:w="55" w:type="dxa"/>
          <w:left w:w="55" w:type="dxa"/>
          <w:bottom w:w="55" w:type="dxa"/>
          <w:right w:w="55" w:type="dxa"/>
        </w:tblCellMar>
      </w:tblPr>
      <w:tblGrid>
        <w:gridCol w:w="3088"/>
        <w:gridCol w:w="2876"/>
        <w:gridCol w:w="1920"/>
        <w:gridCol w:w="2351"/>
      </w:tblGrid>
      <w:tr>
        <w:tblPrEx>
          <w:tblLayout w:type="fixed"/>
          <w:tblCellMar>
            <w:top w:w="55" w:type="dxa"/>
            <w:left w:w="55" w:type="dxa"/>
            <w:bottom w:w="55" w:type="dxa"/>
            <w:right w:w="55" w:type="dxa"/>
          </w:tblCellMar>
        </w:tblPrEx>
        <w:trPr>
          <w:cantSplit/>
          <w:trHeight w:val="319" w:hRule="atLeast"/>
        </w:trPr>
        <w:tc>
          <w:tcPr>
            <w:tcW w:w="10235" w:type="dxa"/>
            <w:gridSpan w:val="4"/>
          </w:tcPr>
          <w:p>
            <w:pPr>
              <w:pStyle w:val="22"/>
              <w:widowControl w:val="0"/>
              <w:tabs>
                <w:tab w:val="left" w:pos="610"/>
              </w:tabs>
              <w:spacing w:before="28" w:after="0"/>
              <w:ind w:left="8" w:firstLine="0"/>
              <w:jc w:val="left"/>
              <w:rPr>
                <w:rFonts w:hint="eastAsia" w:ascii="仿宋" w:hAnsi="仿宋" w:eastAsia="仿宋" w:cs="仿宋"/>
                <w:b/>
                <w:bCs/>
                <w:sz w:val="44"/>
                <w:szCs w:val="44"/>
              </w:rPr>
            </w:pPr>
            <w:r>
              <w:rPr>
                <w:rFonts w:hint="eastAsia" w:ascii="仿宋" w:hAnsi="仿宋" w:eastAsia="仿宋" w:cs="仿宋"/>
              </w:rPr>
              <w:t>公开1</w:t>
            </w:r>
            <w:r>
              <w:rPr>
                <w:rFonts w:hint="eastAsia" w:ascii="仿宋" w:hAnsi="仿宋" w:eastAsia="仿宋" w:cs="仿宋"/>
                <w:lang w:val="en-US" w:eastAsia="zh-CN"/>
              </w:rPr>
              <w:t>2</w:t>
            </w:r>
            <w:r>
              <w:rPr>
                <w:rFonts w:hint="eastAsia" w:ascii="仿宋" w:hAnsi="仿宋" w:eastAsia="仿宋" w:cs="仿宋"/>
              </w:rPr>
              <w:t>表</w:t>
            </w:r>
          </w:p>
        </w:tc>
      </w:tr>
      <w:tr>
        <w:tblPrEx>
          <w:tblLayout w:type="fixed"/>
          <w:tblCellMar>
            <w:top w:w="55" w:type="dxa"/>
            <w:left w:w="55" w:type="dxa"/>
            <w:bottom w:w="55" w:type="dxa"/>
            <w:right w:w="55" w:type="dxa"/>
          </w:tblCellMar>
        </w:tblPrEx>
        <w:trPr>
          <w:cantSplit/>
          <w:trHeight w:val="90" w:hRule="atLeast"/>
        </w:trPr>
        <w:tc>
          <w:tcPr>
            <w:tcW w:w="10235" w:type="dxa"/>
            <w:gridSpan w:val="4"/>
          </w:tcPr>
          <w:p>
            <w:pPr>
              <w:pStyle w:val="22"/>
              <w:widowControl w:val="0"/>
              <w:jc w:val="center"/>
              <w:rPr>
                <w:rFonts w:hint="eastAsia" w:ascii="仿宋" w:hAnsi="仿宋" w:eastAsia="仿宋" w:cs="仿宋"/>
              </w:rPr>
            </w:pPr>
            <w:r>
              <w:rPr>
                <w:rFonts w:hint="eastAsia" w:ascii="仿宋" w:hAnsi="仿宋" w:eastAsia="仿宋" w:cs="仿宋"/>
                <w:b/>
                <w:bCs/>
                <w:sz w:val="44"/>
                <w:szCs w:val="44"/>
              </w:rPr>
              <w:t>一般公共预算机关运行经费支出预算表</w:t>
            </w:r>
          </w:p>
        </w:tc>
      </w:tr>
      <w:tr>
        <w:tblPrEx>
          <w:tblLayout w:type="fixed"/>
          <w:tblCellMar>
            <w:top w:w="55" w:type="dxa"/>
            <w:left w:w="55" w:type="dxa"/>
            <w:bottom w:w="55" w:type="dxa"/>
            <w:right w:w="55" w:type="dxa"/>
          </w:tblCellMar>
        </w:tblPrEx>
        <w:trPr>
          <w:cantSplit/>
          <w:trHeight w:val="90" w:hRule="atLeast"/>
        </w:trPr>
        <w:tc>
          <w:tcPr>
            <w:tcW w:w="7884" w:type="dxa"/>
            <w:gridSpan w:val="3"/>
            <w:tcBorders>
              <w:bottom w:val="single" w:color="auto" w:sz="4" w:space="0"/>
            </w:tcBorders>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部门</w:t>
            </w:r>
            <w:r>
              <w:rPr>
                <w:rFonts w:ascii="仿宋" w:hAnsi="仿宋" w:eastAsia="仿宋" w:cs="仿宋"/>
                <w:color w:val="000000"/>
                <w:sz w:val="22"/>
              </w:rPr>
              <w:t>：</w:t>
            </w:r>
            <w:r>
              <w:rPr>
                <w:rFonts w:hint="eastAsia" w:ascii="仿宋" w:hAnsi="仿宋" w:eastAsia="仿宋" w:cs="仿宋"/>
              </w:rPr>
              <w:t>江苏省民政厅</w:t>
            </w:r>
          </w:p>
        </w:tc>
        <w:tc>
          <w:tcPr>
            <w:tcW w:w="2351" w:type="dxa"/>
            <w:tcBorders>
              <w:bottom w:val="single" w:color="auto" w:sz="4" w:space="0"/>
            </w:tcBorders>
            <w:vAlign w:val="center"/>
          </w:tcPr>
          <w:p>
            <w:pPr>
              <w:pStyle w:val="22"/>
              <w:widowControl w:val="0"/>
              <w:jc w:val="right"/>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Layout w:type="fixed"/>
          <w:tblCellMar>
            <w:top w:w="55" w:type="dxa"/>
            <w:left w:w="55" w:type="dxa"/>
            <w:bottom w:w="55" w:type="dxa"/>
            <w:right w:w="55" w:type="dxa"/>
          </w:tblCellMar>
        </w:tblPrEx>
        <w:trPr>
          <w:cantSplit/>
          <w:trHeight w:val="163" w:hRule="atLeast"/>
        </w:trPr>
        <w:tc>
          <w:tcPr>
            <w:tcW w:w="308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tcBorders>
              <w:top w:val="single" w:color="auto" w:sz="4" w:space="0"/>
              <w:left w:val="single" w:color="000000" w:sz="4" w:space="0"/>
              <w:bottom w:val="single" w:color="auto" w:sz="4" w:space="0"/>
              <w:right w:val="single" w:color="auto" w:sz="4" w:space="0"/>
            </w:tcBorders>
          </w:tcPr>
          <w:p>
            <w:pPr>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w:t>
            </w:r>
          </w:p>
        </w:tc>
      </w:tr>
      <w:tr>
        <w:tblPrEx>
          <w:tblLayout w:type="fixed"/>
          <w:tblCellMar>
            <w:top w:w="55" w:type="dxa"/>
            <w:left w:w="55" w:type="dxa"/>
            <w:bottom w:w="55" w:type="dxa"/>
            <w:right w:w="55" w:type="dxa"/>
          </w:tblCellMar>
        </w:tblPrEx>
        <w:trPr>
          <w:cantSplit/>
          <w:trHeight w:val="90" w:hRule="atLeast"/>
        </w:trPr>
        <w:tc>
          <w:tcPr>
            <w:tcW w:w="5964" w:type="dxa"/>
            <w:gridSpan w:val="2"/>
            <w:tcBorders>
              <w:top w:val="single" w:color="000000" w:sz="4" w:space="0"/>
              <w:left w:val="single" w:color="auto" w:sz="4" w:space="0"/>
              <w:bottom w:val="single" w:color="auto" w:sz="4" w:space="0"/>
              <w:right w:val="single" w:color="000000" w:sz="4" w:space="0"/>
            </w:tcBorders>
            <w:vAlign w:val="top"/>
          </w:tcPr>
          <w:p>
            <w:pPr>
              <w:pStyle w:val="22"/>
              <w:widowControl w:val="0"/>
              <w:jc w:val="center"/>
              <w:rPr>
                <w:rFonts w:hint="default" w:ascii="仿宋" w:hAnsi="仿宋" w:eastAsia="仿宋" w:cs="仿宋"/>
                <w:sz w:val="22"/>
                <w:szCs w:val="22"/>
                <w:lang w:val="en-US" w:eastAsia="zh-CN"/>
              </w:rPr>
            </w:pPr>
            <w:r>
              <w:rPr>
                <w:rFonts w:hint="eastAsia" w:ascii="仿宋" w:hAnsi="仿宋" w:eastAsia="仿宋" w:cs="仿宋"/>
                <w:sz w:val="22"/>
                <w:szCs w:val="22"/>
                <w:lang w:val="en-US" w:eastAsia="zh-CN"/>
              </w:rPr>
              <w:t>合计</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863.13</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302</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商品和服务支出</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863.13</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30201</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办公费</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88.90</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30202</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印刷费</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43.20</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30205</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水费</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4.00</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30206</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电费</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120.00</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30207</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邮电费</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12.96</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30211</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差旅费</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110.83</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30228</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工会经费</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100.00</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30229</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福利费</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79.26</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30231</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公务用车运行维护费</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26.40</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30239</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其他交通费用</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189.16</w:t>
            </w:r>
          </w:p>
        </w:tc>
      </w:tr>
      <w:tr>
        <w:tblPrEx>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30299</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其他商品和服务支出</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88.42</w:t>
            </w:r>
          </w:p>
        </w:tc>
      </w:tr>
    </w:tbl>
    <w:p>
      <w:pPr>
        <w:numPr>
          <w:ilvl w:val="0"/>
          <w:numId w:val="0"/>
        </w:numPr>
        <w:tabs>
          <w:tab w:val="left" w:pos="-440"/>
        </w:tabs>
        <w:spacing w:before="25" w:after="0"/>
        <w:ind w:left="-440" w:leftChars="0" w:right="-220" w:rightChars="-100" w:firstLine="0" w:firstLineChars="0"/>
        <w:rPr>
          <w:rFonts w:hint="default" w:ascii="仿宋" w:hAnsi="仿宋" w:eastAsia="仿宋" w:cs="仿宋"/>
          <w:b/>
          <w:bCs/>
          <w:sz w:val="22"/>
          <w:szCs w:val="22"/>
          <w:lang w:val="en-US" w:eastAsia="zh-CN"/>
        </w:rPr>
      </w:pPr>
      <w:r>
        <w:rPr>
          <w:rFonts w:hint="eastAsia" w:ascii="仿宋" w:hAnsi="仿宋" w:eastAsia="仿宋" w:cs="仿宋"/>
          <w:b/>
          <w:bCs/>
          <w:sz w:val="22"/>
          <w:szCs w:val="22"/>
          <w:lang w:val="en-US" w:eastAsia="zh-CN"/>
        </w:rPr>
        <w:t>注：1.</w:t>
      </w:r>
      <w:r>
        <w:rPr>
          <w:rFonts w:hint="eastAsia" w:ascii="仿宋" w:hAnsi="仿宋" w:eastAsia="仿宋" w:cs="仿宋"/>
          <w:b/>
          <w:bCs/>
          <w:sz w:val="22"/>
          <w:szCs w:val="22"/>
        </w:rPr>
        <w:t>“机关运行经费”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pPr>
        <w:widowControl w:val="0"/>
        <w:suppressAutoHyphens/>
        <w:bidi w:val="0"/>
        <w:spacing w:before="78" w:after="0" w:line="290" w:lineRule="auto"/>
        <w:ind w:left="227" w:right="57" w:firstLine="0"/>
        <w:jc w:val="both"/>
        <w:rPr>
          <w:rFonts w:hint="eastAsia" w:ascii="仿宋" w:hAnsi="仿宋" w:eastAsia="仿宋" w:cs="仿宋"/>
          <w:b/>
          <w:bCs/>
          <w:sz w:val="22"/>
          <w:szCs w:val="22"/>
        </w:rPr>
        <w:sectPr>
          <w:footerReference r:id="rId17" w:type="default"/>
          <w:pgSz w:w="11906" w:h="16838"/>
          <w:pgMar w:top="1100" w:right="906"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67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1512"/>
        <w:gridCol w:w="2502"/>
        <w:gridCol w:w="1440"/>
        <w:gridCol w:w="2280"/>
        <w:gridCol w:w="1776"/>
        <w:gridCol w:w="1105"/>
        <w:gridCol w:w="1121"/>
        <w:gridCol w:w="1192"/>
        <w:gridCol w:w="1200"/>
        <w:gridCol w:w="154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Pr>
        <w:tc>
          <w:tcPr>
            <w:tcW w:w="15676" w:type="dxa"/>
            <w:gridSpan w:val="10"/>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left"/>
              <w:rPr>
                <w:rFonts w:hint="eastAsia" w:ascii="仿宋" w:hAnsi="仿宋" w:eastAsia="仿宋" w:cs="仿宋"/>
                <w:b/>
                <w:bCs/>
                <w:color w:val="auto"/>
                <w:kern w:val="0"/>
                <w:sz w:val="44"/>
                <w:szCs w:val="44"/>
                <w:lang w:val="en-US" w:eastAsia="zh-CN" w:bidi="zh-CN"/>
              </w:rPr>
            </w:pPr>
            <w:r>
              <w:rPr>
                <w:rFonts w:hint="eastAsia" w:ascii="仿宋" w:hAnsi="仿宋" w:eastAsia="仿宋" w:cs="仿宋"/>
              </w:rPr>
              <w:t>公开1</w:t>
            </w:r>
            <w:r>
              <w:rPr>
                <w:rFonts w:hint="eastAsia" w:ascii="仿宋" w:hAnsi="仿宋" w:eastAsia="仿宋" w:cs="仿宋"/>
                <w:lang w:val="en-US" w:eastAsia="zh-CN"/>
              </w:rPr>
              <w:t>3</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Pr>
        <w:tc>
          <w:tcPr>
            <w:tcW w:w="15676" w:type="dxa"/>
            <w:gridSpan w:val="10"/>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b/>
                <w:bCs/>
                <w:color w:val="auto"/>
                <w:kern w:val="0"/>
                <w:sz w:val="44"/>
                <w:szCs w:val="44"/>
                <w:lang w:val="en-US" w:eastAsia="zh-CN" w:bidi="zh-CN"/>
              </w:rPr>
              <w:t>政府采购支出表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Pr>
        <w:tc>
          <w:tcPr>
            <w:tcW w:w="9510" w:type="dxa"/>
            <w:gridSpan w:val="5"/>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spacing w:line="240" w:lineRule="auto"/>
              <w:jc w:val="left"/>
              <w:rPr>
                <w:rFonts w:hint="eastAsia" w:ascii="仿宋" w:hAnsi="仿宋" w:eastAsia="仿宋" w:cs="仿宋"/>
                <w:lang w:val="en-US" w:eastAsia="zh-CN"/>
              </w:rPr>
            </w:pPr>
            <w:r>
              <w:rPr>
                <w:rFonts w:hint="eastAsia" w:ascii="仿宋" w:hAnsi="仿宋" w:eastAsia="仿宋" w:cs="仿宋"/>
                <w:color w:val="000000"/>
                <w:sz w:val="22"/>
                <w:szCs w:val="22"/>
                <w:lang w:eastAsia="zh-CN"/>
              </w:rPr>
              <w:t>部门</w:t>
            </w:r>
            <w:r>
              <w:rPr>
                <w:rFonts w:ascii="仿宋" w:hAnsi="仿宋" w:eastAsia="仿宋" w:cs="仿宋"/>
                <w:color w:val="000000"/>
                <w:sz w:val="22"/>
              </w:rPr>
              <w:t>：</w:t>
            </w:r>
            <w:r>
              <w:rPr>
                <w:rFonts w:hint="eastAsia" w:ascii="仿宋" w:hAnsi="仿宋" w:eastAsia="仿宋" w:cs="仿宋"/>
              </w:rPr>
              <w:t>江苏省民政厅</w:t>
            </w:r>
          </w:p>
        </w:tc>
        <w:tc>
          <w:tcPr>
            <w:tcW w:w="4618" w:type="dxa"/>
            <w:gridSpan w:val="4"/>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spacing w:line="240" w:lineRule="auto"/>
              <w:jc w:val="left"/>
              <w:rPr>
                <w:rFonts w:hint="eastAsia" w:ascii="仿宋" w:hAnsi="仿宋" w:eastAsia="仿宋" w:cs="仿宋"/>
                <w:lang w:val="en-US" w:eastAsia="zh-CN"/>
              </w:rPr>
            </w:pPr>
          </w:p>
        </w:tc>
        <w:tc>
          <w:tcPr>
            <w:tcW w:w="1548" w:type="dxa"/>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spacing w:line="240" w:lineRule="auto"/>
              <w:jc w:val="right"/>
              <w:rPr>
                <w:rFonts w:hint="eastAsia" w:ascii="仿宋" w:hAnsi="仿宋" w:eastAsia="仿宋" w:cs="仿宋"/>
                <w:lang w:val="en-US" w:eastAsia="zh-CN"/>
              </w:rPr>
            </w:pPr>
            <w:r>
              <w:rPr>
                <w:rFonts w:hint="eastAsia" w:ascii="仿宋" w:hAnsi="仿宋" w:eastAsia="仿宋" w:cs="仿宋"/>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Pr>
        <w:tc>
          <w:tcPr>
            <w:tcW w:w="1512"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采购品目大类</w:t>
            </w:r>
          </w:p>
        </w:tc>
        <w:tc>
          <w:tcPr>
            <w:tcW w:w="2502"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专项名称</w:t>
            </w:r>
          </w:p>
        </w:tc>
        <w:tc>
          <w:tcPr>
            <w:tcW w:w="1440"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经济科目</w:t>
            </w:r>
          </w:p>
        </w:tc>
        <w:tc>
          <w:tcPr>
            <w:tcW w:w="2280"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采购品目名称</w:t>
            </w:r>
          </w:p>
        </w:tc>
        <w:tc>
          <w:tcPr>
            <w:tcW w:w="1776"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采购组织形式</w:t>
            </w:r>
          </w:p>
        </w:tc>
        <w:tc>
          <w:tcPr>
            <w:tcW w:w="4618" w:type="dxa"/>
            <w:gridSpan w:val="4"/>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资金来源</w:t>
            </w:r>
          </w:p>
        </w:tc>
        <w:tc>
          <w:tcPr>
            <w:tcW w:w="1548"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总计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258" w:hRule="atLeast"/>
        </w:trPr>
        <w:tc>
          <w:tcPr>
            <w:tcW w:w="1512"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2502"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440"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2280"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776"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default" w:ascii="仿宋" w:hAnsi="仿宋" w:eastAsia="仿宋" w:cs="仿宋"/>
                <w:lang w:val="en-US"/>
              </w:rPr>
            </w:pPr>
            <w:r>
              <w:rPr>
                <w:rFonts w:hint="eastAsia" w:ascii="仿宋" w:hAnsi="仿宋" w:eastAsia="仿宋" w:cs="仿宋"/>
                <w:lang w:val="en-US" w:eastAsia="zh-CN"/>
              </w:rPr>
              <w:t>一般公共预算资金</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政府性基金</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上年结转和结余资金</w:t>
            </w:r>
          </w:p>
        </w:tc>
        <w:tc>
          <w:tcPr>
            <w:tcW w:w="1548"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r>
              <w:rPr>
                <w:rFonts w:hint="eastAsia" w:ascii="仿宋" w:hAnsi="仿宋" w:eastAsia="仿宋" w:cs="仿宋"/>
                <w:lang w:val="en-US" w:eastAsia="zh-CN"/>
              </w:rPr>
              <w:t>合计</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480.00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2,250.00</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2,730.00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货物</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100.00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江苏省伤残人康复中心</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100.00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假肢普通、专用设备购置</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专用设备购置</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其他电气设备</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分散采购</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100.00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工程</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150.00</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150.00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江苏省伤残人康复中心</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150.00</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150.00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消防隐患改造工程</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大型修缮</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消防工程和安防工程</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分散采购</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150.00</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150.00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服务</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380.00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2,100.00</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2,480.00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江苏省民政厅（机关）</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380.00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2,100.00</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2,480.00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民政事业发展改革支出</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委托业务费</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其他社会服务</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分散采购</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180.00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180.00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民政事业发展改革支出</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委托业务费</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审计服务</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分散采购</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200.00</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200.00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公益服务项目（福彩公益金）</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委托业务费</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养老服务</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集中采购机构采购</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1,600.00</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1,600.00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公益服务项目（福彩公益金）</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委托业务费</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其他社会服务</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分散采购</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500.00</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500.00</w:t>
            </w:r>
          </w:p>
        </w:tc>
      </w:tr>
    </w:tbl>
    <w:p>
      <w:pPr>
        <w:bidi w:val="0"/>
        <w:rPr>
          <w:rFonts w:hint="eastAsia" w:ascii="仿宋" w:hAnsi="仿宋" w:eastAsia="仿宋" w:cs="仿宋"/>
          <w:b/>
          <w:bCs/>
          <w:sz w:val="22"/>
          <w:szCs w:val="22"/>
        </w:rPr>
        <w:sectPr>
          <w:footerReference r:id="rId18" w:type="default"/>
          <w:pgSz w:w="16838" w:h="11906" w:orient="landscape"/>
          <w:pgMar w:top="1320" w:right="567" w:bottom="1320" w:left="567"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lang w:eastAsia="zh-CN"/>
        </w:rPr>
        <w:t>2023</w:t>
      </w:r>
      <w:r>
        <w:rPr>
          <w:rFonts w:hint="eastAsia" w:ascii="仿宋" w:hAnsi="仿宋" w:eastAsia="仿宋" w:cs="仿宋"/>
          <w:b/>
          <w:bCs/>
          <w:sz w:val="44"/>
          <w:szCs w:val="44"/>
        </w:rPr>
        <w:t>年度</w:t>
      </w:r>
      <w:r>
        <w:rPr>
          <w:rFonts w:ascii="仿宋" w:hAnsi="仿宋" w:eastAsia="仿宋" w:cs="仿宋"/>
          <w:b/>
          <w:sz w:val="44"/>
        </w:rPr>
        <w:t>部门</w:t>
      </w:r>
      <w:r>
        <w:rPr>
          <w:rFonts w:hint="eastAsia" w:ascii="仿宋" w:hAnsi="仿宋" w:eastAsia="仿宋" w:cs="仿宋"/>
          <w:b/>
          <w:bCs/>
          <w:sz w:val="44"/>
          <w:szCs w:val="44"/>
          <w:lang w:eastAsia="zh-CN"/>
        </w:rPr>
        <w:t>预算</w:t>
      </w:r>
      <w:r>
        <w:rPr>
          <w:rFonts w:hint="eastAsia" w:ascii="仿宋" w:hAnsi="仿宋" w:eastAsia="仿宋" w:cs="仿宋"/>
          <w:b/>
          <w:bCs/>
          <w:sz w:val="44"/>
          <w:szCs w:val="44"/>
        </w:rPr>
        <w:t>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一、收支预算总体情况说明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江苏省民政厅2023年度收入、支出预算总计25,588.73万元，与上年相比收、支预算总计各增加1,947.29万元，增长8.24%。</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（一）收入预算总计25,588.73万元。包括：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1．本年收入合计25,480.98万元。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（1）一般公共预算拨款收入15,545.38万元，与上年相比增加177.64万元，增长1.16%。主要原因是人员变动及工资政策性调整导致人员经费的增加。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（2）政府性基金预算拨款收入5,615万元，与上年相比增加1,190万元，增长26.89%。主要原因是用于社会福利的彩票公益金补助项目增加。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（3）国有资本经营预算拨款收入0万元，与上年预算数相同。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（4）财政专户管理资金收入0万元，与上年预算数相同。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（5）事业收入1,648.07万元，与上年相比减少96.36万元，减少5.52%。主要原因是省民政康复医院等事业单位事业收入减少。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（6）事业单位经营收入1,872.96万元，与上年相比减少135.27万元，减少6.74%。主要原因是省伤残人康复中心经营收入减少。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（7）上级补助收入0万元，与上年预算数相同。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（8）附属单位上缴收入0万元，与上年预算数相同。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（9）其他收入799.57万元，与上年相比增加799.57万元（去年预算数为0万元，无法计算增减比率）。主要原因是省民政康复医院其他收入增加。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2．上年结转结余为107.75万元。与上年相比增加11.71万元，增长12.19%。主要原因是省民政干校上年结转结余资金增加。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（二）支出预算总计25,588.73万元。包括：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1．本年支出合计25,588.73万元。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社会保障和就业支出（类）支出16,011.94万元，主要用于机关事业单位人员支出、正常运转以及民政事业发展、管理事务等方面的支出。与上年相比增加893.19万元，增长5.91%。主要原因是人员变动及工资政策性调整导致人员经费的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住房保障支出（类）支出3,961.79万元，主要用于厅机关及事业单位按国家政策规定用于住房改革方面的支出，具体包括住房公积金、提租补贴2个项级支出科目。与上年相比减少135.9万元，减少3.32%。主要原因是人员变动以及工资政策性调整，相应住房保障支出经费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（3）其他支出（类）支出5,615万元，主要用于社会福利的彩票公益金项目支出。与上年相比增加1,190万元，增长26.89%。主要原因是用于社会福利的彩票公益金资助项目支出增加。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2．年终结转结余为0万元。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二、收入预算情况说明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江苏省民政厅2023年收入预算合计25,588.73万元，包括本年收入25,480.98万元，上年结转结余107.75万元。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本年一般公共预算收入15,545.38万元，占60.75%；</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本年政府性基金预算收入5,615万元，占21.94%；</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本年国有资本经营预算收入0万元，占0%；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本年财政专户管理资金0万元，占0%；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本年事业收入1,648.07万元，占6.44%；</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本年事业单位经营收入1,872.96万元，占7.32%；</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本年上级补助收入0万元，占0%；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本年附属单位上缴收入0万元，占0%；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本年其他收入799.57万元，占3.13%；</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上年结转结余的一般公共预算收入0万元，占0%；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上年结转结余的政府性基金预算收入0万元，占0%；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上年结转结余的国有资本经营预算收入0万元，占0%；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上年结转结余的财政专户管理资金0万元，占0%；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上年结转结余的单位资金107.75万元，占0.42%。</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0"/>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三、支出预算情况说明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江苏省民政厅2023年支出预算合计25,588.73万元，其中：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基本支出15,487.67万元，占60.53%；</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项目支出10,101.06万元，占39.47%；</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事业单位经营支出0万元，占0%；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上缴上级支出0万元，占0%；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对附属单位补助支出0万元，占0%。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1"/>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四、财政拨款收支预算总体情况说明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2023年度财政拨款收、支总预算21,160.38万元。与上年相比，财政拨款收、支总计各增加1,367.64万元，增长6.91%。主要原因是人员变动及工资政策性调整导致人员经费的增加，以及用于社会福利的彩票公益金补助项目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五、财政拨款支出预算情况说明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2023年财政拨款预算支出21,160.38万元，占本年支出合计的82.69%。与上年相比，财政拨款支出增加1,367.64万元，增长6.91%。主要原因是人员变动及工资政策性调整导致人员经费的增加，以及用于社会福利的彩票公益金补助项目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（一）社会保障和就业支出（类）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1.民政管理事务（款）行政运行（项）支出4,218.46万元，与上年相比减少107.39万元，减少2.48%。主要原因是厅机关人员变动及工资政策性调整导致人员经费、公用经费的相应减少。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2.民政管理事务（款）一般行政管理事务（项）支出1,080万元，与上年预算数相同。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3.民政管理事务（款）机关服务（项）支出148.21万元，与上年相比增加8.7万元，增长6.24%。主要原因是省民政信息中心人员变动及工资政策性调整导致人员经费的相应增加。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4.民政管理事务（款）社会组织管理（项）支出161.31万元，与上年相比增加77.94万元，增长93.49%。主要原因是省社会组织管理服务中心人员变动及工资政策性调整导致人员经费的增加。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5.民政管理事务（款）其他民政管理事务支出（项）支出1,920.4万元，与上年相比增加310.04万元，增长19.25%。主要原因是厅机关民政事业发展改革支出项目增加。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6.行政事业单位养老支出（款）机关事业单位基本养老保险缴费支出（项）支出591.29万元，与上年相比增加162.53万元，增长37.91%。主要原因是人员变动及工资政策性调整导致养老保险缴费的相应增加。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7.行政事业单位养老支出（款）机关事业单位职业年金缴费支出（项）支出224.66万元，与上年相比增加10.29万元，增长4.8%。主要原因是人员变动及工资政策性调整导致职业年金缴费的相应增加。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8.行政事业单位养老支出（款）其他行政事业单位养老支出（项）支出172.57万元，与上年相比增加12.74万元，增长7.97%。主要原因是厅机关事业单位离退休人员基本支出略增加。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9.抚恤（款）其他优抚支出（项）支出1,537.61万元，与上年相比减少6.17万元，减少0.4%。主要原因是省伤残人康复中心、江苏民政康复医院等事业单位人员变动及工资政策性调整导致支出减少。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10.社会福利（款）社会福利事业单位（项）支出1,183.85万元，与上年相比减少13.13万元，减少1.1%。主要原因是省立新农场等事业单位人员经费减少。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11.临时救助（款）临时救助支出（项）支出500万元，与上年预算数相同。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12.其他社会保障和就业支出（款）其他社会保障和就业支出（项）支出460.93万元，与上年相比减少160.52万元，减少25.83%。主要原因是省捐助中心、省社会福利中心、民政干部学校等事业单位人员变动以及工资政策性调整导致人员经费的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（二）住房保障支出（类）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1.住房改革支出（款）住房公积金（项）支出594.56万元，与上年相比减少17.25万元，减少2.82%。主要原因是厅机关事业单位人员变动以及工资政策性调整导致住房公积金支出经费的减少。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2.住房改革支出（款）提租补贴（项）支出2,751.53万元，与上年相比减少100.14万元，减少3.51%。主要原因是厅机关事业单位人员变动以及工资政策性调整导致提租补贴支出经费的减少。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（三）其他支出（类）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1.彩票公益金安排的支出（款）用于社会福利的彩票公益金支出（项）支出5,250万元，与上年相比增加825万元，增长18.64%。主要原因是用于社会福利的彩票公益金补助项目增加。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彩票公益金安排的支出（款）用于其他社会公益事业的彩票公益金支出（项）支出365万元，与上年相比增加365万元（去年预算数为0万元，无法计算增减比率）。主要原因是省养老服务指导中心（省老年公寓管理中心）用于社会公益事业的彩票公益金补助项目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六、财政拨款基本支出预算情况说明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江苏省民政厅2023年度财政拨款基本支出预算11,059.32万元，其中：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9,820.42万元。主要包括：基本工资、津贴补贴、奖金、绩效工资、机关事业单位基本养老保险缴费、职业年金缴费、其他社会保障缴费、住房公积金、医疗费、其他工资福利支出、离休费、退休费、退职（役）费、奖励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1,238.9万元。主要包括：办公费、印刷费、手续费、水费、电费、邮电费、物业管理费、差旅费、维修（护）费、公务接待费、工会经费、福利费、公务用车运行维护费、其他交通费用、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七、一般公共预算支出预算情况说明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江苏省民政厅2023年一般公共预算财政拨款支出预算15,545.38万元，与上年相比增加177.64万元，增长1.16%。主要原因是厅机关人员变动及工资政策性调整导致人员经费的相应增加。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八、一般公共预算基本支出预算情况说明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江苏省民政厅2023年度一般公共预算财政拨款基本支出预算11,059.32万元，其中：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9,820.42万元。主要包括：基本工资、津贴补贴、奖金、绩效工资、机关事业单位基本养老保险缴费、职业年金缴费、其他社会保障缴费、住房公积金、医疗费、其他工资福利支出、离休费、退休费、退职（役）费、奖励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1,238.9万元。主要包括：办公费、印刷费、手续费、水费、电费、邮电费、物业管理费、差旅费、维修（护）费、公务接待费、工会经费、福利费、公务用车运行维护费、其他交通费用、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九、一般公共预算“三公”经费、会议费、培训费支出预算情况说明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2023年度一般公共预算拨款安排的“三公”经费预算支出中，因公出国（境）费支出35万元，占“三公”经费的38.46%；公务用车购置及运行维护费支出29.9万元，占“三公”经费的32.86%；公务接待费支出26.1万元，占“三公”经费的28.68%。具体情况如下：</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1．因公出国（境）费预算支出35万元，与上年预算数相同。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2．公务用车购置及运行维护费预算支出29.9万元。其中：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（1）公务用车购置预算支出0万元，与上年预算数相同。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（2）公务用车运行维护费预算支出29.9万元，与上年预算数相同。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3．公务接待费预算支出26.1万元，与上年预算数相同。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江苏省民政厅2023年度一般公共预算拨款安排的会议费预算支出328.2万元，与上年预算数相同。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江苏省民政厅2023年度一般公共预算拨款安排的培训费预算支出187.2万元，与上年预算数相同。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十、政府性基金预算支出预算情况说明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江苏省民政厅2023年政府性基金支出预算支出5,615万元。与上年相比增加1,190万元，增长26.89%。主要原因是用于社会福利的彩票公益金补助项目增加。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其他支出（类）彩票公益金安排的支出（款）用于社会福利的彩票公益金支出（项）支出5,250万元，主要是用于福利彩票公益金支持的社会福利事业支出，具体包括公益服务资助项目、贫困家庭儿童大病慈善救助项目、帮扶和对口支援项目等。</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2.其他支出（类）彩票公益金安排的支出（款）用于其他社会公益事业的彩票公益金支出（项）支出365万元，主要是用于省养老服务指导中心（省老年公寓管理中心）维修改造项目支出。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十一、国有资本经营预算支出预算情况说明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江苏省民政厅2023年国有资本经营预算支出0万元。与上年预算数相同。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十二、一般公共预算机关运行经费支出预算情况说明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2023年本部门一般公共预算机关运行经费预算支出863.13万元。与上年相比减少26.1万元，减少2.94%。主要原因是厅机关人员变动导致公用经费的相应减少。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十三、政府采购支出预算情况说明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2023年度政府采购支出预算总额2,730万元，其中：拟采购货物支出100万元、拟采购工程支出150万元、拟采购服务支出2,480万元。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十四、国有资产占用情况说明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本部门共有车辆26辆，其中，一般公务用车10辆、执法执勤用车0辆、特种专业技术用车0辆、业务用车6辆、其他用车10辆等。单价100万元（含）以上的设备6台（不含车辆）。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十五、预算绩效目标设置情况说明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2023年度，本部门整体支出纳入绩效目标管理，涉及财政性资金21,160.38万元；本部门共17个项目纳入绩效目标管理，涉及财政性资金合计10,101.06万元，占财政性资金(人员类和运转类中的公用经费项目支出除外)总额的比例为100%。</w:t>
      </w:r>
    </w:p>
    <w:p>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w:t>
      </w:r>
      <w:r>
        <w:rPr>
          <w:rFonts w:ascii="仿宋" w:hAnsi="仿宋" w:eastAsia="仿宋" w:cs="仿宋"/>
          <w:b/>
        </w:rPr>
        <w:t>：</w:t>
      </w:r>
      <w:r>
        <w:rPr>
          <w:rFonts w:hint="eastAsia" w:ascii="仿宋" w:hAnsi="仿宋" w:eastAsia="仿宋" w:cs="仿宋"/>
        </w:rPr>
        <w:t>单位从同级财政部门取得的各类财政拨款，包括一般公共预算拨款、政府性基金预算拨款、国有资本经营预算拨款。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二、财政专户管理资金</w:t>
      </w:r>
      <w:r>
        <w:rPr>
          <w:rFonts w:ascii="仿宋" w:hAnsi="仿宋" w:eastAsia="仿宋" w:cs="仿宋"/>
          <w:b/>
        </w:rPr>
        <w:t>：</w:t>
      </w:r>
      <w:r>
        <w:rPr>
          <w:rFonts w:hint="eastAsia" w:ascii="仿宋" w:hAnsi="仿宋" w:eastAsia="仿宋" w:cs="仿宋"/>
        </w:rPr>
        <w:t>缴入财政专户、实行专项管理的高中以上学费、住宿费、高校委托培养费、函大、电大、夜大及短训班培训费等教育收费。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三、单位资金</w:t>
      </w:r>
      <w:r>
        <w:rPr>
          <w:rFonts w:ascii="仿宋" w:hAnsi="仿宋" w:eastAsia="仿宋" w:cs="仿宋"/>
          <w:b/>
        </w:rPr>
        <w:t>：</w:t>
      </w:r>
      <w:r>
        <w:rPr>
          <w:rFonts w:hint="eastAsia" w:ascii="仿宋" w:hAnsi="仿宋" w:eastAsia="仿宋" w:cs="仿宋"/>
        </w:rPr>
        <w:t>除财政拨款收入和财政专户管理资金以外的收入，包括事业收入（不含教育收费）、上级补助收入、附属单位上缴收入、事业单位经营收入及其他收入（包含债务收入、投资收益等）。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四、基本支出</w:t>
      </w:r>
      <w:r>
        <w:rPr>
          <w:rFonts w:ascii="仿宋" w:hAnsi="仿宋" w:eastAsia="仿宋" w:cs="仿宋"/>
          <w:b/>
        </w:rPr>
        <w:t>：</w:t>
      </w:r>
      <w:r>
        <w:rPr>
          <w:rFonts w:hint="eastAsia" w:ascii="仿宋" w:hAnsi="仿宋" w:eastAsia="仿宋" w:cs="仿宋"/>
        </w:rPr>
        <w:t>指为保障机构正常运转、完成工作任务而发生的人员支出和公用支出。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五、项目支出</w:t>
      </w:r>
      <w:r>
        <w:rPr>
          <w:rFonts w:ascii="仿宋" w:hAnsi="仿宋" w:eastAsia="仿宋" w:cs="仿宋"/>
          <w:b/>
        </w:rPr>
        <w:t>：</w:t>
      </w:r>
      <w:r>
        <w:rPr>
          <w:rFonts w:hint="eastAsia" w:ascii="仿宋" w:hAnsi="仿宋" w:eastAsia="仿宋" w:cs="仿宋"/>
        </w:rPr>
        <w:t>指在基本支出之外为完成特定工作任务和事业发展目标所发生的支出。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六、“三公”经费</w:t>
      </w:r>
      <w:r>
        <w:rPr>
          <w:rFonts w:ascii="仿宋" w:hAnsi="仿宋" w:eastAsia="仿宋" w:cs="仿宋"/>
          <w:b/>
        </w:rPr>
        <w:t>：</w:t>
      </w:r>
      <w:r>
        <w:rPr>
          <w:rFonts w:hint="eastAsia" w:ascii="仿宋" w:hAnsi="仿宋" w:eastAsia="仿宋" w:cs="仿宋"/>
        </w:rPr>
        <w:t>指部门用一般公共预算财政拨款安排的因公出国（境）费、公务用车购置及运行维护费和公务接待费。其中，因公出国（境）费反映单位公务出国（境）的住宿费、旅费、伙食补助费、杂费、培训费等支出；公务用车购置及运行维护费反映单位公务用车购置费、燃料费、维修费、过路过桥费、保险费、安全奖励费用等支出；公务接待费反映单位按规定开支的各类公务接待（含外宾接待）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八、社会保障和就业支出(类)民政管理事务(款)行政运行(项)</w:t>
      </w:r>
      <w:r>
        <w:rPr>
          <w:rFonts w:ascii="仿宋" w:hAnsi="仿宋" w:eastAsia="仿宋" w:cs="仿宋"/>
          <w:b/>
        </w:rPr>
        <w:t>：</w:t>
      </w:r>
      <w:r>
        <w:rPr>
          <w:rFonts w:hint="eastAsia" w:ascii="仿宋" w:hAnsi="仿宋" w:eastAsia="仿宋" w:cs="仿宋"/>
        </w:rPr>
        <w:t>反映行政单位（包括实行公务员管理的事业单位）的基本支出。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九、社会保障和就业支出(类)民政管理事务(款)一般行政管理事务(项)</w:t>
      </w:r>
      <w:r>
        <w:rPr>
          <w:rFonts w:ascii="仿宋" w:hAnsi="仿宋" w:eastAsia="仿宋" w:cs="仿宋"/>
          <w:b/>
        </w:rPr>
        <w:t>：</w:t>
      </w:r>
      <w:r>
        <w:rPr>
          <w:rFonts w:hint="eastAsia" w:ascii="仿宋" w:hAnsi="仿宋" w:eastAsia="仿宋" w:cs="仿宋"/>
        </w:rPr>
        <w:t>反映行政单位（包括实行公务员管理的事业单位）未单独设置项级科目的其他项目支出。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十、社会保障和就业支出(类)民政管理事务(款)机关服务(项)</w:t>
      </w:r>
      <w:r>
        <w:rPr>
          <w:rFonts w:ascii="仿宋" w:hAnsi="仿宋" w:eastAsia="仿宋" w:cs="仿宋"/>
          <w:b/>
        </w:rPr>
        <w:t>：</w:t>
      </w:r>
      <w:r>
        <w:rPr>
          <w:rFonts w:hint="eastAsia" w:ascii="仿宋" w:hAnsi="仿宋" w:eastAsia="仿宋" w:cs="仿宋"/>
        </w:rPr>
        <w:t>反映为行政单位（包括实行公务员管理的事业单位）提供后勤服务的各类后勤服务中心、医务室等附属事业单位的支出。其他事业单位的支出，凡单独设置了项级科目的，在单独设置的项级科目中反映。未单设项级科目的，在“其他”项级科目中反映。</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十一、社会保障和就业支出(类)民政管理事务(款)社会组织管理(项)</w:t>
      </w:r>
      <w:r>
        <w:rPr>
          <w:rFonts w:ascii="仿宋" w:hAnsi="仿宋" w:eastAsia="仿宋" w:cs="仿宋"/>
          <w:b/>
        </w:rPr>
        <w:t>：</w:t>
      </w:r>
      <w:r>
        <w:rPr>
          <w:rFonts w:hint="eastAsia" w:ascii="仿宋" w:hAnsi="仿宋" w:eastAsia="仿宋" w:cs="仿宋"/>
        </w:rPr>
        <w:t>反映社会组织管理、支持社会组织发展等方面的支出。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十二、社会保障和就业支出(类)民政管理事务(款)其他民政管理事务支出(项)</w:t>
      </w:r>
      <w:r>
        <w:rPr>
          <w:rFonts w:ascii="仿宋" w:hAnsi="仿宋" w:eastAsia="仿宋" w:cs="仿宋"/>
          <w:b/>
        </w:rPr>
        <w:t>：</w:t>
      </w:r>
      <w:r>
        <w:rPr>
          <w:rFonts w:hint="eastAsia" w:ascii="仿宋" w:hAnsi="仿宋" w:eastAsia="仿宋" w:cs="仿宋"/>
        </w:rPr>
        <w:t>反映除上述项目以外其他用于民政管理事务的支出。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十五、社会保障和就业支出(类)行政事业单位养老支出(款)其他行政事业单位养老支出(项)</w:t>
      </w:r>
      <w:r>
        <w:rPr>
          <w:rFonts w:ascii="仿宋" w:hAnsi="仿宋" w:eastAsia="仿宋" w:cs="仿宋"/>
          <w:b/>
        </w:rPr>
        <w:t>：</w:t>
      </w:r>
      <w:r>
        <w:rPr>
          <w:rFonts w:hint="eastAsia" w:ascii="仿宋" w:hAnsi="仿宋" w:eastAsia="仿宋" w:cs="仿宋"/>
        </w:rPr>
        <w:t>反映除上述项目以外其他用于行政事业单位养老方面的支出。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十六、社会保障和就业支出(类)抚恤(款)其他优抚支出(项)</w:t>
      </w:r>
      <w:r>
        <w:rPr>
          <w:rFonts w:ascii="仿宋" w:hAnsi="仿宋" w:eastAsia="仿宋" w:cs="仿宋"/>
          <w:b/>
        </w:rPr>
        <w:t>：</w:t>
      </w:r>
      <w:r>
        <w:rPr>
          <w:rFonts w:hint="eastAsia" w:ascii="仿宋" w:hAnsi="仿宋" w:eastAsia="仿宋" w:cs="仿宋"/>
        </w:rPr>
        <w:t>反映除上述项目以外其他用于优抚方面的支出，包括向优抚对象发放的价格临时补贴、老烈士子女、老党员定期生活补助等支出。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十七、社会保障和就业支出(类)社会福利(款)社会福利事业单位(项)</w:t>
      </w:r>
      <w:r>
        <w:rPr>
          <w:rFonts w:ascii="仿宋" w:hAnsi="仿宋" w:eastAsia="仿宋" w:cs="仿宋"/>
          <w:b/>
        </w:rPr>
        <w:t>：</w:t>
      </w:r>
      <w:r>
        <w:rPr>
          <w:rFonts w:hint="eastAsia" w:ascii="仿宋" w:hAnsi="仿宋" w:eastAsia="仿宋" w:cs="仿宋"/>
        </w:rPr>
        <w:t>反映民政部门举办的社会福利事业单位的支出，以及对集体社会福利事业单位的补助费。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十八、社会保障和就业支出(类)临时救助(款)临时救助支出(项)</w:t>
      </w:r>
      <w:r>
        <w:rPr>
          <w:rFonts w:ascii="仿宋" w:hAnsi="仿宋" w:eastAsia="仿宋" w:cs="仿宋"/>
          <w:b/>
        </w:rPr>
        <w:t>：</w:t>
      </w:r>
      <w:r>
        <w:rPr>
          <w:rFonts w:hint="eastAsia" w:ascii="仿宋" w:hAnsi="仿宋" w:eastAsia="仿宋" w:cs="仿宋"/>
        </w:rPr>
        <w:t>反映用于城乡生活困难居民的临时救助支出。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十九、社会保障和就业支出(类)其他社会保障和就业支出(款)其他社会保障和就业支出(项)</w:t>
      </w:r>
      <w:r>
        <w:rPr>
          <w:rFonts w:ascii="仿宋" w:hAnsi="仿宋" w:eastAsia="仿宋" w:cs="仿宋"/>
          <w:b/>
        </w:rPr>
        <w:t>：</w:t>
      </w:r>
      <w:r>
        <w:rPr>
          <w:rFonts w:hint="eastAsia" w:ascii="仿宋" w:hAnsi="仿宋" w:eastAsia="仿宋" w:cs="仿宋"/>
        </w:rPr>
        <w:t>反映除上述项目以外其他用于社会保障和就业方面的支出。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二十一、住房保障支出(类)住房改革支出(款)提租补贴(项)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二十二、其他支出(类)彩票公益金安排的支出(款)用于社会福利的彩票公益金支出(项)</w:t>
      </w:r>
      <w:r>
        <w:rPr>
          <w:rFonts w:ascii="仿宋" w:hAnsi="仿宋" w:eastAsia="仿宋" w:cs="仿宋"/>
          <w:b/>
        </w:rPr>
        <w:t>：</w:t>
      </w:r>
      <w:r>
        <w:rPr>
          <w:rFonts w:hint="eastAsia" w:ascii="仿宋" w:hAnsi="仿宋" w:eastAsia="仿宋" w:cs="仿宋"/>
        </w:rPr>
        <w:t>反映用于社会福利和社会救助的彩票公益金支出。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二十三、其他支出(类)彩票公益金安排的支出(款)用于其他社会公益事业的彩票公益金支出(项)</w:t>
      </w:r>
      <w:r>
        <w:rPr>
          <w:rFonts w:ascii="仿宋" w:hAnsi="仿宋" w:eastAsia="仿宋" w:cs="仿宋"/>
          <w:b/>
        </w:rPr>
        <w:t>：</w:t>
      </w:r>
      <w:r>
        <w:rPr>
          <w:rFonts w:hint="eastAsia" w:ascii="仿宋" w:hAnsi="仿宋" w:eastAsia="仿宋" w:cs="仿宋"/>
        </w:rPr>
        <w:t>反映用于其他社会公益事业的彩票公益金支出。</w:t>
      </w:r>
    </w:p>
    <w:sectPr>
      <w:pgSz w:w="11906" w:h="16838"/>
      <w:pgMar w:top="1580" w:right="820" w:bottom="770" w:left="822"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Arial Unicode MS">
    <w:panose1 w:val="020B0604020202020204"/>
    <w:charset w:val="86"/>
    <w:family w:val="roman"/>
    <w:pitch w:val="default"/>
    <w:sig w:usb0="FFFFFFFF" w:usb1="E9FFFFFF"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2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ED5jvy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MHl++S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GirS3O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1Trgj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5"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BwACLS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0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KbVqde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EGyN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jPXmN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B/qTai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3HCLh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KSZdde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DdfFQLgBAABX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0n7qEL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HswWoe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江苏省民政厅</w:t>
    </w:r>
    <w:r>
      <w:t>2023年度部门预算公开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UwNWYwNGFmYzNiMTMwMzI4MzFhMzI2ZWRjOTFjMmMifQ=="/>
  </w:docVars>
  <w:rsids>
    <w:rsidRoot w:val="00000000"/>
    <w:rsid w:val="00064984"/>
    <w:rsid w:val="00071288"/>
    <w:rsid w:val="00071789"/>
    <w:rsid w:val="000F12AB"/>
    <w:rsid w:val="001C31F9"/>
    <w:rsid w:val="00407CA7"/>
    <w:rsid w:val="00413AD8"/>
    <w:rsid w:val="004460AE"/>
    <w:rsid w:val="005F037B"/>
    <w:rsid w:val="00671ED7"/>
    <w:rsid w:val="00672164"/>
    <w:rsid w:val="00867423"/>
    <w:rsid w:val="008B5B05"/>
    <w:rsid w:val="00925913"/>
    <w:rsid w:val="009965EA"/>
    <w:rsid w:val="00A61D7A"/>
    <w:rsid w:val="00A6752E"/>
    <w:rsid w:val="00BD7F33"/>
    <w:rsid w:val="00C15920"/>
    <w:rsid w:val="00C35C3A"/>
    <w:rsid w:val="00C82582"/>
    <w:rsid w:val="00F12F06"/>
    <w:rsid w:val="00FA3233"/>
    <w:rsid w:val="010F1E77"/>
    <w:rsid w:val="01200B85"/>
    <w:rsid w:val="012323F2"/>
    <w:rsid w:val="01250615"/>
    <w:rsid w:val="012A50BF"/>
    <w:rsid w:val="015B071F"/>
    <w:rsid w:val="01661111"/>
    <w:rsid w:val="017E3D30"/>
    <w:rsid w:val="01875334"/>
    <w:rsid w:val="018E7014"/>
    <w:rsid w:val="019803DB"/>
    <w:rsid w:val="01C21D36"/>
    <w:rsid w:val="01C22655"/>
    <w:rsid w:val="01CD5A6A"/>
    <w:rsid w:val="01D4677F"/>
    <w:rsid w:val="01F17DF5"/>
    <w:rsid w:val="022643FE"/>
    <w:rsid w:val="0231361C"/>
    <w:rsid w:val="023277C7"/>
    <w:rsid w:val="02420B21"/>
    <w:rsid w:val="026604FF"/>
    <w:rsid w:val="027F398B"/>
    <w:rsid w:val="02A822D0"/>
    <w:rsid w:val="02A9040F"/>
    <w:rsid w:val="02B14230"/>
    <w:rsid w:val="02C41DBA"/>
    <w:rsid w:val="02D43672"/>
    <w:rsid w:val="02D56677"/>
    <w:rsid w:val="02DD471D"/>
    <w:rsid w:val="02DF2FA6"/>
    <w:rsid w:val="02E539E2"/>
    <w:rsid w:val="02E8449D"/>
    <w:rsid w:val="02EB5F67"/>
    <w:rsid w:val="02F513AC"/>
    <w:rsid w:val="0306289F"/>
    <w:rsid w:val="03121471"/>
    <w:rsid w:val="03126CBF"/>
    <w:rsid w:val="033F3F8A"/>
    <w:rsid w:val="03453111"/>
    <w:rsid w:val="03635EB9"/>
    <w:rsid w:val="03673847"/>
    <w:rsid w:val="03690F36"/>
    <w:rsid w:val="03793778"/>
    <w:rsid w:val="039F7320"/>
    <w:rsid w:val="03A06F63"/>
    <w:rsid w:val="03A76AFB"/>
    <w:rsid w:val="03D04B72"/>
    <w:rsid w:val="03D2638C"/>
    <w:rsid w:val="03D34A4B"/>
    <w:rsid w:val="03F86EFB"/>
    <w:rsid w:val="04156348"/>
    <w:rsid w:val="042D0AE6"/>
    <w:rsid w:val="04301AF9"/>
    <w:rsid w:val="043C03D6"/>
    <w:rsid w:val="044E689B"/>
    <w:rsid w:val="045E5FB7"/>
    <w:rsid w:val="046D688B"/>
    <w:rsid w:val="0495610D"/>
    <w:rsid w:val="04AD7D7D"/>
    <w:rsid w:val="04DF580C"/>
    <w:rsid w:val="04E54727"/>
    <w:rsid w:val="04EA46EB"/>
    <w:rsid w:val="04FC61BF"/>
    <w:rsid w:val="05031920"/>
    <w:rsid w:val="05185546"/>
    <w:rsid w:val="052126A9"/>
    <w:rsid w:val="0524518E"/>
    <w:rsid w:val="05247FC3"/>
    <w:rsid w:val="05346113"/>
    <w:rsid w:val="05423E9C"/>
    <w:rsid w:val="05600A24"/>
    <w:rsid w:val="057525F6"/>
    <w:rsid w:val="057D4E99"/>
    <w:rsid w:val="05843580"/>
    <w:rsid w:val="058A7C48"/>
    <w:rsid w:val="058C526F"/>
    <w:rsid w:val="0598316E"/>
    <w:rsid w:val="059F005F"/>
    <w:rsid w:val="05AB4AE4"/>
    <w:rsid w:val="05BD2716"/>
    <w:rsid w:val="05BE0290"/>
    <w:rsid w:val="05C26309"/>
    <w:rsid w:val="05C73A91"/>
    <w:rsid w:val="05D02834"/>
    <w:rsid w:val="05DB339C"/>
    <w:rsid w:val="05FE3016"/>
    <w:rsid w:val="060036BC"/>
    <w:rsid w:val="06006806"/>
    <w:rsid w:val="0603001C"/>
    <w:rsid w:val="060D1C4C"/>
    <w:rsid w:val="061C50DF"/>
    <w:rsid w:val="06230B92"/>
    <w:rsid w:val="063A5C0D"/>
    <w:rsid w:val="06542957"/>
    <w:rsid w:val="0681129C"/>
    <w:rsid w:val="06814BC1"/>
    <w:rsid w:val="069443D9"/>
    <w:rsid w:val="0695552F"/>
    <w:rsid w:val="06C82C74"/>
    <w:rsid w:val="06C87B62"/>
    <w:rsid w:val="06CE7B40"/>
    <w:rsid w:val="06CF29F0"/>
    <w:rsid w:val="06DF6D8E"/>
    <w:rsid w:val="06F64F39"/>
    <w:rsid w:val="072A453E"/>
    <w:rsid w:val="073A470E"/>
    <w:rsid w:val="074746B7"/>
    <w:rsid w:val="07502153"/>
    <w:rsid w:val="07520D7A"/>
    <w:rsid w:val="075575FE"/>
    <w:rsid w:val="07580A5A"/>
    <w:rsid w:val="07605D4D"/>
    <w:rsid w:val="07656047"/>
    <w:rsid w:val="077C711D"/>
    <w:rsid w:val="0791508D"/>
    <w:rsid w:val="079361A1"/>
    <w:rsid w:val="079544D8"/>
    <w:rsid w:val="07BE5639"/>
    <w:rsid w:val="07C509DD"/>
    <w:rsid w:val="07E94F52"/>
    <w:rsid w:val="07ED0853"/>
    <w:rsid w:val="0802783B"/>
    <w:rsid w:val="08031AA7"/>
    <w:rsid w:val="0806186F"/>
    <w:rsid w:val="081B2715"/>
    <w:rsid w:val="082E3E50"/>
    <w:rsid w:val="083365CC"/>
    <w:rsid w:val="083B723A"/>
    <w:rsid w:val="084A66D7"/>
    <w:rsid w:val="08582C83"/>
    <w:rsid w:val="0860441B"/>
    <w:rsid w:val="086A0004"/>
    <w:rsid w:val="088901F8"/>
    <w:rsid w:val="08913758"/>
    <w:rsid w:val="08931509"/>
    <w:rsid w:val="08A333FC"/>
    <w:rsid w:val="08B16290"/>
    <w:rsid w:val="08BD1AAD"/>
    <w:rsid w:val="08D342E7"/>
    <w:rsid w:val="08E134F8"/>
    <w:rsid w:val="08FC0605"/>
    <w:rsid w:val="08FE52B0"/>
    <w:rsid w:val="090F5FB7"/>
    <w:rsid w:val="09165D85"/>
    <w:rsid w:val="092660BA"/>
    <w:rsid w:val="0932487E"/>
    <w:rsid w:val="09335ED1"/>
    <w:rsid w:val="093E6258"/>
    <w:rsid w:val="096204B4"/>
    <w:rsid w:val="096B0C35"/>
    <w:rsid w:val="09755324"/>
    <w:rsid w:val="09891979"/>
    <w:rsid w:val="098926B4"/>
    <w:rsid w:val="09984875"/>
    <w:rsid w:val="09C976A3"/>
    <w:rsid w:val="09D842BB"/>
    <w:rsid w:val="09E82283"/>
    <w:rsid w:val="09EB3C7D"/>
    <w:rsid w:val="09F032D5"/>
    <w:rsid w:val="09F45579"/>
    <w:rsid w:val="09FE0C6E"/>
    <w:rsid w:val="0A097E66"/>
    <w:rsid w:val="0A0C628A"/>
    <w:rsid w:val="0A112BB9"/>
    <w:rsid w:val="0A1D215F"/>
    <w:rsid w:val="0A2639C8"/>
    <w:rsid w:val="0A3F45FE"/>
    <w:rsid w:val="0A401C98"/>
    <w:rsid w:val="0A6747AF"/>
    <w:rsid w:val="0A7F08D2"/>
    <w:rsid w:val="0A964BFD"/>
    <w:rsid w:val="0AA075CB"/>
    <w:rsid w:val="0AAE2A44"/>
    <w:rsid w:val="0AC21E5D"/>
    <w:rsid w:val="0AC55FA1"/>
    <w:rsid w:val="0ADA70C2"/>
    <w:rsid w:val="0AFD463B"/>
    <w:rsid w:val="0B05614C"/>
    <w:rsid w:val="0B134992"/>
    <w:rsid w:val="0B160131"/>
    <w:rsid w:val="0B230AE7"/>
    <w:rsid w:val="0B2A7862"/>
    <w:rsid w:val="0B307A4D"/>
    <w:rsid w:val="0B392278"/>
    <w:rsid w:val="0B47682F"/>
    <w:rsid w:val="0B7D689F"/>
    <w:rsid w:val="0B813D25"/>
    <w:rsid w:val="0B830273"/>
    <w:rsid w:val="0B89728A"/>
    <w:rsid w:val="0B927AE0"/>
    <w:rsid w:val="0BAC43D1"/>
    <w:rsid w:val="0BBA5B2E"/>
    <w:rsid w:val="0BC71572"/>
    <w:rsid w:val="0BCF6DAD"/>
    <w:rsid w:val="0BF41C52"/>
    <w:rsid w:val="0C047996"/>
    <w:rsid w:val="0C163DEC"/>
    <w:rsid w:val="0C2215AA"/>
    <w:rsid w:val="0C276CFA"/>
    <w:rsid w:val="0C6536DB"/>
    <w:rsid w:val="0C797590"/>
    <w:rsid w:val="0C8331D2"/>
    <w:rsid w:val="0C887036"/>
    <w:rsid w:val="0CA85DF1"/>
    <w:rsid w:val="0CD230A9"/>
    <w:rsid w:val="0CD65166"/>
    <w:rsid w:val="0CDB2BBC"/>
    <w:rsid w:val="0CE84C0B"/>
    <w:rsid w:val="0CEF2113"/>
    <w:rsid w:val="0CEF2581"/>
    <w:rsid w:val="0CF6511F"/>
    <w:rsid w:val="0D05225F"/>
    <w:rsid w:val="0D135B57"/>
    <w:rsid w:val="0D261419"/>
    <w:rsid w:val="0D5C0A4E"/>
    <w:rsid w:val="0D617032"/>
    <w:rsid w:val="0D6C5D61"/>
    <w:rsid w:val="0D710964"/>
    <w:rsid w:val="0D760FDB"/>
    <w:rsid w:val="0D7F345D"/>
    <w:rsid w:val="0D967B5D"/>
    <w:rsid w:val="0DAC0D2B"/>
    <w:rsid w:val="0DC6242A"/>
    <w:rsid w:val="0DD06A00"/>
    <w:rsid w:val="0DE15F97"/>
    <w:rsid w:val="0DEA4D10"/>
    <w:rsid w:val="0DF26A45"/>
    <w:rsid w:val="0DFC3CDF"/>
    <w:rsid w:val="0DFD772C"/>
    <w:rsid w:val="0DFF5826"/>
    <w:rsid w:val="0E1F1C4F"/>
    <w:rsid w:val="0E27451D"/>
    <w:rsid w:val="0E360EBF"/>
    <w:rsid w:val="0E446C91"/>
    <w:rsid w:val="0E5E7568"/>
    <w:rsid w:val="0E662847"/>
    <w:rsid w:val="0E931E6B"/>
    <w:rsid w:val="0E94230E"/>
    <w:rsid w:val="0E9B0E3D"/>
    <w:rsid w:val="0EE37775"/>
    <w:rsid w:val="0EEB14E4"/>
    <w:rsid w:val="0EFE25F0"/>
    <w:rsid w:val="0F074533"/>
    <w:rsid w:val="0F126197"/>
    <w:rsid w:val="0F160696"/>
    <w:rsid w:val="0F196D84"/>
    <w:rsid w:val="0F35442E"/>
    <w:rsid w:val="0F405BCB"/>
    <w:rsid w:val="0F5D08F2"/>
    <w:rsid w:val="0F636360"/>
    <w:rsid w:val="0F6874F8"/>
    <w:rsid w:val="0F722DC1"/>
    <w:rsid w:val="0F807B33"/>
    <w:rsid w:val="0F8F17E6"/>
    <w:rsid w:val="0F951429"/>
    <w:rsid w:val="0FA12FE2"/>
    <w:rsid w:val="0FA87597"/>
    <w:rsid w:val="0FB02B15"/>
    <w:rsid w:val="0FB21F29"/>
    <w:rsid w:val="0FB47D1E"/>
    <w:rsid w:val="0FCE598D"/>
    <w:rsid w:val="0FD04F5B"/>
    <w:rsid w:val="0FEF37CA"/>
    <w:rsid w:val="0FF3733C"/>
    <w:rsid w:val="100928FC"/>
    <w:rsid w:val="101C6AA7"/>
    <w:rsid w:val="10201C61"/>
    <w:rsid w:val="10223EE6"/>
    <w:rsid w:val="1027035F"/>
    <w:rsid w:val="102A69EF"/>
    <w:rsid w:val="103D6600"/>
    <w:rsid w:val="10566122"/>
    <w:rsid w:val="106204CB"/>
    <w:rsid w:val="10A90FB7"/>
    <w:rsid w:val="10EE0376"/>
    <w:rsid w:val="10F05AC0"/>
    <w:rsid w:val="11037A82"/>
    <w:rsid w:val="1106739D"/>
    <w:rsid w:val="11082369"/>
    <w:rsid w:val="11092167"/>
    <w:rsid w:val="110C3973"/>
    <w:rsid w:val="110D47B0"/>
    <w:rsid w:val="11110225"/>
    <w:rsid w:val="111930E1"/>
    <w:rsid w:val="11252430"/>
    <w:rsid w:val="1143676B"/>
    <w:rsid w:val="11471791"/>
    <w:rsid w:val="115455AE"/>
    <w:rsid w:val="11566852"/>
    <w:rsid w:val="11665F46"/>
    <w:rsid w:val="11731E49"/>
    <w:rsid w:val="117C1012"/>
    <w:rsid w:val="11872569"/>
    <w:rsid w:val="118B4C58"/>
    <w:rsid w:val="11AB09B5"/>
    <w:rsid w:val="11C36B1F"/>
    <w:rsid w:val="11C52DC5"/>
    <w:rsid w:val="11F13A70"/>
    <w:rsid w:val="11F221C7"/>
    <w:rsid w:val="11F2605E"/>
    <w:rsid w:val="11F724E3"/>
    <w:rsid w:val="120D722B"/>
    <w:rsid w:val="120E398D"/>
    <w:rsid w:val="122227BF"/>
    <w:rsid w:val="12313173"/>
    <w:rsid w:val="12313682"/>
    <w:rsid w:val="12417561"/>
    <w:rsid w:val="124507C4"/>
    <w:rsid w:val="125C02AF"/>
    <w:rsid w:val="12613C4A"/>
    <w:rsid w:val="12747306"/>
    <w:rsid w:val="128157F4"/>
    <w:rsid w:val="12B566A2"/>
    <w:rsid w:val="12BB25EA"/>
    <w:rsid w:val="12C448B1"/>
    <w:rsid w:val="12C80F12"/>
    <w:rsid w:val="12F05187"/>
    <w:rsid w:val="12F12F8E"/>
    <w:rsid w:val="13082AF4"/>
    <w:rsid w:val="13142710"/>
    <w:rsid w:val="1335650B"/>
    <w:rsid w:val="133E1FA2"/>
    <w:rsid w:val="134640CA"/>
    <w:rsid w:val="1393557C"/>
    <w:rsid w:val="139377AA"/>
    <w:rsid w:val="13A44407"/>
    <w:rsid w:val="13BF1F88"/>
    <w:rsid w:val="13D61754"/>
    <w:rsid w:val="13E2730D"/>
    <w:rsid w:val="13F85ED3"/>
    <w:rsid w:val="140626B0"/>
    <w:rsid w:val="140C350F"/>
    <w:rsid w:val="14176DEC"/>
    <w:rsid w:val="14207DA2"/>
    <w:rsid w:val="142101C9"/>
    <w:rsid w:val="1426656E"/>
    <w:rsid w:val="14290F74"/>
    <w:rsid w:val="143016E3"/>
    <w:rsid w:val="143164E8"/>
    <w:rsid w:val="14341A45"/>
    <w:rsid w:val="14677E98"/>
    <w:rsid w:val="146856DB"/>
    <w:rsid w:val="147E4E1C"/>
    <w:rsid w:val="14933F94"/>
    <w:rsid w:val="14A601B4"/>
    <w:rsid w:val="14AA0D30"/>
    <w:rsid w:val="14BA3B44"/>
    <w:rsid w:val="14BC5944"/>
    <w:rsid w:val="1504334D"/>
    <w:rsid w:val="15085477"/>
    <w:rsid w:val="15301F7D"/>
    <w:rsid w:val="15510701"/>
    <w:rsid w:val="15664CCA"/>
    <w:rsid w:val="15751E1E"/>
    <w:rsid w:val="159E0364"/>
    <w:rsid w:val="15A6321E"/>
    <w:rsid w:val="15A93A1E"/>
    <w:rsid w:val="15B93CF7"/>
    <w:rsid w:val="15BC393E"/>
    <w:rsid w:val="15D36B14"/>
    <w:rsid w:val="16053674"/>
    <w:rsid w:val="16146EAD"/>
    <w:rsid w:val="161A451C"/>
    <w:rsid w:val="161E395E"/>
    <w:rsid w:val="1621543B"/>
    <w:rsid w:val="1624624B"/>
    <w:rsid w:val="16362556"/>
    <w:rsid w:val="163E1726"/>
    <w:rsid w:val="164E09AC"/>
    <w:rsid w:val="165D4EE7"/>
    <w:rsid w:val="165F31F4"/>
    <w:rsid w:val="1668038E"/>
    <w:rsid w:val="16761AB0"/>
    <w:rsid w:val="167F1A6B"/>
    <w:rsid w:val="16971C37"/>
    <w:rsid w:val="16BC7A59"/>
    <w:rsid w:val="16BE14E7"/>
    <w:rsid w:val="16BE34FA"/>
    <w:rsid w:val="16E22E32"/>
    <w:rsid w:val="16ED632E"/>
    <w:rsid w:val="170E72F7"/>
    <w:rsid w:val="1717031D"/>
    <w:rsid w:val="171E4E0F"/>
    <w:rsid w:val="174C5C53"/>
    <w:rsid w:val="175D47C3"/>
    <w:rsid w:val="17A3379A"/>
    <w:rsid w:val="17AA17F9"/>
    <w:rsid w:val="17BB6387"/>
    <w:rsid w:val="17BC2D29"/>
    <w:rsid w:val="17CE15BC"/>
    <w:rsid w:val="17E30A34"/>
    <w:rsid w:val="18001707"/>
    <w:rsid w:val="1808589E"/>
    <w:rsid w:val="18222DA8"/>
    <w:rsid w:val="18272F04"/>
    <w:rsid w:val="183338BA"/>
    <w:rsid w:val="18473583"/>
    <w:rsid w:val="18524953"/>
    <w:rsid w:val="186600A5"/>
    <w:rsid w:val="18794B37"/>
    <w:rsid w:val="18881E90"/>
    <w:rsid w:val="188B47DF"/>
    <w:rsid w:val="18916DBC"/>
    <w:rsid w:val="18AA3C15"/>
    <w:rsid w:val="18C07826"/>
    <w:rsid w:val="18C459C9"/>
    <w:rsid w:val="18C77023"/>
    <w:rsid w:val="18D61672"/>
    <w:rsid w:val="18EF66F3"/>
    <w:rsid w:val="18FD3C01"/>
    <w:rsid w:val="19195D82"/>
    <w:rsid w:val="191C7DE1"/>
    <w:rsid w:val="19343FC3"/>
    <w:rsid w:val="19414FE0"/>
    <w:rsid w:val="194A216C"/>
    <w:rsid w:val="194C63DF"/>
    <w:rsid w:val="19517451"/>
    <w:rsid w:val="196D1879"/>
    <w:rsid w:val="19894C4A"/>
    <w:rsid w:val="19902294"/>
    <w:rsid w:val="199B578D"/>
    <w:rsid w:val="199D3E22"/>
    <w:rsid w:val="19A676CD"/>
    <w:rsid w:val="19B34CEE"/>
    <w:rsid w:val="19C57B31"/>
    <w:rsid w:val="19CE54E8"/>
    <w:rsid w:val="19DA0E66"/>
    <w:rsid w:val="1A0868DE"/>
    <w:rsid w:val="1A1F3D9C"/>
    <w:rsid w:val="1A386BB6"/>
    <w:rsid w:val="1A3E0B9C"/>
    <w:rsid w:val="1A641248"/>
    <w:rsid w:val="1A69798E"/>
    <w:rsid w:val="1A6B178B"/>
    <w:rsid w:val="1A777E45"/>
    <w:rsid w:val="1A980FA1"/>
    <w:rsid w:val="1AB47408"/>
    <w:rsid w:val="1AD90120"/>
    <w:rsid w:val="1ADD7704"/>
    <w:rsid w:val="1AEB035A"/>
    <w:rsid w:val="1AF0114F"/>
    <w:rsid w:val="1B0C3664"/>
    <w:rsid w:val="1B136BC2"/>
    <w:rsid w:val="1B1C5890"/>
    <w:rsid w:val="1B1D0ABE"/>
    <w:rsid w:val="1B2F4D83"/>
    <w:rsid w:val="1B304188"/>
    <w:rsid w:val="1B304996"/>
    <w:rsid w:val="1B363B76"/>
    <w:rsid w:val="1B394ECA"/>
    <w:rsid w:val="1B401513"/>
    <w:rsid w:val="1B6F2A95"/>
    <w:rsid w:val="1B7011A6"/>
    <w:rsid w:val="1B785235"/>
    <w:rsid w:val="1B792ACF"/>
    <w:rsid w:val="1B840862"/>
    <w:rsid w:val="1B894395"/>
    <w:rsid w:val="1BB55613"/>
    <w:rsid w:val="1BC27E9A"/>
    <w:rsid w:val="1BC50E0F"/>
    <w:rsid w:val="1BC6758D"/>
    <w:rsid w:val="1BC84BF9"/>
    <w:rsid w:val="1BCA1AE9"/>
    <w:rsid w:val="1BD968B0"/>
    <w:rsid w:val="1BE008E5"/>
    <w:rsid w:val="1BE426E0"/>
    <w:rsid w:val="1BEF5EDC"/>
    <w:rsid w:val="1BF3045F"/>
    <w:rsid w:val="1C0C63DC"/>
    <w:rsid w:val="1C136791"/>
    <w:rsid w:val="1C171374"/>
    <w:rsid w:val="1C2E7658"/>
    <w:rsid w:val="1C3911E9"/>
    <w:rsid w:val="1C460024"/>
    <w:rsid w:val="1C4928ED"/>
    <w:rsid w:val="1C545CAF"/>
    <w:rsid w:val="1C706707"/>
    <w:rsid w:val="1C8F4549"/>
    <w:rsid w:val="1C923280"/>
    <w:rsid w:val="1C9B1094"/>
    <w:rsid w:val="1C9D7829"/>
    <w:rsid w:val="1CA25487"/>
    <w:rsid w:val="1CAD7144"/>
    <w:rsid w:val="1CD05B49"/>
    <w:rsid w:val="1CD53375"/>
    <w:rsid w:val="1CD770E1"/>
    <w:rsid w:val="1CDF3C35"/>
    <w:rsid w:val="1CE24559"/>
    <w:rsid w:val="1CE7284C"/>
    <w:rsid w:val="1CED64E7"/>
    <w:rsid w:val="1CF655C7"/>
    <w:rsid w:val="1CF70CE3"/>
    <w:rsid w:val="1D0936F0"/>
    <w:rsid w:val="1D0E4D1B"/>
    <w:rsid w:val="1D0F64B4"/>
    <w:rsid w:val="1D103F06"/>
    <w:rsid w:val="1D201166"/>
    <w:rsid w:val="1D3214B5"/>
    <w:rsid w:val="1D383DB3"/>
    <w:rsid w:val="1D387361"/>
    <w:rsid w:val="1D387D1B"/>
    <w:rsid w:val="1D552DD9"/>
    <w:rsid w:val="1D5A4782"/>
    <w:rsid w:val="1D623037"/>
    <w:rsid w:val="1D672CB3"/>
    <w:rsid w:val="1D7C0925"/>
    <w:rsid w:val="1D817975"/>
    <w:rsid w:val="1D8D6595"/>
    <w:rsid w:val="1D906641"/>
    <w:rsid w:val="1D93356C"/>
    <w:rsid w:val="1D951979"/>
    <w:rsid w:val="1DA8336C"/>
    <w:rsid w:val="1DAF110E"/>
    <w:rsid w:val="1DB61054"/>
    <w:rsid w:val="1DB87467"/>
    <w:rsid w:val="1DC94431"/>
    <w:rsid w:val="1DD028C9"/>
    <w:rsid w:val="1DD2622D"/>
    <w:rsid w:val="1DF402E5"/>
    <w:rsid w:val="1E0F2F88"/>
    <w:rsid w:val="1E107489"/>
    <w:rsid w:val="1E120047"/>
    <w:rsid w:val="1E2456FC"/>
    <w:rsid w:val="1E2B042A"/>
    <w:rsid w:val="1E387717"/>
    <w:rsid w:val="1E4314E9"/>
    <w:rsid w:val="1E5227F5"/>
    <w:rsid w:val="1E5841ED"/>
    <w:rsid w:val="1E5939DF"/>
    <w:rsid w:val="1E5B1486"/>
    <w:rsid w:val="1E6C2CB1"/>
    <w:rsid w:val="1E802C45"/>
    <w:rsid w:val="1E845937"/>
    <w:rsid w:val="1E86604F"/>
    <w:rsid w:val="1E8B2478"/>
    <w:rsid w:val="1EA55F87"/>
    <w:rsid w:val="1EB14C1F"/>
    <w:rsid w:val="1EBB4C20"/>
    <w:rsid w:val="1EC57AB3"/>
    <w:rsid w:val="1ECE40F1"/>
    <w:rsid w:val="1EF33AAB"/>
    <w:rsid w:val="1EF93282"/>
    <w:rsid w:val="1EFC05DA"/>
    <w:rsid w:val="1F242409"/>
    <w:rsid w:val="1F316BB4"/>
    <w:rsid w:val="1F336463"/>
    <w:rsid w:val="1F342CDC"/>
    <w:rsid w:val="1F4E1AE0"/>
    <w:rsid w:val="1F5838AB"/>
    <w:rsid w:val="1F721347"/>
    <w:rsid w:val="1F7237CF"/>
    <w:rsid w:val="1F724421"/>
    <w:rsid w:val="1F8122F8"/>
    <w:rsid w:val="1F8B39C7"/>
    <w:rsid w:val="1F8C1569"/>
    <w:rsid w:val="1FA17CC2"/>
    <w:rsid w:val="1FB1012B"/>
    <w:rsid w:val="1FD5645B"/>
    <w:rsid w:val="1FD866E0"/>
    <w:rsid w:val="1FE16BA6"/>
    <w:rsid w:val="1FEA282E"/>
    <w:rsid w:val="1FF92872"/>
    <w:rsid w:val="1FFE4976"/>
    <w:rsid w:val="200945DD"/>
    <w:rsid w:val="200B03E4"/>
    <w:rsid w:val="200E293D"/>
    <w:rsid w:val="201802D4"/>
    <w:rsid w:val="203E1903"/>
    <w:rsid w:val="203E1A00"/>
    <w:rsid w:val="20571955"/>
    <w:rsid w:val="20594713"/>
    <w:rsid w:val="20623C07"/>
    <w:rsid w:val="20632091"/>
    <w:rsid w:val="20900DEF"/>
    <w:rsid w:val="209B6228"/>
    <w:rsid w:val="20C60ED2"/>
    <w:rsid w:val="20C936CA"/>
    <w:rsid w:val="20CA3D8E"/>
    <w:rsid w:val="20D220E2"/>
    <w:rsid w:val="20F544F1"/>
    <w:rsid w:val="21203D8A"/>
    <w:rsid w:val="2148186B"/>
    <w:rsid w:val="21650D4A"/>
    <w:rsid w:val="21776D10"/>
    <w:rsid w:val="21866291"/>
    <w:rsid w:val="218F0CEB"/>
    <w:rsid w:val="218F78F2"/>
    <w:rsid w:val="21A55BAA"/>
    <w:rsid w:val="21D50133"/>
    <w:rsid w:val="21EA64FE"/>
    <w:rsid w:val="22145011"/>
    <w:rsid w:val="223D4452"/>
    <w:rsid w:val="223F0861"/>
    <w:rsid w:val="22442034"/>
    <w:rsid w:val="224F77DA"/>
    <w:rsid w:val="227347E3"/>
    <w:rsid w:val="227D4749"/>
    <w:rsid w:val="22812FB7"/>
    <w:rsid w:val="228D26CE"/>
    <w:rsid w:val="229E476C"/>
    <w:rsid w:val="22B66C67"/>
    <w:rsid w:val="22B96619"/>
    <w:rsid w:val="22C32A6D"/>
    <w:rsid w:val="22C9349D"/>
    <w:rsid w:val="22CF4CB9"/>
    <w:rsid w:val="22E5714F"/>
    <w:rsid w:val="22E640D2"/>
    <w:rsid w:val="22F9307D"/>
    <w:rsid w:val="22FF181D"/>
    <w:rsid w:val="23017A9F"/>
    <w:rsid w:val="23073234"/>
    <w:rsid w:val="23153D35"/>
    <w:rsid w:val="231859C4"/>
    <w:rsid w:val="233651B2"/>
    <w:rsid w:val="233C5C01"/>
    <w:rsid w:val="234F51B0"/>
    <w:rsid w:val="23655593"/>
    <w:rsid w:val="237119E0"/>
    <w:rsid w:val="23873CA0"/>
    <w:rsid w:val="239B7C6E"/>
    <w:rsid w:val="23A668C2"/>
    <w:rsid w:val="23C56A83"/>
    <w:rsid w:val="23CC14AA"/>
    <w:rsid w:val="23D87A5D"/>
    <w:rsid w:val="23F81D1C"/>
    <w:rsid w:val="23F87AE8"/>
    <w:rsid w:val="24004EF0"/>
    <w:rsid w:val="241C168B"/>
    <w:rsid w:val="242403FF"/>
    <w:rsid w:val="242B2707"/>
    <w:rsid w:val="24361C71"/>
    <w:rsid w:val="2443382C"/>
    <w:rsid w:val="244706D0"/>
    <w:rsid w:val="244E4876"/>
    <w:rsid w:val="2455798C"/>
    <w:rsid w:val="246E4FE1"/>
    <w:rsid w:val="247771B1"/>
    <w:rsid w:val="24797436"/>
    <w:rsid w:val="24893698"/>
    <w:rsid w:val="248A0DA1"/>
    <w:rsid w:val="248B0DC9"/>
    <w:rsid w:val="24EF440E"/>
    <w:rsid w:val="25175618"/>
    <w:rsid w:val="25191A92"/>
    <w:rsid w:val="25290357"/>
    <w:rsid w:val="253C3B25"/>
    <w:rsid w:val="255657E1"/>
    <w:rsid w:val="255973A9"/>
    <w:rsid w:val="255F5B0A"/>
    <w:rsid w:val="2562495D"/>
    <w:rsid w:val="2565212F"/>
    <w:rsid w:val="25664EB1"/>
    <w:rsid w:val="2573629D"/>
    <w:rsid w:val="257B7E43"/>
    <w:rsid w:val="257E4B14"/>
    <w:rsid w:val="257F631A"/>
    <w:rsid w:val="2581181F"/>
    <w:rsid w:val="258471C2"/>
    <w:rsid w:val="258B7C76"/>
    <w:rsid w:val="259D492D"/>
    <w:rsid w:val="25A120E6"/>
    <w:rsid w:val="25A36C3A"/>
    <w:rsid w:val="25A62926"/>
    <w:rsid w:val="25A7022D"/>
    <w:rsid w:val="25AA772C"/>
    <w:rsid w:val="25BD0276"/>
    <w:rsid w:val="25E2513A"/>
    <w:rsid w:val="25F45922"/>
    <w:rsid w:val="25FD2F48"/>
    <w:rsid w:val="260419A0"/>
    <w:rsid w:val="262D4206"/>
    <w:rsid w:val="262E21CA"/>
    <w:rsid w:val="2650449B"/>
    <w:rsid w:val="26523500"/>
    <w:rsid w:val="2657371E"/>
    <w:rsid w:val="26713F63"/>
    <w:rsid w:val="26753166"/>
    <w:rsid w:val="267C5A99"/>
    <w:rsid w:val="2682148D"/>
    <w:rsid w:val="26874807"/>
    <w:rsid w:val="268D22B5"/>
    <w:rsid w:val="269240CC"/>
    <w:rsid w:val="26955595"/>
    <w:rsid w:val="269A47B4"/>
    <w:rsid w:val="26CC2C30"/>
    <w:rsid w:val="26E269B0"/>
    <w:rsid w:val="26EC7F5B"/>
    <w:rsid w:val="27175BDC"/>
    <w:rsid w:val="271B5FAA"/>
    <w:rsid w:val="271E071C"/>
    <w:rsid w:val="272B00CD"/>
    <w:rsid w:val="27381EB7"/>
    <w:rsid w:val="27391B86"/>
    <w:rsid w:val="27504A85"/>
    <w:rsid w:val="275E5E47"/>
    <w:rsid w:val="27924AA1"/>
    <w:rsid w:val="27962E21"/>
    <w:rsid w:val="2796479F"/>
    <w:rsid w:val="279768B3"/>
    <w:rsid w:val="279A19EA"/>
    <w:rsid w:val="279C172C"/>
    <w:rsid w:val="27A565BD"/>
    <w:rsid w:val="27B169B4"/>
    <w:rsid w:val="27B911ED"/>
    <w:rsid w:val="27C54989"/>
    <w:rsid w:val="27D27F60"/>
    <w:rsid w:val="27E744FA"/>
    <w:rsid w:val="27E83986"/>
    <w:rsid w:val="27F44081"/>
    <w:rsid w:val="27F83B89"/>
    <w:rsid w:val="27FE146D"/>
    <w:rsid w:val="283A041C"/>
    <w:rsid w:val="283E36E3"/>
    <w:rsid w:val="284675E2"/>
    <w:rsid w:val="284E0B22"/>
    <w:rsid w:val="28543497"/>
    <w:rsid w:val="285964FE"/>
    <w:rsid w:val="28630B61"/>
    <w:rsid w:val="286C012F"/>
    <w:rsid w:val="28801A49"/>
    <w:rsid w:val="288A740B"/>
    <w:rsid w:val="289B5942"/>
    <w:rsid w:val="289F43E5"/>
    <w:rsid w:val="28B77612"/>
    <w:rsid w:val="28BB465F"/>
    <w:rsid w:val="28DD5583"/>
    <w:rsid w:val="28EA0128"/>
    <w:rsid w:val="28EE3B49"/>
    <w:rsid w:val="28FF185C"/>
    <w:rsid w:val="29012269"/>
    <w:rsid w:val="290B3CDD"/>
    <w:rsid w:val="291451AB"/>
    <w:rsid w:val="29157417"/>
    <w:rsid w:val="291E50DC"/>
    <w:rsid w:val="29285E0F"/>
    <w:rsid w:val="29324D22"/>
    <w:rsid w:val="293D797A"/>
    <w:rsid w:val="29505C1F"/>
    <w:rsid w:val="29516A39"/>
    <w:rsid w:val="29590599"/>
    <w:rsid w:val="295D585C"/>
    <w:rsid w:val="29632CC6"/>
    <w:rsid w:val="297158AB"/>
    <w:rsid w:val="29807966"/>
    <w:rsid w:val="298714AD"/>
    <w:rsid w:val="29C02FCD"/>
    <w:rsid w:val="29C10231"/>
    <w:rsid w:val="29C63807"/>
    <w:rsid w:val="29D82305"/>
    <w:rsid w:val="29EB45D3"/>
    <w:rsid w:val="29F940E1"/>
    <w:rsid w:val="2A0312F6"/>
    <w:rsid w:val="2A07685B"/>
    <w:rsid w:val="2A2569D8"/>
    <w:rsid w:val="2A2F7528"/>
    <w:rsid w:val="2A392EFC"/>
    <w:rsid w:val="2A3E46F3"/>
    <w:rsid w:val="2A5338A7"/>
    <w:rsid w:val="2A660CEE"/>
    <w:rsid w:val="2A7975D0"/>
    <w:rsid w:val="2A7B46D0"/>
    <w:rsid w:val="2A7E694A"/>
    <w:rsid w:val="2A7F12E2"/>
    <w:rsid w:val="2A88405F"/>
    <w:rsid w:val="2AC03F74"/>
    <w:rsid w:val="2ACD4D90"/>
    <w:rsid w:val="2ADC43C4"/>
    <w:rsid w:val="2AE07B98"/>
    <w:rsid w:val="2B0D7B3A"/>
    <w:rsid w:val="2B160173"/>
    <w:rsid w:val="2B17222B"/>
    <w:rsid w:val="2B1B36C2"/>
    <w:rsid w:val="2B262263"/>
    <w:rsid w:val="2B2D7A14"/>
    <w:rsid w:val="2B4701CA"/>
    <w:rsid w:val="2B62668E"/>
    <w:rsid w:val="2B7874BE"/>
    <w:rsid w:val="2B7A42C1"/>
    <w:rsid w:val="2B82668D"/>
    <w:rsid w:val="2B8F49BB"/>
    <w:rsid w:val="2BB75736"/>
    <w:rsid w:val="2BBA10FA"/>
    <w:rsid w:val="2BBF0C02"/>
    <w:rsid w:val="2BDD28EB"/>
    <w:rsid w:val="2BF43094"/>
    <w:rsid w:val="2BF909AA"/>
    <w:rsid w:val="2C0757B7"/>
    <w:rsid w:val="2C365068"/>
    <w:rsid w:val="2C4B5707"/>
    <w:rsid w:val="2C57786C"/>
    <w:rsid w:val="2C595430"/>
    <w:rsid w:val="2C660130"/>
    <w:rsid w:val="2C6B03A2"/>
    <w:rsid w:val="2C95017E"/>
    <w:rsid w:val="2C9B2015"/>
    <w:rsid w:val="2CA1010B"/>
    <w:rsid w:val="2CAE33C9"/>
    <w:rsid w:val="2CB9711D"/>
    <w:rsid w:val="2CD62921"/>
    <w:rsid w:val="2CF3363A"/>
    <w:rsid w:val="2D0009BD"/>
    <w:rsid w:val="2D000C25"/>
    <w:rsid w:val="2D0F4DB4"/>
    <w:rsid w:val="2D1F79A4"/>
    <w:rsid w:val="2D2D36A5"/>
    <w:rsid w:val="2D365B16"/>
    <w:rsid w:val="2D3D34A6"/>
    <w:rsid w:val="2D47011F"/>
    <w:rsid w:val="2D51670C"/>
    <w:rsid w:val="2D557C2D"/>
    <w:rsid w:val="2D5646DC"/>
    <w:rsid w:val="2D6D2070"/>
    <w:rsid w:val="2D9D0838"/>
    <w:rsid w:val="2DB652A4"/>
    <w:rsid w:val="2DB943B8"/>
    <w:rsid w:val="2DBB2419"/>
    <w:rsid w:val="2DBF7001"/>
    <w:rsid w:val="2DC26166"/>
    <w:rsid w:val="2DEA2F76"/>
    <w:rsid w:val="2DF041FF"/>
    <w:rsid w:val="2DF76E1B"/>
    <w:rsid w:val="2E0A69BF"/>
    <w:rsid w:val="2E0C1219"/>
    <w:rsid w:val="2E10357E"/>
    <w:rsid w:val="2E144C9C"/>
    <w:rsid w:val="2E177A17"/>
    <w:rsid w:val="2E1B30B3"/>
    <w:rsid w:val="2E1E59CA"/>
    <w:rsid w:val="2E3E487D"/>
    <w:rsid w:val="2E41360C"/>
    <w:rsid w:val="2E475DA4"/>
    <w:rsid w:val="2E607FBE"/>
    <w:rsid w:val="2E615CAF"/>
    <w:rsid w:val="2E64456A"/>
    <w:rsid w:val="2E7264C5"/>
    <w:rsid w:val="2E7653DE"/>
    <w:rsid w:val="2E784538"/>
    <w:rsid w:val="2E7B7058"/>
    <w:rsid w:val="2E842882"/>
    <w:rsid w:val="2E8C6A3D"/>
    <w:rsid w:val="2EB508B8"/>
    <w:rsid w:val="2EC45F4F"/>
    <w:rsid w:val="2ED06B9A"/>
    <w:rsid w:val="2ED71BB4"/>
    <w:rsid w:val="2EDB413D"/>
    <w:rsid w:val="2F04472C"/>
    <w:rsid w:val="2F066396"/>
    <w:rsid w:val="2F1835B8"/>
    <w:rsid w:val="2F184426"/>
    <w:rsid w:val="2F2655A5"/>
    <w:rsid w:val="2F2B2982"/>
    <w:rsid w:val="2F30138F"/>
    <w:rsid w:val="2F4B573E"/>
    <w:rsid w:val="2F5628C1"/>
    <w:rsid w:val="2F5A61EE"/>
    <w:rsid w:val="2F6E6218"/>
    <w:rsid w:val="2F81781A"/>
    <w:rsid w:val="2FBA6AB0"/>
    <w:rsid w:val="2FDA5233"/>
    <w:rsid w:val="2FDA56AD"/>
    <w:rsid w:val="2FDC3277"/>
    <w:rsid w:val="30091058"/>
    <w:rsid w:val="30186987"/>
    <w:rsid w:val="302E6035"/>
    <w:rsid w:val="30396B3B"/>
    <w:rsid w:val="303B5C37"/>
    <w:rsid w:val="303D3D8D"/>
    <w:rsid w:val="30410449"/>
    <w:rsid w:val="304B34C7"/>
    <w:rsid w:val="304F51A4"/>
    <w:rsid w:val="30687159"/>
    <w:rsid w:val="306F3884"/>
    <w:rsid w:val="307953E8"/>
    <w:rsid w:val="307B44AD"/>
    <w:rsid w:val="30907ADE"/>
    <w:rsid w:val="30926BF6"/>
    <w:rsid w:val="309A0DD7"/>
    <w:rsid w:val="309A76B3"/>
    <w:rsid w:val="309B06AC"/>
    <w:rsid w:val="30A61A4B"/>
    <w:rsid w:val="30AE1C64"/>
    <w:rsid w:val="30C02678"/>
    <w:rsid w:val="30D06AF0"/>
    <w:rsid w:val="30DC1248"/>
    <w:rsid w:val="30E16401"/>
    <w:rsid w:val="30F760DD"/>
    <w:rsid w:val="310500E0"/>
    <w:rsid w:val="31405015"/>
    <w:rsid w:val="31537EEC"/>
    <w:rsid w:val="315E7D16"/>
    <w:rsid w:val="316F0F32"/>
    <w:rsid w:val="31736100"/>
    <w:rsid w:val="31773981"/>
    <w:rsid w:val="3182709C"/>
    <w:rsid w:val="31842F7F"/>
    <w:rsid w:val="318A4231"/>
    <w:rsid w:val="318E2782"/>
    <w:rsid w:val="319C4759"/>
    <w:rsid w:val="319C6FC9"/>
    <w:rsid w:val="31EF357C"/>
    <w:rsid w:val="31FF09AE"/>
    <w:rsid w:val="3205097C"/>
    <w:rsid w:val="32081170"/>
    <w:rsid w:val="320C3878"/>
    <w:rsid w:val="32110C25"/>
    <w:rsid w:val="32114E7D"/>
    <w:rsid w:val="3219245E"/>
    <w:rsid w:val="32257FD7"/>
    <w:rsid w:val="323677EC"/>
    <w:rsid w:val="323827BE"/>
    <w:rsid w:val="32495754"/>
    <w:rsid w:val="324B3D08"/>
    <w:rsid w:val="32502547"/>
    <w:rsid w:val="32541D1E"/>
    <w:rsid w:val="32595004"/>
    <w:rsid w:val="32605AA8"/>
    <w:rsid w:val="32615E04"/>
    <w:rsid w:val="326849A2"/>
    <w:rsid w:val="326B0F6E"/>
    <w:rsid w:val="328126D8"/>
    <w:rsid w:val="32996BB0"/>
    <w:rsid w:val="32A04DB4"/>
    <w:rsid w:val="32AD00CE"/>
    <w:rsid w:val="32B9541F"/>
    <w:rsid w:val="32BF1468"/>
    <w:rsid w:val="32D07FAA"/>
    <w:rsid w:val="32D40497"/>
    <w:rsid w:val="32DE0BF1"/>
    <w:rsid w:val="32E158F1"/>
    <w:rsid w:val="32E5677D"/>
    <w:rsid w:val="330301A0"/>
    <w:rsid w:val="33031007"/>
    <w:rsid w:val="330A1B9B"/>
    <w:rsid w:val="330C77B6"/>
    <w:rsid w:val="331A0228"/>
    <w:rsid w:val="332B32E7"/>
    <w:rsid w:val="332E3768"/>
    <w:rsid w:val="33341058"/>
    <w:rsid w:val="333C4070"/>
    <w:rsid w:val="33652BA0"/>
    <w:rsid w:val="338032CF"/>
    <w:rsid w:val="33870D2A"/>
    <w:rsid w:val="33995B41"/>
    <w:rsid w:val="339F3BDD"/>
    <w:rsid w:val="33A54598"/>
    <w:rsid w:val="33A9773C"/>
    <w:rsid w:val="33E93AE7"/>
    <w:rsid w:val="33FB47B2"/>
    <w:rsid w:val="33FE062C"/>
    <w:rsid w:val="340D123D"/>
    <w:rsid w:val="340D402A"/>
    <w:rsid w:val="34117F4A"/>
    <w:rsid w:val="34157A69"/>
    <w:rsid w:val="341A32AC"/>
    <w:rsid w:val="342F04EE"/>
    <w:rsid w:val="343278F3"/>
    <w:rsid w:val="343773FE"/>
    <w:rsid w:val="344314AC"/>
    <w:rsid w:val="344352BB"/>
    <w:rsid w:val="345F13D2"/>
    <w:rsid w:val="346614E2"/>
    <w:rsid w:val="346F44E7"/>
    <w:rsid w:val="3477121B"/>
    <w:rsid w:val="348A07C0"/>
    <w:rsid w:val="349E74CF"/>
    <w:rsid w:val="34BC5B3B"/>
    <w:rsid w:val="34C33940"/>
    <w:rsid w:val="34CE5612"/>
    <w:rsid w:val="34D55580"/>
    <w:rsid w:val="34DA288E"/>
    <w:rsid w:val="34E07C21"/>
    <w:rsid w:val="34E11C57"/>
    <w:rsid w:val="34E43EEA"/>
    <w:rsid w:val="34F14865"/>
    <w:rsid w:val="34F445A8"/>
    <w:rsid w:val="34F47C15"/>
    <w:rsid w:val="34F540BD"/>
    <w:rsid w:val="34FF3C2C"/>
    <w:rsid w:val="35063B46"/>
    <w:rsid w:val="351C3CD0"/>
    <w:rsid w:val="352F1E92"/>
    <w:rsid w:val="353763F9"/>
    <w:rsid w:val="353B6682"/>
    <w:rsid w:val="353C79F3"/>
    <w:rsid w:val="353F5F9A"/>
    <w:rsid w:val="354D44F6"/>
    <w:rsid w:val="35600779"/>
    <w:rsid w:val="35645586"/>
    <w:rsid w:val="356B79DE"/>
    <w:rsid w:val="3581198D"/>
    <w:rsid w:val="35843E04"/>
    <w:rsid w:val="35866FAD"/>
    <w:rsid w:val="35976ED7"/>
    <w:rsid w:val="35980087"/>
    <w:rsid w:val="35B3142E"/>
    <w:rsid w:val="35B45E55"/>
    <w:rsid w:val="35B543C3"/>
    <w:rsid w:val="35B84DAB"/>
    <w:rsid w:val="35C52894"/>
    <w:rsid w:val="35E92FD2"/>
    <w:rsid w:val="35EA0FD5"/>
    <w:rsid w:val="35F036ED"/>
    <w:rsid w:val="35F11C61"/>
    <w:rsid w:val="35F50D12"/>
    <w:rsid w:val="35FB5BA7"/>
    <w:rsid w:val="36011523"/>
    <w:rsid w:val="36021E5F"/>
    <w:rsid w:val="36247A40"/>
    <w:rsid w:val="362A0DEB"/>
    <w:rsid w:val="36327AC4"/>
    <w:rsid w:val="3634601F"/>
    <w:rsid w:val="36496AF6"/>
    <w:rsid w:val="36547421"/>
    <w:rsid w:val="365A705F"/>
    <w:rsid w:val="367251E5"/>
    <w:rsid w:val="36903B9D"/>
    <w:rsid w:val="3696078B"/>
    <w:rsid w:val="369A723E"/>
    <w:rsid w:val="369C5F08"/>
    <w:rsid w:val="369E27EA"/>
    <w:rsid w:val="36A04C6E"/>
    <w:rsid w:val="36C03B4D"/>
    <w:rsid w:val="36C301B0"/>
    <w:rsid w:val="36C40C39"/>
    <w:rsid w:val="36C95739"/>
    <w:rsid w:val="36D948F3"/>
    <w:rsid w:val="36DE6128"/>
    <w:rsid w:val="36E735CF"/>
    <w:rsid w:val="36FD0B04"/>
    <w:rsid w:val="370275A1"/>
    <w:rsid w:val="3717521E"/>
    <w:rsid w:val="37175E83"/>
    <w:rsid w:val="37215EFD"/>
    <w:rsid w:val="372E3F88"/>
    <w:rsid w:val="372F7F54"/>
    <w:rsid w:val="374754B1"/>
    <w:rsid w:val="374E45F3"/>
    <w:rsid w:val="375D3526"/>
    <w:rsid w:val="37624933"/>
    <w:rsid w:val="377870D5"/>
    <w:rsid w:val="378C7B63"/>
    <w:rsid w:val="379E4EC0"/>
    <w:rsid w:val="37A0093C"/>
    <w:rsid w:val="37A86561"/>
    <w:rsid w:val="37AC58D2"/>
    <w:rsid w:val="37AE7163"/>
    <w:rsid w:val="37C01AB5"/>
    <w:rsid w:val="37C409FA"/>
    <w:rsid w:val="37C8480D"/>
    <w:rsid w:val="37CB5E71"/>
    <w:rsid w:val="37EF4A8C"/>
    <w:rsid w:val="38107733"/>
    <w:rsid w:val="381200AE"/>
    <w:rsid w:val="3840510C"/>
    <w:rsid w:val="38525EC8"/>
    <w:rsid w:val="385C6D7B"/>
    <w:rsid w:val="385F25BB"/>
    <w:rsid w:val="386312E6"/>
    <w:rsid w:val="386609E8"/>
    <w:rsid w:val="387B2A25"/>
    <w:rsid w:val="38883DBF"/>
    <w:rsid w:val="38933FD6"/>
    <w:rsid w:val="389532F2"/>
    <w:rsid w:val="38A0575D"/>
    <w:rsid w:val="38B236B0"/>
    <w:rsid w:val="38B577A9"/>
    <w:rsid w:val="38B74C05"/>
    <w:rsid w:val="38CC421D"/>
    <w:rsid w:val="38D16635"/>
    <w:rsid w:val="38D373E7"/>
    <w:rsid w:val="38F53835"/>
    <w:rsid w:val="38FA57F0"/>
    <w:rsid w:val="390E100A"/>
    <w:rsid w:val="39355B41"/>
    <w:rsid w:val="3936186D"/>
    <w:rsid w:val="393B6729"/>
    <w:rsid w:val="3941349E"/>
    <w:rsid w:val="39514E0B"/>
    <w:rsid w:val="39566F53"/>
    <w:rsid w:val="395941C6"/>
    <w:rsid w:val="397905D6"/>
    <w:rsid w:val="3986126F"/>
    <w:rsid w:val="39864DE3"/>
    <w:rsid w:val="39883EA5"/>
    <w:rsid w:val="399D5638"/>
    <w:rsid w:val="39B41C18"/>
    <w:rsid w:val="39B653E7"/>
    <w:rsid w:val="39B85B57"/>
    <w:rsid w:val="39C538F9"/>
    <w:rsid w:val="39C828C6"/>
    <w:rsid w:val="39D31839"/>
    <w:rsid w:val="39D51F97"/>
    <w:rsid w:val="39D7425E"/>
    <w:rsid w:val="39E76BD3"/>
    <w:rsid w:val="3A0B3CA2"/>
    <w:rsid w:val="3A255D6F"/>
    <w:rsid w:val="3A291776"/>
    <w:rsid w:val="3A4215EC"/>
    <w:rsid w:val="3A43382A"/>
    <w:rsid w:val="3A472CE0"/>
    <w:rsid w:val="3A4B4D4F"/>
    <w:rsid w:val="3A51108A"/>
    <w:rsid w:val="3A5C2A31"/>
    <w:rsid w:val="3A604CCB"/>
    <w:rsid w:val="3A6711EA"/>
    <w:rsid w:val="3A671BFD"/>
    <w:rsid w:val="3A6B021B"/>
    <w:rsid w:val="3A6C27C7"/>
    <w:rsid w:val="3A795855"/>
    <w:rsid w:val="3A7D78F3"/>
    <w:rsid w:val="3A7E7CFE"/>
    <w:rsid w:val="3A816547"/>
    <w:rsid w:val="3AB03D58"/>
    <w:rsid w:val="3AD049E5"/>
    <w:rsid w:val="3AF31112"/>
    <w:rsid w:val="3AF71C4F"/>
    <w:rsid w:val="3B081792"/>
    <w:rsid w:val="3B0C28E2"/>
    <w:rsid w:val="3B211160"/>
    <w:rsid w:val="3B325752"/>
    <w:rsid w:val="3B352723"/>
    <w:rsid w:val="3B373B06"/>
    <w:rsid w:val="3B38435F"/>
    <w:rsid w:val="3B4113F9"/>
    <w:rsid w:val="3B4607AB"/>
    <w:rsid w:val="3B5A14DA"/>
    <w:rsid w:val="3B5B2A34"/>
    <w:rsid w:val="3B696D3C"/>
    <w:rsid w:val="3B6E2308"/>
    <w:rsid w:val="3B700B9E"/>
    <w:rsid w:val="3B7A70C3"/>
    <w:rsid w:val="3B7C5190"/>
    <w:rsid w:val="3B8C568A"/>
    <w:rsid w:val="3B8C6B52"/>
    <w:rsid w:val="3B9265F7"/>
    <w:rsid w:val="3BA24F6A"/>
    <w:rsid w:val="3BB36501"/>
    <w:rsid w:val="3BBA1B6C"/>
    <w:rsid w:val="3BC10F8A"/>
    <w:rsid w:val="3BCA0430"/>
    <w:rsid w:val="3BCA46DA"/>
    <w:rsid w:val="3C0B517A"/>
    <w:rsid w:val="3C0D7BA2"/>
    <w:rsid w:val="3C1464E6"/>
    <w:rsid w:val="3C1F3B0A"/>
    <w:rsid w:val="3C205B8C"/>
    <w:rsid w:val="3C2B04DC"/>
    <w:rsid w:val="3C2F5079"/>
    <w:rsid w:val="3C4B63F8"/>
    <w:rsid w:val="3C7C5EFC"/>
    <w:rsid w:val="3C820BF8"/>
    <w:rsid w:val="3C9D78A4"/>
    <w:rsid w:val="3CAC12EC"/>
    <w:rsid w:val="3CB974FB"/>
    <w:rsid w:val="3CD46E85"/>
    <w:rsid w:val="3CE21B20"/>
    <w:rsid w:val="3CFF2A56"/>
    <w:rsid w:val="3D0538C6"/>
    <w:rsid w:val="3D083C3D"/>
    <w:rsid w:val="3D0F0BF5"/>
    <w:rsid w:val="3D254DA7"/>
    <w:rsid w:val="3D367754"/>
    <w:rsid w:val="3D43371B"/>
    <w:rsid w:val="3D4C353F"/>
    <w:rsid w:val="3D4D01FD"/>
    <w:rsid w:val="3D533FE2"/>
    <w:rsid w:val="3D8116F1"/>
    <w:rsid w:val="3D842DB5"/>
    <w:rsid w:val="3D927E3F"/>
    <w:rsid w:val="3D99342D"/>
    <w:rsid w:val="3D9D6E8A"/>
    <w:rsid w:val="3DB623DC"/>
    <w:rsid w:val="3DBC2131"/>
    <w:rsid w:val="3DD03BFA"/>
    <w:rsid w:val="3DD76D85"/>
    <w:rsid w:val="3DD83ABF"/>
    <w:rsid w:val="3DDA437C"/>
    <w:rsid w:val="3DEE4CC1"/>
    <w:rsid w:val="3DF461A3"/>
    <w:rsid w:val="3DF94195"/>
    <w:rsid w:val="3E012B6B"/>
    <w:rsid w:val="3E0B6234"/>
    <w:rsid w:val="3E1516BF"/>
    <w:rsid w:val="3E211CFD"/>
    <w:rsid w:val="3E4C3E35"/>
    <w:rsid w:val="3E535C24"/>
    <w:rsid w:val="3E570308"/>
    <w:rsid w:val="3E600BB4"/>
    <w:rsid w:val="3E8A2129"/>
    <w:rsid w:val="3E8C3990"/>
    <w:rsid w:val="3E917B3F"/>
    <w:rsid w:val="3EB37670"/>
    <w:rsid w:val="3ECD5D56"/>
    <w:rsid w:val="3ECD79B7"/>
    <w:rsid w:val="3ED72492"/>
    <w:rsid w:val="3EDA4D3F"/>
    <w:rsid w:val="3EED7085"/>
    <w:rsid w:val="3EFA21FA"/>
    <w:rsid w:val="3F0651F8"/>
    <w:rsid w:val="3F0B745A"/>
    <w:rsid w:val="3F1708AB"/>
    <w:rsid w:val="3F1A7616"/>
    <w:rsid w:val="3F305658"/>
    <w:rsid w:val="3F4C1C29"/>
    <w:rsid w:val="3F545C32"/>
    <w:rsid w:val="3F8A3D39"/>
    <w:rsid w:val="3F8D0174"/>
    <w:rsid w:val="3F966B9F"/>
    <w:rsid w:val="3F987717"/>
    <w:rsid w:val="3FA55C83"/>
    <w:rsid w:val="3FC551B7"/>
    <w:rsid w:val="3FC92BDE"/>
    <w:rsid w:val="3FD23300"/>
    <w:rsid w:val="3FF47042"/>
    <w:rsid w:val="3FF54785"/>
    <w:rsid w:val="3FFB4326"/>
    <w:rsid w:val="3FFC0AB7"/>
    <w:rsid w:val="3FFF0B26"/>
    <w:rsid w:val="4015659C"/>
    <w:rsid w:val="401D268F"/>
    <w:rsid w:val="40327B82"/>
    <w:rsid w:val="403D5DB4"/>
    <w:rsid w:val="40444047"/>
    <w:rsid w:val="40452250"/>
    <w:rsid w:val="404D460E"/>
    <w:rsid w:val="40501155"/>
    <w:rsid w:val="405229A9"/>
    <w:rsid w:val="405C35C7"/>
    <w:rsid w:val="407E4D25"/>
    <w:rsid w:val="409E45E2"/>
    <w:rsid w:val="40A52125"/>
    <w:rsid w:val="40B61FF8"/>
    <w:rsid w:val="40BB734D"/>
    <w:rsid w:val="40BD43A8"/>
    <w:rsid w:val="40BD702F"/>
    <w:rsid w:val="40C40C6F"/>
    <w:rsid w:val="40C7171A"/>
    <w:rsid w:val="40CD4E0B"/>
    <w:rsid w:val="40D2023E"/>
    <w:rsid w:val="40D724A1"/>
    <w:rsid w:val="40DD614D"/>
    <w:rsid w:val="40E72D37"/>
    <w:rsid w:val="40FE6CAA"/>
    <w:rsid w:val="411C7865"/>
    <w:rsid w:val="411D4155"/>
    <w:rsid w:val="412A1DFC"/>
    <w:rsid w:val="412D2B6A"/>
    <w:rsid w:val="414141BA"/>
    <w:rsid w:val="415A1391"/>
    <w:rsid w:val="415E5B0A"/>
    <w:rsid w:val="418B295F"/>
    <w:rsid w:val="41945CF4"/>
    <w:rsid w:val="41965A41"/>
    <w:rsid w:val="41970D49"/>
    <w:rsid w:val="41B92A4F"/>
    <w:rsid w:val="41C964B4"/>
    <w:rsid w:val="41F92ABD"/>
    <w:rsid w:val="41FC1B6A"/>
    <w:rsid w:val="41FF2BF3"/>
    <w:rsid w:val="42125B2B"/>
    <w:rsid w:val="424D1C7F"/>
    <w:rsid w:val="425846A6"/>
    <w:rsid w:val="42624E34"/>
    <w:rsid w:val="427F218F"/>
    <w:rsid w:val="42840AD6"/>
    <w:rsid w:val="428B63CF"/>
    <w:rsid w:val="42911805"/>
    <w:rsid w:val="429A2964"/>
    <w:rsid w:val="42AF67D0"/>
    <w:rsid w:val="42BC0E70"/>
    <w:rsid w:val="42C245CE"/>
    <w:rsid w:val="42C27D1A"/>
    <w:rsid w:val="42C80ECA"/>
    <w:rsid w:val="42DD0E52"/>
    <w:rsid w:val="42DD3CD5"/>
    <w:rsid w:val="43055EB8"/>
    <w:rsid w:val="431627BC"/>
    <w:rsid w:val="431A0C24"/>
    <w:rsid w:val="431A5591"/>
    <w:rsid w:val="431B1E13"/>
    <w:rsid w:val="43312904"/>
    <w:rsid w:val="43376426"/>
    <w:rsid w:val="434E1C20"/>
    <w:rsid w:val="43620283"/>
    <w:rsid w:val="4363286E"/>
    <w:rsid w:val="436928BF"/>
    <w:rsid w:val="4370065F"/>
    <w:rsid w:val="43963A25"/>
    <w:rsid w:val="4398403A"/>
    <w:rsid w:val="43A73BE3"/>
    <w:rsid w:val="43AE7A7E"/>
    <w:rsid w:val="43B470F6"/>
    <w:rsid w:val="43CF502D"/>
    <w:rsid w:val="43CF6F11"/>
    <w:rsid w:val="43F047E0"/>
    <w:rsid w:val="43FD6F00"/>
    <w:rsid w:val="440B02B4"/>
    <w:rsid w:val="44123DA4"/>
    <w:rsid w:val="441C5080"/>
    <w:rsid w:val="44233849"/>
    <w:rsid w:val="445B0426"/>
    <w:rsid w:val="44633603"/>
    <w:rsid w:val="44680AA6"/>
    <w:rsid w:val="446B500C"/>
    <w:rsid w:val="446E17AC"/>
    <w:rsid w:val="448508DF"/>
    <w:rsid w:val="448D7707"/>
    <w:rsid w:val="44A6656A"/>
    <w:rsid w:val="44BA3544"/>
    <w:rsid w:val="44BF18A2"/>
    <w:rsid w:val="44C345DC"/>
    <w:rsid w:val="44CE2123"/>
    <w:rsid w:val="44E23735"/>
    <w:rsid w:val="44EA77F7"/>
    <w:rsid w:val="45142C62"/>
    <w:rsid w:val="45357785"/>
    <w:rsid w:val="45387766"/>
    <w:rsid w:val="453A760F"/>
    <w:rsid w:val="453B3627"/>
    <w:rsid w:val="45461B58"/>
    <w:rsid w:val="45491A3E"/>
    <w:rsid w:val="45503B28"/>
    <w:rsid w:val="45620AD7"/>
    <w:rsid w:val="45853082"/>
    <w:rsid w:val="45891F3C"/>
    <w:rsid w:val="4590274A"/>
    <w:rsid w:val="45B276B2"/>
    <w:rsid w:val="45C0276F"/>
    <w:rsid w:val="45C14774"/>
    <w:rsid w:val="45DB6A4C"/>
    <w:rsid w:val="45DE4D7D"/>
    <w:rsid w:val="45EF2628"/>
    <w:rsid w:val="45EF3C1C"/>
    <w:rsid w:val="45FD0891"/>
    <w:rsid w:val="460C7309"/>
    <w:rsid w:val="46185D52"/>
    <w:rsid w:val="461D0E0F"/>
    <w:rsid w:val="462C285E"/>
    <w:rsid w:val="462E09E1"/>
    <w:rsid w:val="4639249F"/>
    <w:rsid w:val="463A0304"/>
    <w:rsid w:val="46483274"/>
    <w:rsid w:val="46497341"/>
    <w:rsid w:val="464A4975"/>
    <w:rsid w:val="465961E8"/>
    <w:rsid w:val="467C2D95"/>
    <w:rsid w:val="4695468D"/>
    <w:rsid w:val="469A6A31"/>
    <w:rsid w:val="46D95B7D"/>
    <w:rsid w:val="471553B4"/>
    <w:rsid w:val="47170524"/>
    <w:rsid w:val="471E6457"/>
    <w:rsid w:val="47237AB4"/>
    <w:rsid w:val="474C2F9B"/>
    <w:rsid w:val="475D0FD8"/>
    <w:rsid w:val="475F6267"/>
    <w:rsid w:val="4760207C"/>
    <w:rsid w:val="47743C9D"/>
    <w:rsid w:val="477F20C3"/>
    <w:rsid w:val="47906F17"/>
    <w:rsid w:val="47962F99"/>
    <w:rsid w:val="479A7A31"/>
    <w:rsid w:val="479B1699"/>
    <w:rsid w:val="47AA2928"/>
    <w:rsid w:val="47AF51BF"/>
    <w:rsid w:val="47B81E12"/>
    <w:rsid w:val="47BE42FB"/>
    <w:rsid w:val="47C87B80"/>
    <w:rsid w:val="47C937E9"/>
    <w:rsid w:val="47C97066"/>
    <w:rsid w:val="47D03B18"/>
    <w:rsid w:val="47DB1D58"/>
    <w:rsid w:val="47ED29D3"/>
    <w:rsid w:val="47EF74A3"/>
    <w:rsid w:val="47F50C9B"/>
    <w:rsid w:val="48047968"/>
    <w:rsid w:val="480C0327"/>
    <w:rsid w:val="48100B65"/>
    <w:rsid w:val="4834394A"/>
    <w:rsid w:val="484B1470"/>
    <w:rsid w:val="485A65F3"/>
    <w:rsid w:val="48654955"/>
    <w:rsid w:val="48812277"/>
    <w:rsid w:val="488C20FF"/>
    <w:rsid w:val="48987720"/>
    <w:rsid w:val="48AA0D47"/>
    <w:rsid w:val="48AB437A"/>
    <w:rsid w:val="48BB5E99"/>
    <w:rsid w:val="48C42A3E"/>
    <w:rsid w:val="48CB567F"/>
    <w:rsid w:val="48E709AB"/>
    <w:rsid w:val="49074129"/>
    <w:rsid w:val="491E413A"/>
    <w:rsid w:val="492B5D1A"/>
    <w:rsid w:val="492E0653"/>
    <w:rsid w:val="49356195"/>
    <w:rsid w:val="493E72F4"/>
    <w:rsid w:val="49477CA3"/>
    <w:rsid w:val="4950278B"/>
    <w:rsid w:val="495D4FB7"/>
    <w:rsid w:val="495E6CC9"/>
    <w:rsid w:val="495F0F47"/>
    <w:rsid w:val="497378EC"/>
    <w:rsid w:val="49850611"/>
    <w:rsid w:val="499E6A18"/>
    <w:rsid w:val="49CA6D55"/>
    <w:rsid w:val="49D60BB0"/>
    <w:rsid w:val="49E47F0A"/>
    <w:rsid w:val="49FA45E7"/>
    <w:rsid w:val="4A003BBD"/>
    <w:rsid w:val="4A021D46"/>
    <w:rsid w:val="4A221E06"/>
    <w:rsid w:val="4A2C05A1"/>
    <w:rsid w:val="4A487A49"/>
    <w:rsid w:val="4A573BC6"/>
    <w:rsid w:val="4A661827"/>
    <w:rsid w:val="4A685CDC"/>
    <w:rsid w:val="4A6C7442"/>
    <w:rsid w:val="4A6E5FE8"/>
    <w:rsid w:val="4A794A5A"/>
    <w:rsid w:val="4A8D326D"/>
    <w:rsid w:val="4AAC7675"/>
    <w:rsid w:val="4ABB4EEC"/>
    <w:rsid w:val="4ABE4002"/>
    <w:rsid w:val="4AD3789D"/>
    <w:rsid w:val="4AE61558"/>
    <w:rsid w:val="4AE629A4"/>
    <w:rsid w:val="4AE71746"/>
    <w:rsid w:val="4AED326F"/>
    <w:rsid w:val="4AF93679"/>
    <w:rsid w:val="4B021885"/>
    <w:rsid w:val="4B0462D8"/>
    <w:rsid w:val="4B1163B5"/>
    <w:rsid w:val="4B1E0386"/>
    <w:rsid w:val="4B2A725A"/>
    <w:rsid w:val="4B2D27E3"/>
    <w:rsid w:val="4B327DA5"/>
    <w:rsid w:val="4B483ECE"/>
    <w:rsid w:val="4B4D5DE5"/>
    <w:rsid w:val="4B53713F"/>
    <w:rsid w:val="4B58385A"/>
    <w:rsid w:val="4B5918B4"/>
    <w:rsid w:val="4B5E178B"/>
    <w:rsid w:val="4B7D53C9"/>
    <w:rsid w:val="4B7E695E"/>
    <w:rsid w:val="4B85293F"/>
    <w:rsid w:val="4B8C7452"/>
    <w:rsid w:val="4B902502"/>
    <w:rsid w:val="4B9B344B"/>
    <w:rsid w:val="4BA41F5F"/>
    <w:rsid w:val="4BAA16FB"/>
    <w:rsid w:val="4BBE2F08"/>
    <w:rsid w:val="4BD56E97"/>
    <w:rsid w:val="4BDB55FA"/>
    <w:rsid w:val="4BF55F0B"/>
    <w:rsid w:val="4BF74ED8"/>
    <w:rsid w:val="4BFA030B"/>
    <w:rsid w:val="4C09252B"/>
    <w:rsid w:val="4C1713D3"/>
    <w:rsid w:val="4C3D55C6"/>
    <w:rsid w:val="4C427E43"/>
    <w:rsid w:val="4C4F261E"/>
    <w:rsid w:val="4C5962D9"/>
    <w:rsid w:val="4C5C6507"/>
    <w:rsid w:val="4C5E4F57"/>
    <w:rsid w:val="4C667A5B"/>
    <w:rsid w:val="4C687F40"/>
    <w:rsid w:val="4C823BCA"/>
    <w:rsid w:val="4C8A7DE1"/>
    <w:rsid w:val="4C9F1330"/>
    <w:rsid w:val="4CAB3457"/>
    <w:rsid w:val="4CE266C3"/>
    <w:rsid w:val="4CEF017B"/>
    <w:rsid w:val="4CF124C7"/>
    <w:rsid w:val="4CF70170"/>
    <w:rsid w:val="4CFA619E"/>
    <w:rsid w:val="4CFD777A"/>
    <w:rsid w:val="4D201110"/>
    <w:rsid w:val="4D3431C7"/>
    <w:rsid w:val="4D3A38EE"/>
    <w:rsid w:val="4D3F69A4"/>
    <w:rsid w:val="4D526F59"/>
    <w:rsid w:val="4D650150"/>
    <w:rsid w:val="4D6E11CA"/>
    <w:rsid w:val="4DA653F2"/>
    <w:rsid w:val="4DCC74BE"/>
    <w:rsid w:val="4DE03AC2"/>
    <w:rsid w:val="4DEF02BD"/>
    <w:rsid w:val="4DF03991"/>
    <w:rsid w:val="4DF221E2"/>
    <w:rsid w:val="4E002256"/>
    <w:rsid w:val="4E052F0C"/>
    <w:rsid w:val="4E0911A0"/>
    <w:rsid w:val="4E0D72D8"/>
    <w:rsid w:val="4E1F24C4"/>
    <w:rsid w:val="4E2F0959"/>
    <w:rsid w:val="4E383ED6"/>
    <w:rsid w:val="4E5172B9"/>
    <w:rsid w:val="4E560D60"/>
    <w:rsid w:val="4E564593"/>
    <w:rsid w:val="4E5A2684"/>
    <w:rsid w:val="4E66521C"/>
    <w:rsid w:val="4E703F51"/>
    <w:rsid w:val="4E905710"/>
    <w:rsid w:val="4E942C0A"/>
    <w:rsid w:val="4E98220D"/>
    <w:rsid w:val="4EA02FF7"/>
    <w:rsid w:val="4EB7399D"/>
    <w:rsid w:val="4ECD2716"/>
    <w:rsid w:val="4EDA695D"/>
    <w:rsid w:val="4EE05B39"/>
    <w:rsid w:val="4EE54AFA"/>
    <w:rsid w:val="4EE73AF5"/>
    <w:rsid w:val="4EE84EA5"/>
    <w:rsid w:val="4EEE4AF5"/>
    <w:rsid w:val="4EF82E0F"/>
    <w:rsid w:val="4F0B544D"/>
    <w:rsid w:val="4F0E4A13"/>
    <w:rsid w:val="4F1E4B12"/>
    <w:rsid w:val="4F301FB1"/>
    <w:rsid w:val="4F3A2B02"/>
    <w:rsid w:val="4F4F7329"/>
    <w:rsid w:val="4F5260B5"/>
    <w:rsid w:val="4F560168"/>
    <w:rsid w:val="4F58224C"/>
    <w:rsid w:val="4F590A64"/>
    <w:rsid w:val="4F5A4045"/>
    <w:rsid w:val="4F5A7FFE"/>
    <w:rsid w:val="4F86143C"/>
    <w:rsid w:val="4F8B2726"/>
    <w:rsid w:val="4F8B4457"/>
    <w:rsid w:val="4F96196F"/>
    <w:rsid w:val="4FAE7560"/>
    <w:rsid w:val="4FB8672C"/>
    <w:rsid w:val="4FDA01F8"/>
    <w:rsid w:val="4FF1201A"/>
    <w:rsid w:val="4FF221C3"/>
    <w:rsid w:val="4FFA0634"/>
    <w:rsid w:val="500032A2"/>
    <w:rsid w:val="504C31A7"/>
    <w:rsid w:val="504E08AD"/>
    <w:rsid w:val="505C4D01"/>
    <w:rsid w:val="50654763"/>
    <w:rsid w:val="50664937"/>
    <w:rsid w:val="507419FE"/>
    <w:rsid w:val="507C7DBC"/>
    <w:rsid w:val="508A7F4D"/>
    <w:rsid w:val="508B1CA1"/>
    <w:rsid w:val="50A568E9"/>
    <w:rsid w:val="50AA168D"/>
    <w:rsid w:val="50AF4B30"/>
    <w:rsid w:val="50BC5CDC"/>
    <w:rsid w:val="50E21CB3"/>
    <w:rsid w:val="50E74C38"/>
    <w:rsid w:val="50E76F7B"/>
    <w:rsid w:val="50EB303A"/>
    <w:rsid w:val="51025571"/>
    <w:rsid w:val="510819A0"/>
    <w:rsid w:val="510C31D4"/>
    <w:rsid w:val="51141BF6"/>
    <w:rsid w:val="51184A15"/>
    <w:rsid w:val="511D1BC3"/>
    <w:rsid w:val="51200E5F"/>
    <w:rsid w:val="5123009E"/>
    <w:rsid w:val="512548E9"/>
    <w:rsid w:val="512C2CA7"/>
    <w:rsid w:val="512D289E"/>
    <w:rsid w:val="514152FB"/>
    <w:rsid w:val="51434ED1"/>
    <w:rsid w:val="51606C08"/>
    <w:rsid w:val="516445A0"/>
    <w:rsid w:val="51752B27"/>
    <w:rsid w:val="518353A4"/>
    <w:rsid w:val="518956A9"/>
    <w:rsid w:val="519F6ACE"/>
    <w:rsid w:val="51C83642"/>
    <w:rsid w:val="51DC3B47"/>
    <w:rsid w:val="52204D59"/>
    <w:rsid w:val="52490C2A"/>
    <w:rsid w:val="525505B5"/>
    <w:rsid w:val="52551CD7"/>
    <w:rsid w:val="5261544F"/>
    <w:rsid w:val="52675FFF"/>
    <w:rsid w:val="52B97B3D"/>
    <w:rsid w:val="52C504FB"/>
    <w:rsid w:val="52D50B77"/>
    <w:rsid w:val="52E13756"/>
    <w:rsid w:val="52E65840"/>
    <w:rsid w:val="52EF5C2D"/>
    <w:rsid w:val="52EF6429"/>
    <w:rsid w:val="52F061A9"/>
    <w:rsid w:val="52F171FD"/>
    <w:rsid w:val="52F47582"/>
    <w:rsid w:val="53354D0B"/>
    <w:rsid w:val="535837C3"/>
    <w:rsid w:val="5371534A"/>
    <w:rsid w:val="53720C63"/>
    <w:rsid w:val="53760DD8"/>
    <w:rsid w:val="537700D3"/>
    <w:rsid w:val="53811681"/>
    <w:rsid w:val="538A520F"/>
    <w:rsid w:val="538C6CFB"/>
    <w:rsid w:val="53933E3F"/>
    <w:rsid w:val="53A45110"/>
    <w:rsid w:val="53B418CC"/>
    <w:rsid w:val="53E421E6"/>
    <w:rsid w:val="53F32910"/>
    <w:rsid w:val="53F4098D"/>
    <w:rsid w:val="53FE04C8"/>
    <w:rsid w:val="540A36E6"/>
    <w:rsid w:val="540A49FF"/>
    <w:rsid w:val="54196F14"/>
    <w:rsid w:val="541F2E71"/>
    <w:rsid w:val="54206BE2"/>
    <w:rsid w:val="54297BB6"/>
    <w:rsid w:val="542A438F"/>
    <w:rsid w:val="54336DD4"/>
    <w:rsid w:val="543660C2"/>
    <w:rsid w:val="54375971"/>
    <w:rsid w:val="54453F00"/>
    <w:rsid w:val="544B34F5"/>
    <w:rsid w:val="544D196D"/>
    <w:rsid w:val="5478326E"/>
    <w:rsid w:val="547A48F8"/>
    <w:rsid w:val="547F6951"/>
    <w:rsid w:val="54854CE2"/>
    <w:rsid w:val="548965FC"/>
    <w:rsid w:val="549F015A"/>
    <w:rsid w:val="54AD1A5F"/>
    <w:rsid w:val="54AF4755"/>
    <w:rsid w:val="54C761C0"/>
    <w:rsid w:val="54D730B0"/>
    <w:rsid w:val="54DD1143"/>
    <w:rsid w:val="54E812EA"/>
    <w:rsid w:val="54F741A9"/>
    <w:rsid w:val="54F76B5C"/>
    <w:rsid w:val="55020A87"/>
    <w:rsid w:val="550341FE"/>
    <w:rsid w:val="55042014"/>
    <w:rsid w:val="550F1760"/>
    <w:rsid w:val="55210479"/>
    <w:rsid w:val="552A209A"/>
    <w:rsid w:val="55330F3B"/>
    <w:rsid w:val="55393BB8"/>
    <w:rsid w:val="55597050"/>
    <w:rsid w:val="55614C5E"/>
    <w:rsid w:val="556E6918"/>
    <w:rsid w:val="558C2621"/>
    <w:rsid w:val="55A0462E"/>
    <w:rsid w:val="55AA319D"/>
    <w:rsid w:val="55AD3652"/>
    <w:rsid w:val="55AE7B86"/>
    <w:rsid w:val="55B9606B"/>
    <w:rsid w:val="55DE0E54"/>
    <w:rsid w:val="55E20903"/>
    <w:rsid w:val="55E4027B"/>
    <w:rsid w:val="55E72AA0"/>
    <w:rsid w:val="55FF52A6"/>
    <w:rsid w:val="56061751"/>
    <w:rsid w:val="56095584"/>
    <w:rsid w:val="560E0C77"/>
    <w:rsid w:val="5633198E"/>
    <w:rsid w:val="563E5469"/>
    <w:rsid w:val="565F37E0"/>
    <w:rsid w:val="56600CBF"/>
    <w:rsid w:val="566755F7"/>
    <w:rsid w:val="56681618"/>
    <w:rsid w:val="566919C6"/>
    <w:rsid w:val="566C5546"/>
    <w:rsid w:val="56745BC9"/>
    <w:rsid w:val="56CF2CD9"/>
    <w:rsid w:val="56CF2CF8"/>
    <w:rsid w:val="56D50BC3"/>
    <w:rsid w:val="56E34EAC"/>
    <w:rsid w:val="570203D1"/>
    <w:rsid w:val="571159E3"/>
    <w:rsid w:val="571D3ABE"/>
    <w:rsid w:val="571F6B78"/>
    <w:rsid w:val="57477BC8"/>
    <w:rsid w:val="57503DCA"/>
    <w:rsid w:val="57535899"/>
    <w:rsid w:val="57645BA3"/>
    <w:rsid w:val="576A1B6C"/>
    <w:rsid w:val="57791B8E"/>
    <w:rsid w:val="5790678A"/>
    <w:rsid w:val="57936854"/>
    <w:rsid w:val="579848F6"/>
    <w:rsid w:val="57A22474"/>
    <w:rsid w:val="57AF0A2B"/>
    <w:rsid w:val="57BD64A8"/>
    <w:rsid w:val="57C023F1"/>
    <w:rsid w:val="57C14981"/>
    <w:rsid w:val="57C43A36"/>
    <w:rsid w:val="57CA4EFA"/>
    <w:rsid w:val="57D97A34"/>
    <w:rsid w:val="57F62116"/>
    <w:rsid w:val="58101705"/>
    <w:rsid w:val="58335AD6"/>
    <w:rsid w:val="583D18B3"/>
    <w:rsid w:val="584265A5"/>
    <w:rsid w:val="58463AA4"/>
    <w:rsid w:val="584B27B3"/>
    <w:rsid w:val="58705777"/>
    <w:rsid w:val="58707FAE"/>
    <w:rsid w:val="58895B35"/>
    <w:rsid w:val="58B93305"/>
    <w:rsid w:val="58C83D7C"/>
    <w:rsid w:val="58D50625"/>
    <w:rsid w:val="58E7744A"/>
    <w:rsid w:val="58FE099B"/>
    <w:rsid w:val="5909370D"/>
    <w:rsid w:val="590B71FB"/>
    <w:rsid w:val="590D48EB"/>
    <w:rsid w:val="591079E9"/>
    <w:rsid w:val="591F6282"/>
    <w:rsid w:val="59422514"/>
    <w:rsid w:val="59495353"/>
    <w:rsid w:val="595034F8"/>
    <w:rsid w:val="595D2922"/>
    <w:rsid w:val="59634E7E"/>
    <w:rsid w:val="597265E6"/>
    <w:rsid w:val="5973088E"/>
    <w:rsid w:val="59A85569"/>
    <w:rsid w:val="59A90DF6"/>
    <w:rsid w:val="59B8686F"/>
    <w:rsid w:val="59B86AAB"/>
    <w:rsid w:val="59BF5B8E"/>
    <w:rsid w:val="59D027D3"/>
    <w:rsid w:val="59DE0C7A"/>
    <w:rsid w:val="59E56D7C"/>
    <w:rsid w:val="59E974BE"/>
    <w:rsid w:val="59F04D56"/>
    <w:rsid w:val="59F23350"/>
    <w:rsid w:val="5A125C89"/>
    <w:rsid w:val="5A126729"/>
    <w:rsid w:val="5A1B211E"/>
    <w:rsid w:val="5A1C4D0F"/>
    <w:rsid w:val="5A4F7A61"/>
    <w:rsid w:val="5A647D5B"/>
    <w:rsid w:val="5A730419"/>
    <w:rsid w:val="5A991C8F"/>
    <w:rsid w:val="5AA026B8"/>
    <w:rsid w:val="5AA116D7"/>
    <w:rsid w:val="5AB321D6"/>
    <w:rsid w:val="5AB42CEF"/>
    <w:rsid w:val="5AB74F92"/>
    <w:rsid w:val="5ACB49E4"/>
    <w:rsid w:val="5ACC4B5A"/>
    <w:rsid w:val="5ACF398D"/>
    <w:rsid w:val="5AD261A6"/>
    <w:rsid w:val="5AE821DA"/>
    <w:rsid w:val="5AED557F"/>
    <w:rsid w:val="5AFD1904"/>
    <w:rsid w:val="5B0123E0"/>
    <w:rsid w:val="5B073454"/>
    <w:rsid w:val="5B20452B"/>
    <w:rsid w:val="5B2C0607"/>
    <w:rsid w:val="5B3034F1"/>
    <w:rsid w:val="5B424CC5"/>
    <w:rsid w:val="5B473097"/>
    <w:rsid w:val="5B63362E"/>
    <w:rsid w:val="5B731A53"/>
    <w:rsid w:val="5B755268"/>
    <w:rsid w:val="5B787102"/>
    <w:rsid w:val="5B79544A"/>
    <w:rsid w:val="5B9C2FC5"/>
    <w:rsid w:val="5BBC1172"/>
    <w:rsid w:val="5BC86521"/>
    <w:rsid w:val="5BCD3EA4"/>
    <w:rsid w:val="5C082709"/>
    <w:rsid w:val="5C14060C"/>
    <w:rsid w:val="5C2E582C"/>
    <w:rsid w:val="5C305498"/>
    <w:rsid w:val="5C372998"/>
    <w:rsid w:val="5C5A282E"/>
    <w:rsid w:val="5C7639BC"/>
    <w:rsid w:val="5C81534B"/>
    <w:rsid w:val="5C8C0864"/>
    <w:rsid w:val="5C907A9B"/>
    <w:rsid w:val="5C9A11AC"/>
    <w:rsid w:val="5CA65278"/>
    <w:rsid w:val="5CA80B46"/>
    <w:rsid w:val="5CB564CD"/>
    <w:rsid w:val="5CBC6260"/>
    <w:rsid w:val="5CCC12AD"/>
    <w:rsid w:val="5CD12F06"/>
    <w:rsid w:val="5CD41448"/>
    <w:rsid w:val="5CE74FA9"/>
    <w:rsid w:val="5CF7084F"/>
    <w:rsid w:val="5D147937"/>
    <w:rsid w:val="5D1634FA"/>
    <w:rsid w:val="5D2040EF"/>
    <w:rsid w:val="5D3321D2"/>
    <w:rsid w:val="5D447125"/>
    <w:rsid w:val="5D614E5A"/>
    <w:rsid w:val="5D6F0EA6"/>
    <w:rsid w:val="5D7A4EBD"/>
    <w:rsid w:val="5D7B2AFB"/>
    <w:rsid w:val="5D8C5C75"/>
    <w:rsid w:val="5D916123"/>
    <w:rsid w:val="5D9D4948"/>
    <w:rsid w:val="5DA07441"/>
    <w:rsid w:val="5DA30A1C"/>
    <w:rsid w:val="5DAB4981"/>
    <w:rsid w:val="5DAF2ED6"/>
    <w:rsid w:val="5DCD5EDE"/>
    <w:rsid w:val="5DDD01B0"/>
    <w:rsid w:val="5DE31BF8"/>
    <w:rsid w:val="5DEE4FE1"/>
    <w:rsid w:val="5DEE7E4B"/>
    <w:rsid w:val="5DF434DB"/>
    <w:rsid w:val="5E040F9B"/>
    <w:rsid w:val="5E163DAD"/>
    <w:rsid w:val="5E18199F"/>
    <w:rsid w:val="5E276BBA"/>
    <w:rsid w:val="5E4A3124"/>
    <w:rsid w:val="5E4A34BA"/>
    <w:rsid w:val="5E525F9E"/>
    <w:rsid w:val="5E555E36"/>
    <w:rsid w:val="5E572B7B"/>
    <w:rsid w:val="5E715DE0"/>
    <w:rsid w:val="5E817F26"/>
    <w:rsid w:val="5E993BCD"/>
    <w:rsid w:val="5EA248D0"/>
    <w:rsid w:val="5EC875D4"/>
    <w:rsid w:val="5ED929BD"/>
    <w:rsid w:val="5EDD61AF"/>
    <w:rsid w:val="5EEF44C3"/>
    <w:rsid w:val="5EF64B87"/>
    <w:rsid w:val="5EFE24CD"/>
    <w:rsid w:val="5EFE5752"/>
    <w:rsid w:val="5F1E02ED"/>
    <w:rsid w:val="5F5335CE"/>
    <w:rsid w:val="5F6123D2"/>
    <w:rsid w:val="5F7C6175"/>
    <w:rsid w:val="5F8C113D"/>
    <w:rsid w:val="5F9F1D72"/>
    <w:rsid w:val="5FA41C29"/>
    <w:rsid w:val="5FB55859"/>
    <w:rsid w:val="5FB74AC7"/>
    <w:rsid w:val="5FD1415C"/>
    <w:rsid w:val="5FDA5184"/>
    <w:rsid w:val="5FEE6A48"/>
    <w:rsid w:val="5FF46772"/>
    <w:rsid w:val="6028198E"/>
    <w:rsid w:val="602A2D2E"/>
    <w:rsid w:val="6060214E"/>
    <w:rsid w:val="6071387E"/>
    <w:rsid w:val="607207D7"/>
    <w:rsid w:val="607A75EB"/>
    <w:rsid w:val="60932B78"/>
    <w:rsid w:val="60B1182C"/>
    <w:rsid w:val="60B54E5F"/>
    <w:rsid w:val="60D67EB5"/>
    <w:rsid w:val="60E72435"/>
    <w:rsid w:val="60F12408"/>
    <w:rsid w:val="60F53DE8"/>
    <w:rsid w:val="60F915AE"/>
    <w:rsid w:val="61186844"/>
    <w:rsid w:val="61196AEE"/>
    <w:rsid w:val="612015DC"/>
    <w:rsid w:val="61202565"/>
    <w:rsid w:val="61386C42"/>
    <w:rsid w:val="613D3456"/>
    <w:rsid w:val="6161246C"/>
    <w:rsid w:val="616A09B6"/>
    <w:rsid w:val="617A09D3"/>
    <w:rsid w:val="617E2BD9"/>
    <w:rsid w:val="617E4052"/>
    <w:rsid w:val="61894B41"/>
    <w:rsid w:val="61A02A4C"/>
    <w:rsid w:val="61AB7F4F"/>
    <w:rsid w:val="61B7640D"/>
    <w:rsid w:val="61BA3500"/>
    <w:rsid w:val="61BC7327"/>
    <w:rsid w:val="61DB4C28"/>
    <w:rsid w:val="61DE2022"/>
    <w:rsid w:val="61F12BA4"/>
    <w:rsid w:val="61F1712C"/>
    <w:rsid w:val="61FC795F"/>
    <w:rsid w:val="61FE4473"/>
    <w:rsid w:val="622A0453"/>
    <w:rsid w:val="62421C3F"/>
    <w:rsid w:val="62554D7B"/>
    <w:rsid w:val="626339C2"/>
    <w:rsid w:val="627F361F"/>
    <w:rsid w:val="62870321"/>
    <w:rsid w:val="62892F39"/>
    <w:rsid w:val="62923CFF"/>
    <w:rsid w:val="62A52639"/>
    <w:rsid w:val="62A75796"/>
    <w:rsid w:val="62C313EC"/>
    <w:rsid w:val="62D2532D"/>
    <w:rsid w:val="62D32926"/>
    <w:rsid w:val="62EB1C80"/>
    <w:rsid w:val="62F64459"/>
    <w:rsid w:val="62F76E32"/>
    <w:rsid w:val="6306529F"/>
    <w:rsid w:val="63243088"/>
    <w:rsid w:val="632B7CB6"/>
    <w:rsid w:val="632D6A8C"/>
    <w:rsid w:val="63326075"/>
    <w:rsid w:val="63577595"/>
    <w:rsid w:val="635953C4"/>
    <w:rsid w:val="636203F5"/>
    <w:rsid w:val="636D1281"/>
    <w:rsid w:val="636F05B2"/>
    <w:rsid w:val="638B05E2"/>
    <w:rsid w:val="63921C8F"/>
    <w:rsid w:val="639E2FFF"/>
    <w:rsid w:val="63B35481"/>
    <w:rsid w:val="63C546CA"/>
    <w:rsid w:val="63C73189"/>
    <w:rsid w:val="63C80685"/>
    <w:rsid w:val="63D27A4E"/>
    <w:rsid w:val="63D43500"/>
    <w:rsid w:val="63FA6EBC"/>
    <w:rsid w:val="641B128B"/>
    <w:rsid w:val="642518C9"/>
    <w:rsid w:val="642628D8"/>
    <w:rsid w:val="643353CE"/>
    <w:rsid w:val="64463885"/>
    <w:rsid w:val="645573E6"/>
    <w:rsid w:val="646C6942"/>
    <w:rsid w:val="646D325D"/>
    <w:rsid w:val="648101EB"/>
    <w:rsid w:val="64857D65"/>
    <w:rsid w:val="648A5198"/>
    <w:rsid w:val="64BB3691"/>
    <w:rsid w:val="64C649E5"/>
    <w:rsid w:val="64C971FC"/>
    <w:rsid w:val="64CC1BEF"/>
    <w:rsid w:val="64CD22CB"/>
    <w:rsid w:val="64D17A33"/>
    <w:rsid w:val="64DB0DE6"/>
    <w:rsid w:val="65192F42"/>
    <w:rsid w:val="651C413F"/>
    <w:rsid w:val="651F176C"/>
    <w:rsid w:val="652354FE"/>
    <w:rsid w:val="65243799"/>
    <w:rsid w:val="652F0DE7"/>
    <w:rsid w:val="653730AD"/>
    <w:rsid w:val="65473BE4"/>
    <w:rsid w:val="654823B1"/>
    <w:rsid w:val="655D3F53"/>
    <w:rsid w:val="655E1C0E"/>
    <w:rsid w:val="65833318"/>
    <w:rsid w:val="658B7760"/>
    <w:rsid w:val="659514FA"/>
    <w:rsid w:val="659F4A38"/>
    <w:rsid w:val="65B4203E"/>
    <w:rsid w:val="65C562C1"/>
    <w:rsid w:val="65DA30E2"/>
    <w:rsid w:val="65E419EA"/>
    <w:rsid w:val="65EC5F5D"/>
    <w:rsid w:val="65ED6121"/>
    <w:rsid w:val="65EE7177"/>
    <w:rsid w:val="660D737A"/>
    <w:rsid w:val="6635457B"/>
    <w:rsid w:val="663743A7"/>
    <w:rsid w:val="663B78CC"/>
    <w:rsid w:val="664C4D93"/>
    <w:rsid w:val="66645598"/>
    <w:rsid w:val="66713242"/>
    <w:rsid w:val="66A57E71"/>
    <w:rsid w:val="66A76320"/>
    <w:rsid w:val="66BD4460"/>
    <w:rsid w:val="66BD4681"/>
    <w:rsid w:val="66D37DBF"/>
    <w:rsid w:val="66D47A94"/>
    <w:rsid w:val="66D82ABA"/>
    <w:rsid w:val="66E4759D"/>
    <w:rsid w:val="66E75B92"/>
    <w:rsid w:val="67080774"/>
    <w:rsid w:val="67126F49"/>
    <w:rsid w:val="67195D19"/>
    <w:rsid w:val="672361E3"/>
    <w:rsid w:val="673212A8"/>
    <w:rsid w:val="67485617"/>
    <w:rsid w:val="674B4F4A"/>
    <w:rsid w:val="67586F6C"/>
    <w:rsid w:val="67625F8A"/>
    <w:rsid w:val="676A3DA6"/>
    <w:rsid w:val="67773A51"/>
    <w:rsid w:val="67835FB2"/>
    <w:rsid w:val="679805D8"/>
    <w:rsid w:val="67A46064"/>
    <w:rsid w:val="67A46EF4"/>
    <w:rsid w:val="67B16006"/>
    <w:rsid w:val="67BA07B7"/>
    <w:rsid w:val="67BC3FEE"/>
    <w:rsid w:val="67C77CC2"/>
    <w:rsid w:val="67CA7544"/>
    <w:rsid w:val="67CF598F"/>
    <w:rsid w:val="67D477F8"/>
    <w:rsid w:val="67DA1F38"/>
    <w:rsid w:val="67E118CD"/>
    <w:rsid w:val="67FF7C3A"/>
    <w:rsid w:val="68052609"/>
    <w:rsid w:val="681E1B1C"/>
    <w:rsid w:val="6829477F"/>
    <w:rsid w:val="682A1883"/>
    <w:rsid w:val="682F4FA9"/>
    <w:rsid w:val="68323C50"/>
    <w:rsid w:val="686332F5"/>
    <w:rsid w:val="68646588"/>
    <w:rsid w:val="68743ACA"/>
    <w:rsid w:val="687E7334"/>
    <w:rsid w:val="688232C2"/>
    <w:rsid w:val="68843A78"/>
    <w:rsid w:val="6892155A"/>
    <w:rsid w:val="689F0599"/>
    <w:rsid w:val="68B43376"/>
    <w:rsid w:val="68EE3897"/>
    <w:rsid w:val="68F053F6"/>
    <w:rsid w:val="68F43A1E"/>
    <w:rsid w:val="69017C6D"/>
    <w:rsid w:val="69145603"/>
    <w:rsid w:val="69184B75"/>
    <w:rsid w:val="69423186"/>
    <w:rsid w:val="6942555E"/>
    <w:rsid w:val="69432BE1"/>
    <w:rsid w:val="69492E1D"/>
    <w:rsid w:val="694A3C5C"/>
    <w:rsid w:val="694D728A"/>
    <w:rsid w:val="69832373"/>
    <w:rsid w:val="6988057F"/>
    <w:rsid w:val="699906A2"/>
    <w:rsid w:val="699B45BF"/>
    <w:rsid w:val="69AC12C2"/>
    <w:rsid w:val="69C411D0"/>
    <w:rsid w:val="69C62FFA"/>
    <w:rsid w:val="69D86C6D"/>
    <w:rsid w:val="69FA48D7"/>
    <w:rsid w:val="6A0D6DC9"/>
    <w:rsid w:val="6A341444"/>
    <w:rsid w:val="6A4A19BA"/>
    <w:rsid w:val="6A564EBF"/>
    <w:rsid w:val="6A582B8E"/>
    <w:rsid w:val="6A645FFB"/>
    <w:rsid w:val="6A6A2D90"/>
    <w:rsid w:val="6A701056"/>
    <w:rsid w:val="6A7A24EF"/>
    <w:rsid w:val="6A7B6932"/>
    <w:rsid w:val="6A7E361E"/>
    <w:rsid w:val="6A890DC5"/>
    <w:rsid w:val="6A8F3951"/>
    <w:rsid w:val="6A9A2282"/>
    <w:rsid w:val="6AAD6C66"/>
    <w:rsid w:val="6ABB292C"/>
    <w:rsid w:val="6AC46CE5"/>
    <w:rsid w:val="6ACD0D45"/>
    <w:rsid w:val="6ACF043E"/>
    <w:rsid w:val="6AD028DF"/>
    <w:rsid w:val="6AD9743D"/>
    <w:rsid w:val="6AF6368D"/>
    <w:rsid w:val="6AFE0C80"/>
    <w:rsid w:val="6B040407"/>
    <w:rsid w:val="6B055F08"/>
    <w:rsid w:val="6B083506"/>
    <w:rsid w:val="6B2873C2"/>
    <w:rsid w:val="6B2A0779"/>
    <w:rsid w:val="6B2B1D80"/>
    <w:rsid w:val="6B3111D5"/>
    <w:rsid w:val="6B3D3548"/>
    <w:rsid w:val="6B664EB6"/>
    <w:rsid w:val="6B6B0A44"/>
    <w:rsid w:val="6B936A01"/>
    <w:rsid w:val="6B947E09"/>
    <w:rsid w:val="6BA87D31"/>
    <w:rsid w:val="6BB72998"/>
    <w:rsid w:val="6BBC73BD"/>
    <w:rsid w:val="6BC066B1"/>
    <w:rsid w:val="6BD42604"/>
    <w:rsid w:val="6BE85BF1"/>
    <w:rsid w:val="6C033227"/>
    <w:rsid w:val="6C0B1660"/>
    <w:rsid w:val="6C133DDF"/>
    <w:rsid w:val="6C320084"/>
    <w:rsid w:val="6C391CC7"/>
    <w:rsid w:val="6C430889"/>
    <w:rsid w:val="6C533915"/>
    <w:rsid w:val="6C7F31BE"/>
    <w:rsid w:val="6C8071BA"/>
    <w:rsid w:val="6CBB7007"/>
    <w:rsid w:val="6CD91C0E"/>
    <w:rsid w:val="6CE01353"/>
    <w:rsid w:val="6CE176B9"/>
    <w:rsid w:val="6CEA7AAC"/>
    <w:rsid w:val="6CF00414"/>
    <w:rsid w:val="6CF02816"/>
    <w:rsid w:val="6CF35CFC"/>
    <w:rsid w:val="6CFA25E1"/>
    <w:rsid w:val="6D1030E8"/>
    <w:rsid w:val="6D2747F1"/>
    <w:rsid w:val="6D3F29A1"/>
    <w:rsid w:val="6D4149C8"/>
    <w:rsid w:val="6D544DC6"/>
    <w:rsid w:val="6D5D09E7"/>
    <w:rsid w:val="6D651DF3"/>
    <w:rsid w:val="6D7C57FB"/>
    <w:rsid w:val="6D9E263C"/>
    <w:rsid w:val="6D9E6AFC"/>
    <w:rsid w:val="6DD658EE"/>
    <w:rsid w:val="6DDD6E36"/>
    <w:rsid w:val="6DE276B3"/>
    <w:rsid w:val="6DE714B6"/>
    <w:rsid w:val="6DEC1C21"/>
    <w:rsid w:val="6E0F1FEB"/>
    <w:rsid w:val="6E152319"/>
    <w:rsid w:val="6E155346"/>
    <w:rsid w:val="6E200829"/>
    <w:rsid w:val="6E3A7BFC"/>
    <w:rsid w:val="6E3B0BAF"/>
    <w:rsid w:val="6E3E0629"/>
    <w:rsid w:val="6E4E3E08"/>
    <w:rsid w:val="6E501AEB"/>
    <w:rsid w:val="6E7C11B5"/>
    <w:rsid w:val="6E7F556F"/>
    <w:rsid w:val="6E8C2E06"/>
    <w:rsid w:val="6E997C25"/>
    <w:rsid w:val="6E9C165A"/>
    <w:rsid w:val="6E9F07E1"/>
    <w:rsid w:val="6EA14A30"/>
    <w:rsid w:val="6EB6105A"/>
    <w:rsid w:val="6EC46D49"/>
    <w:rsid w:val="6EC629FF"/>
    <w:rsid w:val="6EC7282F"/>
    <w:rsid w:val="6ECA6C00"/>
    <w:rsid w:val="6F1C104C"/>
    <w:rsid w:val="6F26499B"/>
    <w:rsid w:val="6F2B25A1"/>
    <w:rsid w:val="6F2D024C"/>
    <w:rsid w:val="6F2D277B"/>
    <w:rsid w:val="6F2F3282"/>
    <w:rsid w:val="6F3F60CB"/>
    <w:rsid w:val="6F587A8E"/>
    <w:rsid w:val="6F5A7044"/>
    <w:rsid w:val="6F5D5506"/>
    <w:rsid w:val="6F600C59"/>
    <w:rsid w:val="6F703F1B"/>
    <w:rsid w:val="6F795A80"/>
    <w:rsid w:val="6F7E2770"/>
    <w:rsid w:val="6F8776A7"/>
    <w:rsid w:val="6F957D21"/>
    <w:rsid w:val="6F9A1B5B"/>
    <w:rsid w:val="6FA57C2A"/>
    <w:rsid w:val="6FC22E70"/>
    <w:rsid w:val="6FD175F7"/>
    <w:rsid w:val="6FD95378"/>
    <w:rsid w:val="6FF47B92"/>
    <w:rsid w:val="6FFD1488"/>
    <w:rsid w:val="70027824"/>
    <w:rsid w:val="700B44C9"/>
    <w:rsid w:val="70173431"/>
    <w:rsid w:val="703C1CAA"/>
    <w:rsid w:val="703E1108"/>
    <w:rsid w:val="70460ECD"/>
    <w:rsid w:val="704B7EBD"/>
    <w:rsid w:val="7051053C"/>
    <w:rsid w:val="707F7FC1"/>
    <w:rsid w:val="70830694"/>
    <w:rsid w:val="7092075C"/>
    <w:rsid w:val="70A16710"/>
    <w:rsid w:val="70AF49AD"/>
    <w:rsid w:val="70CC6CCD"/>
    <w:rsid w:val="70E234A9"/>
    <w:rsid w:val="70E51433"/>
    <w:rsid w:val="70FC24C5"/>
    <w:rsid w:val="71081951"/>
    <w:rsid w:val="710C10AD"/>
    <w:rsid w:val="71195FA1"/>
    <w:rsid w:val="711F23C1"/>
    <w:rsid w:val="71252C8F"/>
    <w:rsid w:val="712D7A96"/>
    <w:rsid w:val="71334F8E"/>
    <w:rsid w:val="713954C7"/>
    <w:rsid w:val="713C2BF3"/>
    <w:rsid w:val="715517E0"/>
    <w:rsid w:val="715D55F4"/>
    <w:rsid w:val="71647A80"/>
    <w:rsid w:val="71682CDB"/>
    <w:rsid w:val="716D1C68"/>
    <w:rsid w:val="717C301D"/>
    <w:rsid w:val="718D2B25"/>
    <w:rsid w:val="71AC3CA8"/>
    <w:rsid w:val="71B24D30"/>
    <w:rsid w:val="71E67530"/>
    <w:rsid w:val="71F552A8"/>
    <w:rsid w:val="71FA60A3"/>
    <w:rsid w:val="71FD3369"/>
    <w:rsid w:val="7208350E"/>
    <w:rsid w:val="72142600"/>
    <w:rsid w:val="72264502"/>
    <w:rsid w:val="723358B2"/>
    <w:rsid w:val="72347B51"/>
    <w:rsid w:val="72356228"/>
    <w:rsid w:val="72363B93"/>
    <w:rsid w:val="72366F69"/>
    <w:rsid w:val="72546CCC"/>
    <w:rsid w:val="72571A57"/>
    <w:rsid w:val="7269077B"/>
    <w:rsid w:val="727F0C00"/>
    <w:rsid w:val="72981E43"/>
    <w:rsid w:val="729C3060"/>
    <w:rsid w:val="72AD5CE4"/>
    <w:rsid w:val="72BB344D"/>
    <w:rsid w:val="72BD396A"/>
    <w:rsid w:val="72E77D45"/>
    <w:rsid w:val="72EA334F"/>
    <w:rsid w:val="730440C9"/>
    <w:rsid w:val="730B241D"/>
    <w:rsid w:val="73225EEC"/>
    <w:rsid w:val="73236EBA"/>
    <w:rsid w:val="73242532"/>
    <w:rsid w:val="73480C9F"/>
    <w:rsid w:val="734C24BD"/>
    <w:rsid w:val="7356298F"/>
    <w:rsid w:val="7357002D"/>
    <w:rsid w:val="73576104"/>
    <w:rsid w:val="735A6C44"/>
    <w:rsid w:val="73764F03"/>
    <w:rsid w:val="73815738"/>
    <w:rsid w:val="73927989"/>
    <w:rsid w:val="739F3A97"/>
    <w:rsid w:val="73AF1694"/>
    <w:rsid w:val="73B673EF"/>
    <w:rsid w:val="73C8277D"/>
    <w:rsid w:val="73CE2AF2"/>
    <w:rsid w:val="73EF07B7"/>
    <w:rsid w:val="73F02366"/>
    <w:rsid w:val="73F07FEE"/>
    <w:rsid w:val="74057A07"/>
    <w:rsid w:val="742254DD"/>
    <w:rsid w:val="7437180D"/>
    <w:rsid w:val="74391D4B"/>
    <w:rsid w:val="74483CFE"/>
    <w:rsid w:val="744B0DA7"/>
    <w:rsid w:val="744D3074"/>
    <w:rsid w:val="74624CC6"/>
    <w:rsid w:val="746A5AD3"/>
    <w:rsid w:val="74723306"/>
    <w:rsid w:val="747A2CC8"/>
    <w:rsid w:val="747F3641"/>
    <w:rsid w:val="74B579B7"/>
    <w:rsid w:val="74B71E9C"/>
    <w:rsid w:val="74BB7061"/>
    <w:rsid w:val="74CE3EB2"/>
    <w:rsid w:val="74DB340A"/>
    <w:rsid w:val="74E82D21"/>
    <w:rsid w:val="750D23D7"/>
    <w:rsid w:val="750E03C1"/>
    <w:rsid w:val="751C6251"/>
    <w:rsid w:val="751E470B"/>
    <w:rsid w:val="753D7B6A"/>
    <w:rsid w:val="754026A2"/>
    <w:rsid w:val="754301AD"/>
    <w:rsid w:val="754E2F08"/>
    <w:rsid w:val="75500735"/>
    <w:rsid w:val="75670772"/>
    <w:rsid w:val="75671A3D"/>
    <w:rsid w:val="757C44C8"/>
    <w:rsid w:val="75961C87"/>
    <w:rsid w:val="759A09C5"/>
    <w:rsid w:val="75A6427E"/>
    <w:rsid w:val="75AF7DF9"/>
    <w:rsid w:val="75B243A7"/>
    <w:rsid w:val="75DE6DB1"/>
    <w:rsid w:val="75E16ABB"/>
    <w:rsid w:val="75E572CF"/>
    <w:rsid w:val="75FB07A2"/>
    <w:rsid w:val="75FF02E6"/>
    <w:rsid w:val="76046317"/>
    <w:rsid w:val="760617CC"/>
    <w:rsid w:val="761375E4"/>
    <w:rsid w:val="76217478"/>
    <w:rsid w:val="763C572C"/>
    <w:rsid w:val="7656131D"/>
    <w:rsid w:val="7666354F"/>
    <w:rsid w:val="766B6ECD"/>
    <w:rsid w:val="767470B0"/>
    <w:rsid w:val="767E397C"/>
    <w:rsid w:val="76855EB9"/>
    <w:rsid w:val="7692691E"/>
    <w:rsid w:val="76996365"/>
    <w:rsid w:val="769A10D0"/>
    <w:rsid w:val="76C2349E"/>
    <w:rsid w:val="76CB35EC"/>
    <w:rsid w:val="76D054CE"/>
    <w:rsid w:val="76D10C55"/>
    <w:rsid w:val="76D276DD"/>
    <w:rsid w:val="76D85DAB"/>
    <w:rsid w:val="76EA2D88"/>
    <w:rsid w:val="76FC5ECA"/>
    <w:rsid w:val="77040C67"/>
    <w:rsid w:val="770C2851"/>
    <w:rsid w:val="770E161B"/>
    <w:rsid w:val="773B587C"/>
    <w:rsid w:val="773F6299"/>
    <w:rsid w:val="77416C82"/>
    <w:rsid w:val="774271F2"/>
    <w:rsid w:val="77453760"/>
    <w:rsid w:val="77473689"/>
    <w:rsid w:val="77640DC4"/>
    <w:rsid w:val="77653D55"/>
    <w:rsid w:val="776A7D9F"/>
    <w:rsid w:val="77734AD9"/>
    <w:rsid w:val="77767106"/>
    <w:rsid w:val="77786FD4"/>
    <w:rsid w:val="77A954AE"/>
    <w:rsid w:val="77AB2363"/>
    <w:rsid w:val="77D71742"/>
    <w:rsid w:val="77E342D7"/>
    <w:rsid w:val="77F3466D"/>
    <w:rsid w:val="780127F5"/>
    <w:rsid w:val="7822274B"/>
    <w:rsid w:val="78306EF8"/>
    <w:rsid w:val="7840608D"/>
    <w:rsid w:val="78494C44"/>
    <w:rsid w:val="78594455"/>
    <w:rsid w:val="785A03C2"/>
    <w:rsid w:val="78786AB3"/>
    <w:rsid w:val="787D7B01"/>
    <w:rsid w:val="78927153"/>
    <w:rsid w:val="78970591"/>
    <w:rsid w:val="789C0A5C"/>
    <w:rsid w:val="78B065B0"/>
    <w:rsid w:val="78BD4113"/>
    <w:rsid w:val="78C33E4A"/>
    <w:rsid w:val="78F10DB2"/>
    <w:rsid w:val="7901119D"/>
    <w:rsid w:val="790177E9"/>
    <w:rsid w:val="790D3EA5"/>
    <w:rsid w:val="79106B12"/>
    <w:rsid w:val="791B2495"/>
    <w:rsid w:val="791D2A50"/>
    <w:rsid w:val="791E4915"/>
    <w:rsid w:val="79366F18"/>
    <w:rsid w:val="793E022D"/>
    <w:rsid w:val="793E56AD"/>
    <w:rsid w:val="79432736"/>
    <w:rsid w:val="79505D65"/>
    <w:rsid w:val="79660E81"/>
    <w:rsid w:val="797940FE"/>
    <w:rsid w:val="79866E7E"/>
    <w:rsid w:val="798A6A50"/>
    <w:rsid w:val="799A7341"/>
    <w:rsid w:val="79AA4A14"/>
    <w:rsid w:val="79AD792E"/>
    <w:rsid w:val="79B63FC9"/>
    <w:rsid w:val="79C16BC7"/>
    <w:rsid w:val="79C21E49"/>
    <w:rsid w:val="79C673FA"/>
    <w:rsid w:val="79DE02DD"/>
    <w:rsid w:val="79E07E40"/>
    <w:rsid w:val="79E13C8B"/>
    <w:rsid w:val="79EB5D1B"/>
    <w:rsid w:val="79FC6182"/>
    <w:rsid w:val="7A0A0885"/>
    <w:rsid w:val="7A0A6F4F"/>
    <w:rsid w:val="7A1D2D65"/>
    <w:rsid w:val="7A2E0A35"/>
    <w:rsid w:val="7A456F6D"/>
    <w:rsid w:val="7A526C88"/>
    <w:rsid w:val="7A5705CE"/>
    <w:rsid w:val="7A5D27C6"/>
    <w:rsid w:val="7A5F16CA"/>
    <w:rsid w:val="7A68409A"/>
    <w:rsid w:val="7A710D8E"/>
    <w:rsid w:val="7AB1300F"/>
    <w:rsid w:val="7AB45E26"/>
    <w:rsid w:val="7AB64E52"/>
    <w:rsid w:val="7ADA0EA4"/>
    <w:rsid w:val="7AE75FBC"/>
    <w:rsid w:val="7AFC56DC"/>
    <w:rsid w:val="7B0D3216"/>
    <w:rsid w:val="7B345398"/>
    <w:rsid w:val="7B355131"/>
    <w:rsid w:val="7B590C27"/>
    <w:rsid w:val="7B6B24CD"/>
    <w:rsid w:val="7B6C5EAB"/>
    <w:rsid w:val="7B7814A8"/>
    <w:rsid w:val="7B814DD3"/>
    <w:rsid w:val="7B861DF2"/>
    <w:rsid w:val="7B864059"/>
    <w:rsid w:val="7B874BE4"/>
    <w:rsid w:val="7BA33013"/>
    <w:rsid w:val="7BB97642"/>
    <w:rsid w:val="7BF702E8"/>
    <w:rsid w:val="7BFA0FA5"/>
    <w:rsid w:val="7BFE2BF5"/>
    <w:rsid w:val="7C162A9E"/>
    <w:rsid w:val="7C177BEA"/>
    <w:rsid w:val="7C1908EC"/>
    <w:rsid w:val="7C206AB7"/>
    <w:rsid w:val="7C647A61"/>
    <w:rsid w:val="7C7B2256"/>
    <w:rsid w:val="7C8646F6"/>
    <w:rsid w:val="7C886A69"/>
    <w:rsid w:val="7C8F6150"/>
    <w:rsid w:val="7C9B11F5"/>
    <w:rsid w:val="7C9B46D0"/>
    <w:rsid w:val="7CA37E05"/>
    <w:rsid w:val="7CA95B93"/>
    <w:rsid w:val="7CBC0850"/>
    <w:rsid w:val="7CBC5897"/>
    <w:rsid w:val="7CD3681B"/>
    <w:rsid w:val="7CF20DD2"/>
    <w:rsid w:val="7CFF7134"/>
    <w:rsid w:val="7D1D1FC6"/>
    <w:rsid w:val="7D28646B"/>
    <w:rsid w:val="7D2D300E"/>
    <w:rsid w:val="7D4714AF"/>
    <w:rsid w:val="7D476185"/>
    <w:rsid w:val="7D7016BE"/>
    <w:rsid w:val="7D8603E2"/>
    <w:rsid w:val="7D983576"/>
    <w:rsid w:val="7D9B3D45"/>
    <w:rsid w:val="7D9C553A"/>
    <w:rsid w:val="7DBB346B"/>
    <w:rsid w:val="7DD0508B"/>
    <w:rsid w:val="7DE4119D"/>
    <w:rsid w:val="7DEE5B58"/>
    <w:rsid w:val="7DEF4E30"/>
    <w:rsid w:val="7E0B1390"/>
    <w:rsid w:val="7E2B13AE"/>
    <w:rsid w:val="7E676A56"/>
    <w:rsid w:val="7E690FF4"/>
    <w:rsid w:val="7E947A7E"/>
    <w:rsid w:val="7EA36676"/>
    <w:rsid w:val="7ED03245"/>
    <w:rsid w:val="7ED25E9B"/>
    <w:rsid w:val="7ED37D6E"/>
    <w:rsid w:val="7F0A2251"/>
    <w:rsid w:val="7F0A51A4"/>
    <w:rsid w:val="7F1A0C40"/>
    <w:rsid w:val="7F332C78"/>
    <w:rsid w:val="7F3F5D11"/>
    <w:rsid w:val="7F486A87"/>
    <w:rsid w:val="7F7D2EBD"/>
    <w:rsid w:val="7F8846F0"/>
    <w:rsid w:val="7FA36CA7"/>
    <w:rsid w:val="7FAD2052"/>
    <w:rsid w:val="7FD34F08"/>
    <w:rsid w:val="7FD51EFD"/>
    <w:rsid w:val="7FE04F3E"/>
    <w:rsid w:val="7FEA3B6F"/>
    <w:rsid w:val="BAFFAB79"/>
    <w:rsid w:val="DBEED555"/>
  </w:rsids>
  <m:mathPr>
    <m:lMargin m:val="0"/>
    <m:rMargin m:val="0"/>
    <m:wrapIndent m:val="1440"/>
    <m:brkBin m:val="before"/>
    <m:brkBinSub m:val="--"/>
    <m:defJc m:val="centerGroup"/>
    <m:intLim m:val="subSup"/>
    <m:naryLim m:val="undOvr"/>
    <m:smallFrac m:val="0"/>
    <m:dispDef/>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2">
    <w:name w:val="Default Paragraph Font"/>
    <w:unhideWhenUsed/>
    <w:qFormat/>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5">
    <w:name w:val="编号符号"/>
    <w:qFormat/>
    <w:uiPriority w:val="0"/>
  </w:style>
  <w:style w:type="character" w:customStyle="1" w:styleId="16">
    <w:name w:val="页眉 字符"/>
    <w:basedOn w:val="12"/>
    <w:qFormat/>
    <w:uiPriority w:val="0"/>
    <w:rPr>
      <w:rFonts w:ascii="Arial Unicode MS" w:hAnsi="Arial Unicode MS" w:eastAsia="Arial Unicode MS" w:cs="Arial Unicode MS"/>
      <w:sz w:val="18"/>
      <w:szCs w:val="18"/>
      <w:lang w:val="zh-CN" w:bidi="zh-CN"/>
    </w:rPr>
  </w:style>
  <w:style w:type="character" w:customStyle="1" w:styleId="17">
    <w:name w:val="页脚 字符"/>
    <w:basedOn w:val="12"/>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customXml" Target="../customXml/item1.xml"/><Relationship Id="rId21" Type="http://schemas.openxmlformats.org/officeDocument/2006/relationships/image" Target="media/image2.png"/><Relationship Id="rId20" Type="http://schemas.openxmlformats.org/officeDocument/2006/relationships/image" Target="media/image1.png"/><Relationship Id="rId2" Type="http://schemas.openxmlformats.org/officeDocument/2006/relationships/settings" Target="settings.xml"/><Relationship Id="rId19" Type="http://schemas.openxmlformats.org/officeDocument/2006/relationships/theme" Target="theme/theme1.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1913</Words>
  <Characters>6541</Characters>
  <Lines>0</Lines>
  <Paragraphs>501</Paragraphs>
  <ScaleCrop>false</ScaleCrop>
  <LinksUpToDate>false</LinksUpToDate>
  <CharactersWithSpaces>6558</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admin</cp:lastModifiedBy>
  <dcterms:modified xsi:type="dcterms:W3CDTF">2024-03-10T07:01:38Z</dcterms:modified>
  <dc:title>部门预算公开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2052-10.8.0.5715</vt:lpwstr>
  </property>
  <property fmtid="{D5CDD505-2E9C-101B-9397-08002B2CF9AE}" pid="6" name="LastSaved">
    <vt:filetime>2021-04-15T00:00:00Z</vt:filetime>
  </property>
</Properties>
</file>