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14"/>
        <w:tblW w:w="1008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08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48" w:hRule="atLeast"/>
        </w:trPr>
        <w:tc>
          <w:tcPr>
            <w:tcW w:w="10082" w:type="dxa"/>
            <w:tcBorders>
              <w:top w:val="nil"/>
              <w:left w:val="nil"/>
              <w:bottom w:val="nil"/>
              <w:right w:val="nil"/>
            </w:tcBorders>
          </w:tcPr>
          <w:p>
            <w:pPr>
              <w:pStyle w:val="8"/>
              <w:spacing w:line="550" w:lineRule="exact"/>
              <w:rPr>
                <w:rFonts w:hint="eastAsia" w:ascii="仿宋" w:hAnsi="仿宋" w:eastAsia="仿宋" w:cs="仿宋"/>
                <w:b/>
                <w:bCs/>
                <w:color w:val="FF0000"/>
                <w:sz w:val="22"/>
                <w:szCs w:val="22"/>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45" w:hRule="atLeast"/>
        </w:trPr>
        <w:tc>
          <w:tcPr>
            <w:tcW w:w="10082" w:type="dxa"/>
            <w:tcBorders>
              <w:top w:val="nil"/>
              <w:left w:val="nil"/>
              <w:bottom w:val="nil"/>
              <w:right w:val="nil"/>
            </w:tcBorders>
            <w:vAlign w:val="center"/>
          </w:tcPr>
          <w:p>
            <w:pPr>
              <w:ind w:right="284" w:rightChars="129"/>
              <w:jc w:val="center"/>
              <w:rPr>
                <w:rFonts w:hint="eastAsia" w:ascii="仿宋" w:hAnsi="仿宋" w:eastAsia="仿宋" w:cs="仿宋"/>
                <w:b/>
                <w:bCs/>
                <w:color w:val="FF0000"/>
                <w:sz w:val="22"/>
                <w:szCs w:val="22"/>
                <w:vertAlign w:val="baseline"/>
              </w:rPr>
            </w:pPr>
            <w:r>
              <w:rPr>
                <w:rFonts w:ascii="宋体" w:hAnsi="宋体" w:eastAsia="宋体" w:cs="宋体"/>
                <w:b/>
                <w:sz w:val="52"/>
              </w:rPr>
              <w:t>2023年度</w:t>
            </w:r>
            <w:r>
              <w:rPr>
                <w:rFonts w:ascii="宋体" w:hAnsi="宋体" w:eastAsia="宋体" w:cs="宋体"/>
                <w:b/>
                <w:sz w:val="52"/>
              </w:rPr>
              <w:cr/>
            </w:r>
            <w:r>
              <w:rPr>
                <w:rFonts w:ascii="宋体" w:hAnsi="宋体" w:eastAsia="宋体" w:cs="宋体"/>
                <w:b/>
                <w:sz w:val="52"/>
              </w:rPr>
              <w:br w:type="textWrapping"/>
            </w:r>
            <w:r>
              <w:rPr>
                <w:rFonts w:ascii="宋体" w:hAnsi="宋体" w:eastAsia="宋体" w:cs="宋体"/>
                <w:b/>
                <w:sz w:val="52"/>
              </w:rPr>
              <w:t>江苏省伤残人康复中心</w:t>
            </w:r>
            <w:r>
              <w:rPr>
                <w:rFonts w:ascii="宋体" w:hAnsi="宋体" w:eastAsia="宋体" w:cs="宋体"/>
                <w:b/>
                <w:sz w:val="52"/>
              </w:rPr>
              <w:cr/>
            </w:r>
            <w:r>
              <w:rPr>
                <w:rFonts w:ascii="宋体" w:hAnsi="宋体" w:eastAsia="宋体" w:cs="宋体"/>
                <w:b/>
                <w:sz w:val="52"/>
              </w:rPr>
              <w:br w:type="textWrapping"/>
            </w:r>
            <w:r>
              <w:rPr>
                <w:rFonts w:ascii="宋体" w:hAnsi="宋体" w:eastAsia="宋体" w:cs="宋体"/>
                <w:b/>
                <w:sz w:val="52"/>
              </w:rPr>
              <w:t>单位预算公开</w:t>
            </w:r>
          </w:p>
        </w:tc>
      </w:tr>
    </w:tbl>
    <w:p>
      <w:pPr>
        <w:ind w:right="284" w:rightChars="129"/>
        <w:jc w:val="both"/>
        <w:rPr>
          <w:rFonts w:hint="eastAsia" w:ascii="宋体" w:hAnsi="宋体" w:eastAsia="宋体" w:cs="宋体"/>
          <w:b/>
          <w:bCs/>
          <w:sz w:val="52"/>
          <w:szCs w:val="52"/>
        </w:rPr>
        <w:sectPr>
          <w:headerReference r:id="rId4" w:type="first"/>
          <w:headerReference r:id="rId3" w:type="default"/>
          <w:pgSz w:w="11906" w:h="16838"/>
          <w:pgMar w:top="1580" w:right="1020" w:bottom="770" w:left="1020" w:header="170" w:footer="280" w:gutter="0"/>
          <w:pgBorders>
            <w:top w:val="none" w:color="auto" w:sz="0" w:space="0"/>
            <w:left w:val="none" w:color="auto" w:sz="0" w:space="0"/>
            <w:bottom w:val="none" w:color="auto" w:sz="0" w:space="0"/>
            <w:right w:val="none" w:color="auto" w:sz="0" w:space="0"/>
          </w:pgBorders>
          <w:pgNumType w:fmt="decimal"/>
          <w:cols w:space="720" w:num="1"/>
          <w:formProt w:val="0"/>
          <w:titlePg/>
          <w:docGrid w:linePitch="100" w:charSpace="0"/>
        </w:sectPr>
      </w:pPr>
    </w:p>
    <w:p>
      <w:pPr>
        <w:pStyle w:val="8"/>
        <w:spacing w:before="4" w:after="0"/>
        <w:rPr>
          <w:rFonts w:ascii="华文仿宋" w:hAnsi="华文仿宋" w:eastAsia="华文仿宋" w:cs="仿宋"/>
          <w:sz w:val="10"/>
        </w:rPr>
      </w:pPr>
    </w:p>
    <w:p>
      <w:pPr>
        <w:pStyle w:val="3"/>
        <w:keepNext w:val="0"/>
        <w:keepLines w:val="0"/>
        <w:pageBreakBefore w:val="0"/>
        <w:widowControl w:val="0"/>
        <w:tabs>
          <w:tab w:val="left" w:pos="880"/>
        </w:tabs>
        <w:kinsoku/>
        <w:wordWrap/>
        <w:overflowPunct/>
        <w:topLinePunct w:val="0"/>
        <w:autoSpaceDE/>
        <w:autoSpaceDN/>
        <w:bidi w:val="0"/>
        <w:adjustRightInd/>
        <w:snapToGrid w:val="0"/>
        <w:spacing w:after="0" w:line="240" w:lineRule="auto"/>
        <w:ind w:right="313" w:firstLine="0"/>
        <w:textAlignment w:val="auto"/>
        <w:rPr>
          <w:rFonts w:hint="eastAsia" w:ascii="仿宋" w:hAnsi="仿宋" w:eastAsia="仿宋" w:cs="仿宋"/>
        </w:rPr>
      </w:pPr>
      <w:r>
        <w:rPr>
          <w:rFonts w:hint="eastAsia" w:ascii="仿宋" w:hAnsi="仿宋" w:eastAsia="仿宋" w:cs="仿宋"/>
          <w:b/>
          <w:bCs/>
        </w:rPr>
        <w:t>目</w:t>
      </w:r>
      <w:r>
        <w:rPr>
          <w:rFonts w:hint="eastAsia" w:ascii="仿宋" w:hAnsi="仿宋" w:eastAsia="仿宋" w:cs="仿宋"/>
          <w:b/>
          <w:bCs/>
        </w:rPr>
        <w:tab/>
      </w:r>
      <w:r>
        <w:rPr>
          <w:rFonts w:hint="eastAsia" w:ascii="仿宋" w:hAnsi="仿宋" w:eastAsia="仿宋" w:cs="仿宋"/>
          <w:b/>
          <w:bCs/>
        </w:rPr>
        <w:t>录</w:t>
      </w:r>
    </w:p>
    <w:p>
      <w:pPr>
        <w:pStyle w:val="8"/>
        <w:keepNext w:val="0"/>
        <w:keepLines w:val="0"/>
        <w:pageBreakBefore w:val="0"/>
        <w:widowControl w:val="0"/>
        <w:kinsoku/>
        <w:wordWrap/>
        <w:overflowPunct/>
        <w:topLinePunct w:val="0"/>
        <w:autoSpaceDE/>
        <w:autoSpaceDN/>
        <w:bidi w:val="0"/>
        <w:adjustRightInd/>
        <w:snapToGrid w:val="0"/>
        <w:spacing w:before="7" w:after="0" w:line="240" w:lineRule="auto"/>
        <w:textAlignment w:val="auto"/>
        <w:rPr>
          <w:rFonts w:hint="eastAsia" w:ascii="仿宋" w:hAnsi="仿宋" w:eastAsia="仿宋" w:cs="仿宋"/>
          <w:sz w:val="27"/>
        </w:rPr>
      </w:pP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b/>
          <w:bCs/>
        </w:rPr>
        <w:t xml:space="preserve">第一部分 </w:t>
      </w:r>
      <w:r>
        <w:rPr>
          <w:rFonts w:hint="eastAsia" w:ascii="仿宋" w:hAnsi="仿宋" w:eastAsia="仿宋" w:cs="仿宋"/>
          <w:b/>
          <w:bCs/>
          <w:lang w:val="en-US" w:eastAsia="zh-CN"/>
        </w:rPr>
        <w:t>单位</w:t>
      </w:r>
      <w:r>
        <w:rPr>
          <w:rFonts w:hint="eastAsia" w:ascii="仿宋" w:hAnsi="仿宋" w:eastAsia="仿宋" w:cs="仿宋"/>
          <w:b/>
          <w:bCs/>
        </w:rPr>
        <w:t>概况</w:t>
      </w:r>
    </w:p>
    <w:p>
      <w:pPr>
        <w:pStyle w:val="8"/>
        <w:keepNext w:val="0"/>
        <w:keepLines w:val="0"/>
        <w:pageBreakBefore w:val="0"/>
        <w:widowControl w:val="0"/>
        <w:tabs>
          <w:tab w:val="left" w:pos="2249"/>
        </w:tabs>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一、主要职能</w:t>
      </w:r>
    </w:p>
    <w:p>
      <w:pPr>
        <w:pStyle w:val="8"/>
        <w:keepNext w:val="0"/>
        <w:keepLines w:val="0"/>
        <w:pageBreakBefore w:val="0"/>
        <w:widowControl w:val="0"/>
        <w:tabs>
          <w:tab w:val="left" w:pos="2249"/>
        </w:tabs>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二、</w:t>
      </w:r>
      <w:r>
        <w:rPr>
          <w:rFonts w:hint="eastAsia" w:ascii="仿宋" w:hAnsi="仿宋" w:eastAsia="仿宋" w:cs="仿宋"/>
          <w:lang w:val="en-US" w:eastAsia="zh-CN"/>
        </w:rPr>
        <w:t>单位</w:t>
      </w:r>
      <w:r>
        <w:rPr>
          <w:rFonts w:hint="eastAsia" w:ascii="仿宋" w:hAnsi="仿宋" w:eastAsia="仿宋" w:cs="仿宋"/>
        </w:rPr>
        <w:t>机构设置及预算单位构成情况</w:t>
      </w:r>
    </w:p>
    <w:p>
      <w:pPr>
        <w:pStyle w:val="8"/>
        <w:keepNext w:val="0"/>
        <w:keepLines w:val="0"/>
        <w:pageBreakBefore w:val="0"/>
        <w:widowControl w:val="0"/>
        <w:tabs>
          <w:tab w:val="left" w:pos="2249"/>
        </w:tabs>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三、</w:t>
      </w:r>
      <w:r>
        <w:rPr>
          <w:rFonts w:hint="eastAsia" w:ascii="仿宋" w:hAnsi="仿宋" w:eastAsia="仿宋" w:cs="仿宋"/>
          <w:lang w:eastAsia="zh-CN"/>
        </w:rPr>
        <w:t>2023</w:t>
      </w:r>
      <w:r>
        <w:rPr>
          <w:rFonts w:hint="eastAsia" w:ascii="仿宋" w:hAnsi="仿宋" w:eastAsia="仿宋" w:cs="仿宋"/>
        </w:rPr>
        <w:t>年度</w:t>
      </w:r>
      <w:r>
        <w:rPr>
          <w:rFonts w:hint="eastAsia" w:ascii="仿宋" w:hAnsi="仿宋" w:eastAsia="仿宋" w:cs="仿宋"/>
          <w:lang w:val="en-US" w:eastAsia="zh-CN"/>
        </w:rPr>
        <w:t>单位</w:t>
      </w:r>
      <w:r>
        <w:rPr>
          <w:rFonts w:hint="eastAsia" w:ascii="仿宋" w:hAnsi="仿宋" w:eastAsia="仿宋" w:cs="仿宋"/>
        </w:rPr>
        <w:t>主要工作任务及目标</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b/>
          <w:bCs/>
        </w:rPr>
      </w:pPr>
      <w:r>
        <w:rPr>
          <w:rFonts w:hint="eastAsia" w:ascii="仿宋" w:hAnsi="仿宋" w:eastAsia="仿宋" w:cs="仿宋"/>
          <w:b/>
          <w:bCs/>
          <w:lang w:val="en-US" w:eastAsia="zh-CN"/>
        </w:rPr>
        <w:t xml:space="preserve">第二部分 </w:t>
      </w:r>
      <w:r>
        <w:rPr>
          <w:rFonts w:hint="eastAsia" w:ascii="仿宋" w:hAnsi="仿宋" w:eastAsia="仿宋" w:cs="仿宋"/>
          <w:b/>
          <w:bCs/>
          <w:color w:val="000000"/>
          <w:sz w:val="30"/>
          <w:szCs w:val="30"/>
          <w:lang w:val="en-US" w:eastAsia="zh-CN" w:bidi="ar"/>
        </w:rPr>
        <w:t>2023</w:t>
      </w:r>
      <w:r>
        <w:rPr>
          <w:rFonts w:hint="eastAsia" w:ascii="仿宋" w:hAnsi="仿宋" w:eastAsia="仿宋" w:cs="仿宋"/>
          <w:b/>
          <w:bCs/>
          <w:lang w:val="en-US" w:eastAsia="zh-CN"/>
        </w:rPr>
        <w:t>年度</w:t>
      </w:r>
      <w:r>
        <w:rPr>
          <w:rFonts w:ascii="仿宋" w:hAnsi="仿宋" w:eastAsia="仿宋" w:cs="仿宋"/>
          <w:b/>
        </w:rPr>
        <w:t>单位预算表</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一、收支总表</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二、收入总表</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三、支出总表</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四、财政拨款收支总表</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五、财政拨款支出表（功能科目）</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六、财政拨款基本支出表（经济科目）</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七、一般公共预算支出表</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八、一般公共预算基本支出表</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九、一般公共预算“三公”经费、会议费、培训费支出表</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十、政府性基金预算支出表</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十</w:t>
      </w:r>
      <w:r>
        <w:rPr>
          <w:rFonts w:hint="eastAsia" w:ascii="仿宋" w:hAnsi="仿宋" w:eastAsia="仿宋" w:cs="仿宋"/>
          <w:lang w:val="en-US" w:eastAsia="zh-CN"/>
        </w:rPr>
        <w:t>一</w:t>
      </w:r>
      <w:r>
        <w:rPr>
          <w:rFonts w:hint="eastAsia" w:ascii="仿宋" w:hAnsi="仿宋" w:eastAsia="仿宋" w:cs="仿宋"/>
        </w:rPr>
        <w:t>、国有资本经营预算支出预算表</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十</w:t>
      </w:r>
      <w:r>
        <w:rPr>
          <w:rFonts w:hint="eastAsia" w:ascii="仿宋" w:hAnsi="仿宋" w:eastAsia="仿宋" w:cs="仿宋"/>
          <w:lang w:val="en-US" w:eastAsia="zh-CN"/>
        </w:rPr>
        <w:t>二</w:t>
      </w:r>
      <w:r>
        <w:rPr>
          <w:rFonts w:hint="eastAsia" w:ascii="仿宋" w:hAnsi="仿宋" w:eastAsia="仿宋" w:cs="仿宋"/>
        </w:rPr>
        <w:t>、一般公共预算机关运行经费支出</w:t>
      </w:r>
      <w:r>
        <w:rPr>
          <w:rFonts w:hint="eastAsia" w:ascii="仿宋" w:hAnsi="仿宋" w:eastAsia="仿宋" w:cs="仿宋"/>
          <w:lang w:val="en-US" w:eastAsia="zh-CN"/>
        </w:rPr>
        <w:t>预算</w:t>
      </w:r>
      <w:r>
        <w:rPr>
          <w:rFonts w:hint="eastAsia" w:ascii="仿宋" w:hAnsi="仿宋" w:eastAsia="仿宋" w:cs="仿宋"/>
        </w:rPr>
        <w:t>表</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十</w:t>
      </w:r>
      <w:r>
        <w:rPr>
          <w:rFonts w:hint="eastAsia" w:ascii="仿宋" w:hAnsi="仿宋" w:eastAsia="仿宋" w:cs="仿宋"/>
          <w:lang w:val="en-US" w:eastAsia="zh-CN"/>
        </w:rPr>
        <w:t>三</w:t>
      </w:r>
      <w:r>
        <w:rPr>
          <w:rFonts w:hint="eastAsia" w:ascii="仿宋" w:hAnsi="仿宋" w:eastAsia="仿宋" w:cs="仿宋"/>
        </w:rPr>
        <w:t>、政府采购支出表</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right="506" w:rightChars="0" w:hanging="11" w:firstLineChars="0"/>
        <w:jc w:val="both"/>
        <w:textAlignment w:val="auto"/>
        <w:rPr>
          <w:rFonts w:hint="eastAsia" w:ascii="仿宋" w:hAnsi="仿宋" w:eastAsia="仿宋" w:cs="仿宋"/>
          <w:b/>
          <w:bCs/>
          <w:color w:val="000000"/>
          <w:sz w:val="30"/>
          <w:szCs w:val="30"/>
          <w:lang w:val="en-US" w:bidi="ar"/>
        </w:rPr>
      </w:pPr>
      <w:r>
        <w:rPr>
          <w:rFonts w:hint="eastAsia" w:ascii="仿宋" w:hAnsi="仿宋" w:eastAsia="仿宋" w:cs="仿宋"/>
          <w:b/>
          <w:bCs/>
          <w:lang w:val="en-US"/>
        </w:rPr>
        <w:t xml:space="preserve">第三部分 </w:t>
      </w:r>
      <w:r>
        <w:rPr>
          <w:rFonts w:hint="eastAsia" w:ascii="仿宋" w:hAnsi="仿宋" w:eastAsia="仿宋" w:cs="仿宋"/>
          <w:b/>
          <w:bCs/>
          <w:color w:val="000000"/>
          <w:sz w:val="30"/>
          <w:szCs w:val="30"/>
          <w:lang w:val="en-US" w:eastAsia="zh-CN" w:bidi="ar"/>
        </w:rPr>
        <w:t>2023</w:t>
      </w:r>
      <w:r>
        <w:rPr>
          <w:rFonts w:hint="eastAsia" w:ascii="仿宋" w:hAnsi="仿宋" w:eastAsia="仿宋" w:cs="仿宋"/>
          <w:b/>
          <w:bCs/>
          <w:color w:val="000000"/>
          <w:sz w:val="30"/>
          <w:szCs w:val="30"/>
          <w:lang w:val="en-US" w:bidi="ar"/>
        </w:rPr>
        <w:t>年度</w:t>
      </w:r>
      <w:r>
        <w:rPr>
          <w:rFonts w:ascii="仿宋" w:hAnsi="仿宋" w:eastAsia="仿宋" w:cs="仿宋"/>
          <w:b/>
          <w:color w:val="000000"/>
          <w:sz w:val="30"/>
        </w:rPr>
        <w:t>单位</w:t>
      </w:r>
      <w:r>
        <w:rPr>
          <w:rFonts w:hint="eastAsia" w:ascii="仿宋" w:hAnsi="仿宋" w:eastAsia="仿宋" w:cs="仿宋"/>
          <w:b/>
          <w:bCs/>
          <w:color w:val="000000"/>
          <w:sz w:val="30"/>
          <w:szCs w:val="30"/>
          <w:lang w:val="en-US" w:eastAsia="zh-CN" w:bidi="ar"/>
        </w:rPr>
        <w:t>预算</w:t>
      </w:r>
      <w:r>
        <w:rPr>
          <w:rFonts w:hint="eastAsia" w:ascii="仿宋" w:hAnsi="仿宋" w:eastAsia="仿宋" w:cs="仿宋"/>
          <w:b/>
          <w:bCs/>
          <w:color w:val="000000"/>
          <w:sz w:val="30"/>
          <w:szCs w:val="30"/>
          <w:lang w:val="en-US" w:bidi="ar"/>
        </w:rPr>
        <w:t>情况说明</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right="2575" w:hanging="11" w:firstLineChars="0"/>
        <w:jc w:val="both"/>
        <w:textAlignment w:val="auto"/>
        <w:rPr>
          <w:rFonts w:hint="default" w:ascii="仿宋" w:hAnsi="仿宋" w:eastAsia="仿宋" w:cs="仿宋"/>
          <w:b/>
          <w:bCs/>
          <w:color w:val="000000"/>
          <w:sz w:val="30"/>
          <w:szCs w:val="30"/>
          <w:lang w:val="en-US" w:eastAsia="zh-CN" w:bidi="ar"/>
        </w:rPr>
      </w:pPr>
      <w:r>
        <w:rPr>
          <w:rFonts w:hint="eastAsia" w:ascii="仿宋" w:hAnsi="仿宋" w:eastAsia="仿宋" w:cs="仿宋"/>
          <w:b/>
          <w:bCs/>
          <w:lang w:val="en-US"/>
        </w:rPr>
        <w:t>第</w:t>
      </w:r>
      <w:r>
        <w:rPr>
          <w:rFonts w:hint="eastAsia" w:ascii="仿宋" w:hAnsi="仿宋" w:eastAsia="仿宋" w:cs="仿宋"/>
          <w:b/>
          <w:bCs/>
          <w:lang w:val="en-US" w:eastAsia="zh-CN"/>
        </w:rPr>
        <w:t>四</w:t>
      </w:r>
      <w:r>
        <w:rPr>
          <w:rFonts w:hint="eastAsia" w:ascii="仿宋" w:hAnsi="仿宋" w:eastAsia="仿宋" w:cs="仿宋"/>
          <w:b/>
          <w:bCs/>
          <w:lang w:val="en-US"/>
        </w:rPr>
        <w:t xml:space="preserve">部分 </w:t>
      </w:r>
      <w:r>
        <w:rPr>
          <w:rFonts w:hint="eastAsia" w:ascii="仿宋" w:hAnsi="仿宋" w:eastAsia="仿宋" w:cs="仿宋"/>
          <w:b/>
          <w:bCs/>
          <w:lang w:val="en-US" w:eastAsia="zh-CN"/>
        </w:rPr>
        <w:t>名词解释</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69" w:leftChars="300" w:right="2414" w:hanging="9" w:firstLineChars="0"/>
        <w:jc w:val="both"/>
        <w:textAlignment w:val="auto"/>
        <w:rPr>
          <w:rFonts w:hint="eastAsia" w:ascii="仿宋" w:hAnsi="仿宋" w:eastAsia="仿宋" w:cs="仿宋"/>
        </w:rPr>
        <w:sectPr>
          <w:footerReference r:id="rId5" w:type="default"/>
          <w:pgSz w:w="11906" w:h="16838"/>
          <w:pgMar w:top="1580" w:right="1020" w:bottom="770" w:left="1020" w:header="170" w:footer="280" w:gutter="0"/>
          <w:pgBorders>
            <w:top w:val="none" w:color="auto" w:sz="0" w:space="0"/>
            <w:left w:val="none" w:color="auto" w:sz="0" w:space="0"/>
            <w:bottom w:val="none" w:color="auto" w:sz="0" w:space="0"/>
            <w:right w:val="none" w:color="auto" w:sz="0" w:space="0"/>
          </w:pgBorders>
          <w:pgNumType w:fmt="numberInDash" w:start="1"/>
          <w:cols w:space="720" w:num="1"/>
          <w:formProt w:val="0"/>
          <w:docGrid w:linePitch="100" w:charSpace="0"/>
        </w:sectPr>
      </w:pPr>
    </w:p>
    <w:p>
      <w:pPr>
        <w:pStyle w:val="8"/>
        <w:spacing w:before="1" w:after="0"/>
        <w:rPr>
          <w:rFonts w:ascii="华文仿宋" w:hAnsi="华文仿宋" w:eastAsia="华文仿宋" w:cs="仿宋"/>
          <w:sz w:val="14"/>
        </w:rPr>
      </w:pPr>
    </w:p>
    <w:p>
      <w:pPr>
        <w:pStyle w:val="5"/>
        <w:tabs>
          <w:tab w:val="left" w:pos="4395"/>
        </w:tabs>
        <w:spacing w:line="606" w:lineRule="exact"/>
        <w:ind w:right="504" w:rightChars="229"/>
        <w:jc w:val="center"/>
        <w:rPr>
          <w:rFonts w:hint="eastAsia" w:ascii="仿宋" w:hAnsi="仿宋" w:eastAsia="仿宋" w:cs="仿宋"/>
          <w:b/>
          <w:bCs/>
        </w:rPr>
      </w:pPr>
      <w:r>
        <w:rPr>
          <w:rFonts w:hint="eastAsia" w:ascii="仿宋" w:hAnsi="仿宋" w:eastAsia="仿宋" w:cs="仿宋"/>
          <w:b/>
          <w:bCs/>
        </w:rPr>
        <w:t>第一部分</w:t>
      </w:r>
      <w:r>
        <w:rPr>
          <w:rFonts w:hint="eastAsia" w:ascii="仿宋" w:hAnsi="仿宋" w:eastAsia="仿宋" w:cs="仿宋"/>
          <w:b/>
          <w:bCs/>
          <w:lang w:val="en-US" w:eastAsia="zh-CN"/>
        </w:rPr>
        <w:t xml:space="preserve"> </w:t>
      </w:r>
      <w:r>
        <w:rPr>
          <w:rFonts w:hint="eastAsia" w:ascii="仿宋" w:hAnsi="仿宋" w:eastAsia="仿宋" w:cs="仿宋"/>
          <w:b/>
          <w:bCs/>
        </w:rPr>
        <w:t>单位概况</w:t>
      </w:r>
    </w:p>
    <w:p>
      <w:pPr>
        <w:ind w:right="504" w:rightChars="229"/>
        <w:jc w:val="both"/>
        <w:rPr>
          <w:rFonts w:hint="eastAsia"/>
        </w:rPr>
      </w:pP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b/>
          <w:bCs/>
        </w:rPr>
      </w:pPr>
      <w:r>
        <w:rPr>
          <w:rFonts w:hint="eastAsia" w:ascii="仿宋" w:hAnsi="仿宋" w:eastAsia="仿宋" w:cs="仿宋"/>
          <w:b/>
          <w:bCs/>
        </w:rPr>
        <w:t>一、主要职能</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江苏省伤残人康复中心成立于1951年，是江苏省民政厅直属差额预算事业单位，专业从事各类假肢、矫形器、康复辅助器具的研发和生产。主要职能是承担为全省残疾军人、抚恤补助优抚对象、残疾儿童、贫困残疾人等民政服务群体、社会福利机构、养老服务机构配发假肢矫形器以及康复辅具等公益项目的组织实施工作，同时为社会伤残人士订制生产、安装各类假肢矫形器以及提供各种康复辅具生产、装配等服务。</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b/>
          <w:bCs/>
        </w:rPr>
      </w:pPr>
      <w:r>
        <w:rPr>
          <w:rFonts w:hint="eastAsia" w:ascii="仿宋" w:hAnsi="仿宋" w:eastAsia="仿宋" w:cs="仿宋"/>
          <w:b/>
          <w:bCs/>
        </w:rPr>
        <w:t>二、</w:t>
      </w:r>
      <w:r>
        <w:rPr>
          <w:rFonts w:ascii="仿宋" w:hAnsi="仿宋" w:eastAsia="仿宋" w:cs="仿宋"/>
          <w:b/>
        </w:rPr>
        <w:t>单位</w:t>
      </w:r>
      <w:r>
        <w:rPr>
          <w:rFonts w:hint="eastAsia" w:ascii="仿宋" w:hAnsi="仿宋" w:eastAsia="仿宋" w:cs="仿宋"/>
          <w:b/>
          <w:bCs/>
        </w:rPr>
        <w:t>机构设置及预算单位构成情况</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hint="eastAsia" w:ascii="仿宋" w:hAnsi="仿宋" w:eastAsia="仿宋" w:cs="仿宋"/>
        </w:rPr>
        <w:t>根据</w:t>
      </w:r>
      <w:r>
        <w:rPr>
          <w:rFonts w:hint="eastAsia" w:ascii="仿宋" w:hAnsi="仿宋" w:eastAsia="仿宋" w:cs="仿宋"/>
          <w:lang w:val="en-US" w:eastAsia="zh-CN"/>
        </w:rPr>
        <w:t>单位</w:t>
      </w:r>
      <w:r>
        <w:rPr>
          <w:rFonts w:hint="eastAsia" w:ascii="仿宋" w:hAnsi="仿宋" w:eastAsia="仿宋" w:cs="仿宋"/>
        </w:rPr>
        <w:t>职责分工，</w:t>
      </w:r>
      <w:r>
        <w:rPr>
          <w:rFonts w:ascii="仿宋" w:hAnsi="仿宋" w:eastAsia="仿宋" w:cs="仿宋"/>
        </w:rPr>
        <w:t>本单位内设机构包括：办公室、财务部、市场部、生产部、行管部、质量技术部、汤山研发生产基地。本单位无下属单位。</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b/>
          <w:bCs/>
        </w:rPr>
      </w:pPr>
      <w:r>
        <w:rPr>
          <w:rFonts w:hint="eastAsia" w:ascii="仿宋" w:hAnsi="仿宋" w:eastAsia="仿宋" w:cs="仿宋"/>
          <w:b/>
          <w:bCs/>
        </w:rPr>
        <w:t>三、</w:t>
      </w:r>
      <w:r>
        <w:rPr>
          <w:rFonts w:hint="eastAsia" w:ascii="仿宋" w:hAnsi="仿宋" w:eastAsia="仿宋" w:cs="仿宋"/>
          <w:b/>
          <w:bCs/>
          <w:lang w:eastAsia="zh-CN"/>
        </w:rPr>
        <w:t>2023</w:t>
      </w:r>
      <w:r>
        <w:rPr>
          <w:rFonts w:hint="eastAsia" w:ascii="仿宋" w:hAnsi="仿宋" w:eastAsia="仿宋" w:cs="仿宋"/>
          <w:b/>
          <w:bCs/>
        </w:rPr>
        <w:t>年度</w:t>
      </w:r>
      <w:r>
        <w:rPr>
          <w:rFonts w:ascii="仿宋" w:hAnsi="仿宋" w:eastAsia="仿宋" w:cs="仿宋"/>
          <w:b/>
        </w:rPr>
        <w:t>单位主要工作任务及目标</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2023年，康复中心将以习近平新时代中国特色社会主义思想为引领，深入学习贯彻党的二十大精神，紧紧围绕建设高质量现代民政总目标，抓重点、补短板、树品牌、守底线，谋清思路，谋定目标，谋实措施，立足“重点保障伤残军人，着力帮扶低保对象、城乡‘三无’等贫困残弱群体，积极参与全省养老事业发展，探索新路径”的基本职能，夯基础、提品质、优服务、创特色。</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（一）全面贯彻落实</w:t>
      </w:r>
      <w:bookmarkStart w:id="0" w:name="_GoBack"/>
      <w:bookmarkEnd w:id="0"/>
      <w:r>
        <w:rPr>
          <w:rFonts w:hint="eastAsia" w:ascii="仿宋" w:hAnsi="仿宋" w:eastAsia="仿宋" w:cs="仿宋"/>
          <w:lang w:eastAsia="zh-CN"/>
        </w:rPr>
        <w:t>党的二十大精神</w:t>
      </w:r>
      <w:r>
        <w:rPr>
          <w:rFonts w:ascii="仿宋" w:hAnsi="仿宋" w:eastAsia="仿宋" w:cs="仿宋"/>
        </w:rPr>
        <w:t>，持续深入推进理论学习</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一是强化理论学习，紧抓学习成效。中心在习近平新时代中国特色社会主义思想引领下，将全面深入学习贯彻党的二十大精神，抓好理论知识学习，推动理论学习常态化、长效化。根据厅党组中心组学习安排，结合支部特点，按照支部年度学习计划组织好系统性的学习，发挥好党支部的战斗堡垒作用和党员的先锋模范作用。二是抓好发展党员工作，夯实组织建设基础。加强党员发展工作，2023年康复中心（民康医院）党支部坚持按党章规定，加大培养教育力度，严格发展党员程序，努力建设一支素质优良、作用突出的党员队伍，为中心又好又快发展提供组织保证和人才保证。三是推进“党员之家”建设，充分发挥阵地作用。积极组织党员参加厅机关党委开展的各项活动，突出党性教育和党建实务，以“党员之家”为载体，开展经常性的学习和交流研讨。提供职工群众活动平台，设置图书阅览室、多媒体室等功能区。开辟谈心角为党员群众排忧解难，让党员干部更好地服务于单位的发展。结合疫情防控要求，组织现场教学，切实增强学习教育的吸引力和实效性。</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（二）创新驱动升级，树牢“苏康”智造品牌</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中心坚决贯彻落实厅党组决策部署，持续推进重点民生公益项目和康复辅具、适老化等市场拓展。中心将以“大师工作室”为技术核心，积极实施公益性助残养老服务，参与养老及康复辅具市场竞争，一体化推进“项目+市场+养老”，努力为“苏适”养老提供“苏康”方案。</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一是稳步推进“军残巡修”公益项目，提升社会效益。稳步推进“军残巡修”项目。制定并落实好2023年年度军残各类辅具的配置和巡回修理的工作方案。进一步加强与退役军人事务厅、各地市退役军人事务局、县区退役军人事务局的联系和协调，严格办事手续，为服务对象提供温馨优质服务。二是以“大师工作室”为技术引领，创新“医工结合”模式。以先进设备与大师工作室为基础，开展青少年脊柱侧弯矫形支具装配服务，强化服务意识与质量，扩大交流合作，拓展服务市场。建强建好“生物力学矫形室”，进一步提升影响力，扩大矫形鞋垫的市场占有率。三是积极参与养老服务，公益助浴解决老人“洗浴难”。计划在2023年为全省40家床位数较多，入住率较高的公办养老机构，建设标准化助浴室，保障老人洗浴安全，改善老人生活品质，为未来全省公办养老机构推广助浴服务奠定基础。项目旨在改善受助公办养老机构的硬件设施，提升服务能力，初步解决公办养老机构中高龄及失能、半失能老人“洗浴难”问题，减轻护理人员的照护压力，便于更多地对老人进行情绪照护。四是加快基础研发，推动汤山基地转型升级。基地拥有各类加工设备近90台，具备年万件以上各类辅具生产能力和新产品研发及试制能力，假肢矫形器装配生产线承担着“福康行—持续关爱”“军残巡修”等大型公益项目的生产、装配任务，同时具备年阶段性培训各类专业技术人员千人次以上的能力。下一步，将持续创新管理机制，健全业绩考核机制，在稳固营销基础，力保销售市场份额的前提下，积极拓展新市场，打造行业最具影响力的“苏康”智造品牌。五是紧抓体系建设，提升质量管理水平。积极开展质量管理活动，把全面质量管理、精益管理等应用到日常生产与经营活动中，提高全员全过程全方位质量控制水平。加快健全质量管理的激励约束机制，将质量责任和义务落实到每一位员工头上。不断完善质量管理体系文件，加强质量体系的日常监督管理，确保ISO9001&amp;13485质量管理体系能持续运行并有效执行，做好年度内部审核工作及配合CMD进行年度监督审核工作。</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（三）持续开展安全教育，坚决贯彻安全检查制度</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加大安全教育力度，提升职工安全生产意识和安全生产能力。进一步完善安全生产管理机制，加强管理力度，深化安全意识，规范安全生产操作，通过安全督促检查及时发现安全隐患，坚决防止和杜绝安全生产责任事故的发生。</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（四）落细落实，认真做好事企改革各项工作</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强化责任意识，落实事企改革工作。在事企改革进程中配合做好人事方面工作，及时摸排职工的历史情况和思想动态，制作企业花名册，梳理企业职工社保、公积金、应休未休假、加班等情况，组织企业职工学习绩效管理方法，把改革工作做细做实。企业自股权划转到与原主办单位脱钩过渡期间，康复中心将在省厅授权后继续进行监管工作，确保企业的健康发展有保障。</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中心的发展离不开厅党组和各处室的关心、支持、帮助，做优、做强、做大，实现健康、平稳、可持续发展，是中心全体干部职工坚定不移的追求目标。在中心进行事企改革的关键时刻，希望厅党组和各处室一如既往地继续给予我们关心和扶持。</w:t>
      </w:r>
    </w:p>
    <w:p>
      <w:pPr>
        <w:pStyle w:val="8"/>
        <w:spacing w:line="235" w:lineRule="auto"/>
        <w:ind w:left="669" w:leftChars="300" w:right="2414" w:hanging="9" w:firstLineChars="0"/>
        <w:jc w:val="both"/>
        <w:rPr>
          <w:rFonts w:hint="eastAsia" w:ascii="仿宋" w:hAnsi="仿宋" w:eastAsia="仿宋" w:cs="仿宋"/>
        </w:rPr>
        <w:sectPr>
          <w:footerReference r:id="rId6" w:type="default"/>
          <w:pgSz w:w="11906" w:h="16838"/>
          <w:pgMar w:top="1580" w:right="1020" w:bottom="770" w:left="10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r>
        <w:rPr>
          <w:rFonts w:hint="eastAsia" w:ascii="仿宋" w:hAnsi="仿宋" w:eastAsia="仿宋" w:cs="仿宋"/>
          <w:b/>
          <w:bCs/>
          <w:sz w:val="44"/>
          <w:szCs w:val="44"/>
        </w:rPr>
        <w:t>第二部分</w:t>
      </w: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r>
        <w:rPr>
          <w:rFonts w:hint="eastAsia" w:ascii="仿宋" w:hAnsi="仿宋" w:eastAsia="仿宋" w:cs="仿宋"/>
          <w:b/>
          <w:bCs/>
          <w:sz w:val="44"/>
          <w:szCs w:val="44"/>
          <w:lang w:eastAsia="zh-CN"/>
        </w:rPr>
        <w:t>2023</w:t>
      </w:r>
      <w:r>
        <w:rPr>
          <w:rFonts w:hint="eastAsia" w:ascii="仿宋" w:hAnsi="仿宋" w:eastAsia="仿宋" w:cs="仿宋"/>
          <w:b/>
          <w:bCs/>
          <w:sz w:val="44"/>
          <w:szCs w:val="44"/>
        </w:rPr>
        <w:t>年度</w:t>
      </w: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r>
        <w:rPr>
          <w:rFonts w:hint="eastAsia" w:ascii="仿宋" w:hAnsi="仿宋" w:eastAsia="仿宋" w:cs="仿宋"/>
          <w:b/>
          <w:bCs/>
          <w:sz w:val="44"/>
          <w:szCs w:val="44"/>
          <w:u w:val="none"/>
        </w:rPr>
        <w:t>江苏省伤残人康复中心</w:t>
      </w:r>
    </w:p>
    <w:p>
      <w:pPr>
        <w:pStyle w:val="21"/>
        <w:widowControl w:val="0"/>
        <w:tabs>
          <w:tab w:val="left" w:pos="1609"/>
        </w:tabs>
        <w:suppressAutoHyphens/>
        <w:bidi w:val="0"/>
        <w:spacing w:before="12" w:after="0" w:line="300" w:lineRule="auto"/>
        <w:ind w:left="340" w:right="567" w:firstLine="0"/>
        <w:jc w:val="center"/>
        <w:rPr>
          <w:rFonts w:ascii="宋体" w:hAnsi="宋体" w:eastAsia="宋体" w:cs="仿宋"/>
          <w:b/>
          <w:bCs/>
          <w:sz w:val="44"/>
          <w:szCs w:val="44"/>
        </w:rPr>
      </w:pPr>
      <w:r>
        <w:rPr>
          <w:rFonts w:hint="eastAsia" w:ascii="仿宋" w:hAnsi="仿宋" w:eastAsia="仿宋" w:cs="仿宋"/>
          <w:b/>
          <w:bCs/>
          <w:sz w:val="44"/>
          <w:szCs w:val="44"/>
          <w:lang w:val="en-US" w:eastAsia="zh-CN"/>
        </w:rPr>
        <w:t>单位</w:t>
      </w:r>
      <w:r>
        <w:rPr>
          <w:rFonts w:ascii="仿宋" w:hAnsi="仿宋" w:eastAsia="仿宋" w:cs="仿宋"/>
          <w:b/>
          <w:sz w:val="44"/>
        </w:rPr>
        <w:t>预算表</w:t>
      </w:r>
    </w:p>
    <w:tbl>
      <w:tblPr>
        <w:tblStyle w:val="13"/>
        <w:tblW w:w="11329" w:type="dxa"/>
        <w:jc w:val="center"/>
        <w:tblInd w:w="0" w:type="dxa"/>
        <w:tblLayout w:type="fixed"/>
        <w:tblCellMar>
          <w:top w:w="0" w:type="dxa"/>
          <w:left w:w="108" w:type="dxa"/>
          <w:bottom w:w="0" w:type="dxa"/>
          <w:right w:w="108" w:type="dxa"/>
        </w:tblCellMar>
      </w:tblPr>
      <w:tblGrid>
        <w:gridCol w:w="3908"/>
        <w:gridCol w:w="1869"/>
        <w:gridCol w:w="3704"/>
        <w:gridCol w:w="67"/>
        <w:gridCol w:w="1781"/>
      </w:tblGrid>
      <w:tr>
        <w:tblPrEx>
          <w:tblLayout w:type="fixed"/>
          <w:tblCellMar>
            <w:top w:w="0" w:type="dxa"/>
            <w:left w:w="108" w:type="dxa"/>
            <w:bottom w:w="0" w:type="dxa"/>
            <w:right w:w="108" w:type="dxa"/>
          </w:tblCellMar>
        </w:tblPrEx>
        <w:trPr>
          <w:cantSplit/>
          <w:trHeight w:val="116" w:hRule="atLeast"/>
          <w:jc w:val="center"/>
        </w:trPr>
        <w:tc>
          <w:tcPr>
            <w:tcW w:w="11329" w:type="dxa"/>
            <w:gridSpan w:val="5"/>
            <w:vAlign w:val="center"/>
          </w:tcPr>
          <w:p>
            <w:pPr>
              <w:pageBreakBefore/>
              <w:widowControl w:val="0"/>
              <w:ind w:left="0" w:right="0" w:firstLine="0"/>
              <w:jc w:val="both"/>
              <w:textAlignment w:val="auto"/>
              <w:rPr>
                <w:rFonts w:hint="eastAsia" w:ascii="仿宋" w:hAnsi="仿宋" w:eastAsia="仿宋" w:cs="仿宋"/>
                <w:color w:val="000000"/>
                <w:sz w:val="22"/>
                <w:szCs w:val="22"/>
                <w:lang w:eastAsia="ar-SA"/>
              </w:rPr>
            </w:pPr>
            <w:r>
              <w:rPr>
                <w:rFonts w:hint="eastAsia" w:ascii="仿宋" w:hAnsi="仿宋" w:eastAsia="仿宋" w:cs="仿宋"/>
                <w:color w:val="000000"/>
                <w:sz w:val="22"/>
                <w:szCs w:val="22"/>
                <w:lang w:eastAsia="ar-SA"/>
              </w:rPr>
              <w:t>公开01表</w:t>
            </w:r>
          </w:p>
        </w:tc>
      </w:tr>
      <w:tr>
        <w:tblPrEx>
          <w:tblLayout w:type="fixed"/>
          <w:tblCellMar>
            <w:top w:w="0" w:type="dxa"/>
            <w:left w:w="108" w:type="dxa"/>
            <w:bottom w:w="0" w:type="dxa"/>
            <w:right w:w="108" w:type="dxa"/>
          </w:tblCellMar>
        </w:tblPrEx>
        <w:trPr>
          <w:cantSplit/>
          <w:trHeight w:val="348" w:hRule="atLeast"/>
          <w:jc w:val="center"/>
        </w:trPr>
        <w:tc>
          <w:tcPr>
            <w:tcW w:w="11329" w:type="dxa"/>
            <w:gridSpan w:val="5"/>
          </w:tcPr>
          <w:p>
            <w:pPr>
              <w:widowControl w:val="0"/>
              <w:ind w:left="0" w:right="0" w:firstLine="0"/>
              <w:jc w:val="center"/>
              <w:textAlignment w:val="auto"/>
              <w:rPr>
                <w:rFonts w:hint="eastAsia" w:ascii="仿宋" w:hAnsi="仿宋" w:eastAsia="仿宋" w:cs="仿宋"/>
                <w:color w:val="000000"/>
                <w:sz w:val="22"/>
              </w:rPr>
            </w:pPr>
            <w:r>
              <w:rPr>
                <w:rFonts w:hint="eastAsia" w:ascii="仿宋" w:hAnsi="仿宋" w:eastAsia="仿宋" w:cs="仿宋"/>
                <w:b/>
                <w:bCs/>
                <w:color w:val="000000"/>
                <w:sz w:val="44"/>
                <w:szCs w:val="44"/>
                <w:lang w:eastAsia="ar-SA"/>
              </w:rPr>
              <w:t>收支总表</w:t>
            </w:r>
          </w:p>
        </w:tc>
      </w:tr>
      <w:tr>
        <w:tblPrEx>
          <w:tblLayout w:type="fixed"/>
          <w:tblCellMar>
            <w:top w:w="0" w:type="dxa"/>
            <w:left w:w="108" w:type="dxa"/>
            <w:bottom w:w="0" w:type="dxa"/>
            <w:right w:w="108" w:type="dxa"/>
          </w:tblCellMar>
        </w:tblPrEx>
        <w:trPr>
          <w:cantSplit/>
          <w:trHeight w:val="333" w:hRule="atLeast"/>
          <w:jc w:val="center"/>
        </w:trPr>
        <w:tc>
          <w:tcPr>
            <w:tcW w:w="9481" w:type="dxa"/>
            <w:gridSpan w:val="3"/>
            <w:tcBorders>
              <w:bottom w:val="single" w:color="000000" w:sz="4" w:space="0"/>
            </w:tcBorders>
            <w:vAlign w:val="center"/>
          </w:tcPr>
          <w:p>
            <w:pPr>
              <w:widowControl w:val="0"/>
              <w:ind w:left="0" w:right="0" w:firstLine="0"/>
              <w:jc w:val="left"/>
              <w:textAlignment w:val="auto"/>
              <w:rPr>
                <w:rFonts w:hint="eastAsia" w:ascii="仿宋" w:hAnsi="仿宋" w:eastAsia="仿宋" w:cs="仿宋"/>
                <w:color w:val="000000"/>
                <w:sz w:val="22"/>
              </w:rPr>
            </w:pPr>
            <w:r>
              <w:rPr>
                <w:rFonts w:hint="eastAsia" w:ascii="仿宋" w:hAnsi="仿宋" w:eastAsia="仿宋" w:cs="仿宋"/>
                <w:color w:val="000000"/>
                <w:sz w:val="22"/>
                <w:szCs w:val="22"/>
                <w:lang w:eastAsia="zh-CN"/>
              </w:rPr>
              <w:t>单位</w:t>
            </w:r>
            <w:r>
              <w:rPr>
                <w:rFonts w:ascii="仿宋" w:hAnsi="仿宋" w:eastAsia="仿宋" w:cs="仿宋"/>
                <w:color w:val="000000"/>
                <w:sz w:val="22"/>
              </w:rPr>
              <w:t>：</w:t>
            </w:r>
            <w:r>
              <w:rPr>
                <w:rFonts w:hint="eastAsia" w:ascii="仿宋" w:hAnsi="仿宋" w:eastAsia="仿宋" w:cs="仿宋"/>
                <w:color w:val="000000"/>
                <w:sz w:val="22"/>
                <w:szCs w:val="22"/>
                <w:lang w:eastAsia="ar-SA"/>
              </w:rPr>
              <w:t>江苏省伤残人康复中心</w:t>
            </w:r>
          </w:p>
        </w:tc>
        <w:tc>
          <w:tcPr>
            <w:tcW w:w="1848" w:type="dxa"/>
            <w:gridSpan w:val="2"/>
            <w:tcBorders>
              <w:bottom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rPr>
            </w:pPr>
            <w:r>
              <w:rPr>
                <w:rFonts w:hint="eastAsia" w:ascii="仿宋" w:hAnsi="仿宋" w:eastAsia="仿宋" w:cs="仿宋"/>
                <w:color w:val="000000"/>
                <w:sz w:val="22"/>
                <w:lang w:eastAsia="zh-CN"/>
              </w:rPr>
              <w:t>单位</w:t>
            </w:r>
            <w:r>
              <w:rPr>
                <w:rFonts w:hint="eastAsia" w:ascii="仿宋" w:hAnsi="仿宋" w:eastAsia="仿宋" w:cs="仿宋"/>
                <w:color w:val="000000"/>
                <w:sz w:val="22"/>
              </w:rPr>
              <w:t>：万元</w:t>
            </w:r>
          </w:p>
        </w:tc>
      </w:tr>
      <w:tr>
        <w:tblPrEx>
          <w:tblLayout w:type="fixed"/>
          <w:tblCellMar>
            <w:top w:w="0" w:type="dxa"/>
            <w:left w:w="108" w:type="dxa"/>
            <w:bottom w:w="0" w:type="dxa"/>
            <w:right w:w="108" w:type="dxa"/>
          </w:tblCellMar>
        </w:tblPrEx>
        <w:trPr>
          <w:cantSplit/>
          <w:trHeight w:val="204" w:hRule="atLeast"/>
          <w:jc w:val="center"/>
        </w:trPr>
        <w:tc>
          <w:tcPr>
            <w:tcW w:w="5777"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bCs/>
                <w:color w:val="000000"/>
                <w:sz w:val="22"/>
                <w:szCs w:val="22"/>
                <w:lang w:eastAsia="ar-SA"/>
              </w:rPr>
              <w:t>收入</w:t>
            </w:r>
          </w:p>
        </w:tc>
        <w:tc>
          <w:tcPr>
            <w:tcW w:w="5552" w:type="dxa"/>
            <w:gridSpan w:val="3"/>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bCs/>
                <w:color w:val="000000"/>
                <w:sz w:val="22"/>
                <w:szCs w:val="22"/>
                <w:lang w:eastAsia="ar-SA"/>
              </w:rPr>
              <w:t>支出</w:t>
            </w:r>
          </w:p>
        </w:tc>
      </w:tr>
      <w:tr>
        <w:tblPrEx>
          <w:tblLayout w:type="fixed"/>
          <w:tblCellMar>
            <w:top w:w="0" w:type="dxa"/>
            <w:left w:w="108" w:type="dxa"/>
            <w:bottom w:w="0" w:type="dxa"/>
            <w:right w:w="108" w:type="dxa"/>
          </w:tblCellMar>
        </w:tblPrEx>
        <w:trPr>
          <w:cantSplit/>
          <w:trHeight w:val="319"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bCs/>
                <w:color w:val="000000"/>
                <w:sz w:val="22"/>
                <w:szCs w:val="22"/>
                <w:lang w:eastAsia="ar-SA"/>
              </w:rPr>
              <w:t>项目</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b/>
                <w:bCs/>
                <w:color w:val="000000"/>
                <w:sz w:val="22"/>
                <w:szCs w:val="22"/>
              </w:rPr>
            </w:pPr>
            <w:r>
              <w:rPr>
                <w:rFonts w:hint="eastAsia" w:ascii="仿宋" w:hAnsi="仿宋" w:eastAsia="仿宋" w:cs="仿宋"/>
                <w:b/>
                <w:bCs/>
                <w:color w:val="000000"/>
                <w:sz w:val="22"/>
                <w:szCs w:val="22"/>
                <w:lang w:eastAsia="zh-CN"/>
              </w:rPr>
              <w:t>预算</w:t>
            </w:r>
            <w:r>
              <w:rPr>
                <w:rFonts w:hint="eastAsia" w:ascii="仿宋" w:hAnsi="仿宋" w:eastAsia="仿宋" w:cs="仿宋"/>
                <w:b/>
                <w:bCs/>
                <w:color w:val="000000"/>
                <w:sz w:val="22"/>
                <w:szCs w:val="22"/>
                <w:lang w:eastAsia="ar-SA"/>
              </w:rPr>
              <w:t>数</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b/>
                <w:bCs/>
                <w:color w:val="000000"/>
                <w:sz w:val="22"/>
                <w:szCs w:val="22"/>
              </w:rPr>
            </w:pPr>
            <w:r>
              <w:rPr>
                <w:rFonts w:hint="eastAsia" w:ascii="仿宋" w:hAnsi="仿宋" w:eastAsia="仿宋" w:cs="仿宋"/>
                <w:b/>
                <w:bCs/>
                <w:color w:val="000000"/>
                <w:sz w:val="22"/>
                <w:szCs w:val="22"/>
                <w:lang w:eastAsia="ar-SA"/>
              </w:rPr>
              <w:t>项目</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b/>
                <w:bCs/>
                <w:color w:val="000000"/>
                <w:sz w:val="22"/>
                <w:szCs w:val="22"/>
              </w:rPr>
            </w:pPr>
            <w:r>
              <w:rPr>
                <w:rFonts w:hint="eastAsia" w:ascii="仿宋" w:hAnsi="仿宋" w:eastAsia="仿宋" w:cs="仿宋"/>
                <w:b/>
                <w:bCs/>
                <w:color w:val="000000"/>
                <w:sz w:val="22"/>
                <w:szCs w:val="22"/>
                <w:lang w:eastAsia="zh-CN"/>
              </w:rPr>
              <w:t>预算</w:t>
            </w:r>
            <w:r>
              <w:rPr>
                <w:rFonts w:hint="eastAsia" w:ascii="仿宋" w:hAnsi="仿宋" w:eastAsia="仿宋" w:cs="仿宋"/>
                <w:b/>
                <w:bCs/>
                <w:color w:val="000000"/>
                <w:sz w:val="22"/>
                <w:szCs w:val="22"/>
                <w:lang w:eastAsia="ar-SA"/>
              </w:rPr>
              <w:t>数</w:t>
            </w:r>
          </w:p>
        </w:tc>
      </w:tr>
      <w:tr>
        <w:tblPrEx>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一、一般公共预算拨款收入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1,847.28</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一、一般公共服务支出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二、政府性基金预算拨款收入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150.00</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二、外交支出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三、国有资本经营预算拨款收入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三、国防支出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四、财政专户管理资金收入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四、公共安全支出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五、事业收入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五、教育支出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六、事业单位经营收入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1,872.96</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六、科学技术支出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七、上级补助收入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七、文化旅游体育与传媒支出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八、附属单位上缴收入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八、社会保障和就业支出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3,096.73</w:t>
            </w:r>
          </w:p>
        </w:tc>
      </w:tr>
      <w:tr>
        <w:tblPrEx>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九、其他收入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九、社会保险基金支出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十、卫生健康支出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十一、节能环保支出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十二、城乡社区支出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十三、农林水支出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十四、交通运输支出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十五、资源勘探工业信息等支出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十六、商业服务业等支出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十七、金融支出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 xml:space="preserve">十八、援助其他地区支出 </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十九、自然资源海洋气象等支出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二十、住房保障支出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623.51</w:t>
            </w:r>
          </w:p>
        </w:tc>
      </w:tr>
      <w:tr>
        <w:tblPrEx>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二十一、粮油物资储备支出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二十二、国有资本经营预算支出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二十三、灾害防治及应急管理支出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二十四、预备费</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二十五、其他支出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150.00</w:t>
            </w:r>
          </w:p>
        </w:tc>
      </w:tr>
      <w:tr>
        <w:tblPrEx>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二十六、转移性支出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二十七、债务还本支出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二十八、债务付息支出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二十九、债务发行费用支出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三十、抗疫特别国债安排的支出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cantSplit/>
          <w:trHeight w:val="299" w:hRule="exac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bCs/>
                <w:color w:val="000000"/>
                <w:sz w:val="22"/>
                <w:szCs w:val="22"/>
                <w:lang w:eastAsia="ar-SA"/>
              </w:rPr>
              <w:t>本年收入合计</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b/>
                <w:bCs/>
                <w:color w:val="000000"/>
                <w:sz w:val="22"/>
                <w:szCs w:val="22"/>
                <w:lang w:val="en-US" w:eastAsia="zh-CN"/>
              </w:rPr>
            </w:pPr>
            <w:r>
              <w:rPr>
                <w:rFonts w:hint="eastAsia" w:ascii="仿宋" w:hAnsi="仿宋" w:eastAsia="仿宋" w:cs="仿宋"/>
                <w:b/>
                <w:bCs/>
                <w:color w:val="000000"/>
                <w:sz w:val="22"/>
                <w:szCs w:val="22"/>
                <w:lang w:val="en-US" w:eastAsia="zh-CN"/>
              </w:rPr>
              <w:t>3,870.24</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b/>
                <w:bCs/>
                <w:color w:val="000000"/>
                <w:sz w:val="22"/>
                <w:szCs w:val="22"/>
                <w:lang w:eastAsia="ar-SA"/>
              </w:rPr>
            </w:pPr>
            <w:r>
              <w:rPr>
                <w:rFonts w:hint="eastAsia" w:ascii="仿宋" w:hAnsi="仿宋" w:eastAsia="仿宋" w:cs="仿宋"/>
                <w:b/>
                <w:bCs/>
                <w:color w:val="000000"/>
                <w:sz w:val="22"/>
                <w:szCs w:val="22"/>
                <w:lang w:eastAsia="ar-SA"/>
              </w:rPr>
              <w:t>本年支出合计</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b/>
                <w:bCs/>
                <w:color w:val="000000"/>
                <w:sz w:val="22"/>
                <w:szCs w:val="22"/>
                <w:lang w:val="en-US" w:eastAsia="zh-CN"/>
              </w:rPr>
            </w:pPr>
            <w:r>
              <w:rPr>
                <w:rFonts w:hint="eastAsia" w:ascii="仿宋" w:hAnsi="仿宋" w:eastAsia="仿宋" w:cs="仿宋"/>
                <w:b/>
                <w:bCs/>
                <w:color w:val="000000"/>
                <w:sz w:val="22"/>
                <w:szCs w:val="22"/>
                <w:lang w:val="en-US" w:eastAsia="zh-CN"/>
              </w:rPr>
              <w:t>3,870.24</w:t>
            </w:r>
          </w:p>
        </w:tc>
      </w:tr>
      <w:tr>
        <w:tblPrEx>
          <w:tblLayout w:type="fixed"/>
          <w:tblCellMar>
            <w:top w:w="0" w:type="dxa"/>
            <w:left w:w="108" w:type="dxa"/>
            <w:bottom w:w="0" w:type="dxa"/>
            <w:right w:w="108" w:type="dxa"/>
          </w:tblCellMar>
        </w:tblPrEx>
        <w:trPr>
          <w:cantSplit/>
          <w:trHeight w:val="192"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default" w:ascii="仿宋" w:hAnsi="仿宋" w:eastAsia="仿宋" w:cs="仿宋"/>
                <w:color w:val="000000"/>
                <w:sz w:val="22"/>
                <w:szCs w:val="22"/>
                <w:lang w:val="en-US" w:eastAsia="zh-CN"/>
              </w:rPr>
            </w:pPr>
            <w:r>
              <w:rPr>
                <w:rFonts w:hint="eastAsia" w:ascii="仿宋" w:hAnsi="仿宋" w:eastAsia="仿宋" w:cs="仿宋"/>
                <w:b/>
                <w:bCs/>
                <w:color w:val="000000"/>
                <w:sz w:val="22"/>
                <w:szCs w:val="22"/>
                <w:lang w:val="en-US" w:eastAsia="zh-CN"/>
              </w:rPr>
              <w:t>上年结转结余</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b/>
                <w:bCs/>
                <w:color w:val="000000"/>
                <w:sz w:val="22"/>
                <w:szCs w:val="22"/>
                <w:lang w:val="zh-CN" w:eastAsia="ar-SA"/>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default" w:ascii="仿宋" w:hAnsi="仿宋" w:eastAsia="仿宋" w:cs="仿宋"/>
                <w:b/>
                <w:bCs/>
                <w:color w:val="000000"/>
                <w:sz w:val="22"/>
                <w:szCs w:val="22"/>
                <w:lang w:val="en-US" w:eastAsia="zh-CN"/>
              </w:rPr>
            </w:pPr>
            <w:r>
              <w:rPr>
                <w:rFonts w:hint="eastAsia" w:ascii="仿宋" w:hAnsi="仿宋" w:eastAsia="仿宋" w:cs="仿宋"/>
                <w:b/>
                <w:bCs/>
                <w:color w:val="000000"/>
                <w:sz w:val="22"/>
                <w:szCs w:val="22"/>
                <w:lang w:val="en-US" w:eastAsia="zh-CN"/>
              </w:rPr>
              <w:t>年终结转结余</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b/>
                <w:bCs/>
                <w:color w:val="000000"/>
                <w:sz w:val="22"/>
                <w:szCs w:val="22"/>
                <w:lang w:val="en-US" w:eastAsia="zh-CN"/>
              </w:rPr>
            </w:pPr>
          </w:p>
        </w:tc>
      </w:tr>
      <w:tr>
        <w:tblPrEx>
          <w:tblLayout w:type="fixed"/>
          <w:tblCellMar>
            <w:top w:w="0" w:type="dxa"/>
            <w:left w:w="108" w:type="dxa"/>
            <w:bottom w:w="0" w:type="dxa"/>
            <w:right w:w="108" w:type="dxa"/>
          </w:tblCellMar>
        </w:tblPrEx>
        <w:trPr>
          <w:cantSplit/>
          <w:trHeight w:val="289" w:hRule="exac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color w:val="000000"/>
                <w:sz w:val="22"/>
                <w:szCs w:val="22"/>
                <w:lang w:val="en-US" w:eastAsia="zh-CN"/>
              </w:rPr>
              <w:t>收入</w:t>
            </w:r>
            <w:r>
              <w:rPr>
                <w:rFonts w:hint="eastAsia" w:ascii="仿宋" w:hAnsi="仿宋" w:eastAsia="仿宋" w:cs="仿宋"/>
                <w:b/>
                <w:color w:val="000000"/>
                <w:sz w:val="22"/>
                <w:szCs w:val="22"/>
                <w:lang w:eastAsia="ar-SA"/>
              </w:rPr>
              <w:t>总计</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b/>
                <w:bCs/>
                <w:color w:val="000000"/>
                <w:sz w:val="22"/>
                <w:szCs w:val="22"/>
                <w:lang w:val="en-US" w:eastAsia="ar-SA"/>
              </w:rPr>
            </w:pPr>
            <w:r>
              <w:rPr>
                <w:rFonts w:hint="eastAsia" w:ascii="仿宋" w:hAnsi="仿宋" w:eastAsia="仿宋" w:cs="仿宋"/>
                <w:b/>
                <w:bCs/>
                <w:color w:val="000000"/>
                <w:sz w:val="22"/>
                <w:szCs w:val="22"/>
                <w:lang w:val="en-US" w:eastAsia="zh-CN"/>
              </w:rPr>
              <w:t>3,870.24</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b/>
                <w:bCs/>
                <w:color w:val="000000"/>
                <w:sz w:val="22"/>
                <w:szCs w:val="22"/>
                <w:lang w:eastAsia="ar-SA"/>
              </w:rPr>
            </w:pPr>
            <w:r>
              <w:rPr>
                <w:rFonts w:hint="eastAsia" w:ascii="仿宋" w:hAnsi="仿宋" w:eastAsia="仿宋" w:cs="仿宋"/>
                <w:b/>
                <w:bCs/>
                <w:color w:val="000000"/>
                <w:sz w:val="22"/>
                <w:szCs w:val="22"/>
                <w:lang w:val="en-US" w:eastAsia="zh-CN"/>
              </w:rPr>
              <w:t>支出</w:t>
            </w:r>
            <w:r>
              <w:rPr>
                <w:rFonts w:hint="eastAsia" w:ascii="仿宋" w:hAnsi="仿宋" w:eastAsia="仿宋" w:cs="仿宋"/>
                <w:b/>
                <w:bCs/>
                <w:color w:val="000000"/>
                <w:sz w:val="22"/>
                <w:szCs w:val="22"/>
                <w:lang w:eastAsia="ar-SA"/>
              </w:rPr>
              <w:t>总计</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b/>
                <w:bCs/>
                <w:color w:val="000000"/>
                <w:sz w:val="22"/>
                <w:szCs w:val="22"/>
                <w:lang w:val="en-US" w:eastAsia="zh-CN"/>
              </w:rPr>
            </w:pPr>
            <w:r>
              <w:rPr>
                <w:rFonts w:hint="eastAsia" w:ascii="仿宋" w:hAnsi="仿宋" w:eastAsia="仿宋" w:cs="仿宋"/>
                <w:b/>
                <w:bCs/>
                <w:color w:val="000000"/>
                <w:sz w:val="22"/>
                <w:szCs w:val="22"/>
                <w:lang w:val="en-US" w:eastAsia="zh-CN"/>
              </w:rPr>
              <w:t>3,870.24</w:t>
            </w:r>
          </w:p>
        </w:tc>
      </w:tr>
    </w:tbl>
    <w:p>
      <w:pPr>
        <w:widowControl w:val="0"/>
        <w:suppressAutoHyphens/>
        <w:bidi w:val="0"/>
        <w:spacing w:before="66" w:after="0"/>
        <w:ind w:right="0"/>
        <w:jc w:val="left"/>
        <w:rPr>
          <w:rFonts w:hint="eastAsia" w:ascii="仿宋" w:hAnsi="仿宋" w:eastAsia="仿宋" w:cs="仿宋"/>
          <w:b/>
          <w:bCs/>
          <w:color w:val="000000"/>
          <w:sz w:val="22"/>
          <w:szCs w:val="22"/>
        </w:rPr>
        <w:sectPr>
          <w:footerReference r:id="rId7" w:type="default"/>
          <w:pgSz w:w="11906" w:h="16838"/>
          <w:pgMar w:top="1580" w:right="700" w:bottom="770" w:left="697"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6703" w:type="dxa"/>
        <w:tblInd w:w="17"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
      <w:tblGrid>
        <w:gridCol w:w="824"/>
        <w:gridCol w:w="1801"/>
        <w:gridCol w:w="976"/>
        <w:gridCol w:w="998"/>
        <w:gridCol w:w="999"/>
        <w:gridCol w:w="749"/>
        <w:gridCol w:w="681"/>
        <w:gridCol w:w="972"/>
        <w:gridCol w:w="983"/>
        <w:gridCol w:w="811"/>
        <w:gridCol w:w="674"/>
        <w:gridCol w:w="686"/>
        <w:gridCol w:w="834"/>
        <w:gridCol w:w="823"/>
        <w:gridCol w:w="823"/>
        <w:gridCol w:w="834"/>
        <w:gridCol w:w="553"/>
        <w:gridCol w:w="822"/>
        <w:gridCol w:w="86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Ex>
        <w:trPr>
          <w:cantSplit/>
          <w:trHeight w:val="0" w:hRule="atLeast"/>
        </w:trPr>
        <w:tc>
          <w:tcPr>
            <w:tcW w:w="16703" w:type="dxa"/>
            <w:gridSpan w:val="19"/>
            <w:tcBorders>
              <w:top w:val="nil"/>
              <w:left w:val="nil"/>
              <w:bottom w:val="nil"/>
              <w:right w:val="nil"/>
            </w:tcBorders>
            <w:shd w:val="clear" w:color="auto" w:fill="FFFFFF"/>
            <w:tcMar>
              <w:top w:w="0" w:type="dxa"/>
              <w:left w:w="0" w:type="dxa"/>
              <w:bottom w:w="0" w:type="dxa"/>
              <w:right w:w="0" w:type="dxa"/>
            </w:tcMar>
            <w:vAlign w:val="center"/>
          </w:tcPr>
          <w:p>
            <w:pPr>
              <w:pStyle w:val="22"/>
              <w:widowControl w:val="0"/>
              <w:jc w:val="left"/>
              <w:rPr>
                <w:rFonts w:hint="eastAsia" w:ascii="仿宋" w:hAnsi="仿宋" w:eastAsia="仿宋" w:cs="仿宋"/>
                <w:lang w:val="en-US" w:eastAsia="zh-CN"/>
              </w:rPr>
            </w:pPr>
            <w:r>
              <w:rPr>
                <w:rFonts w:hint="eastAsia" w:ascii="仿宋" w:hAnsi="仿宋" w:eastAsia="仿宋" w:cs="仿宋"/>
              </w:rPr>
              <w:t>公开02表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Ex>
        <w:trPr>
          <w:cantSplit/>
          <w:trHeight w:val="0" w:hRule="atLeast"/>
        </w:trPr>
        <w:tc>
          <w:tcPr>
            <w:tcW w:w="16703" w:type="dxa"/>
            <w:gridSpan w:val="19"/>
            <w:tcBorders>
              <w:top w:val="nil"/>
              <w:left w:val="nil"/>
              <w:bottom w:val="nil"/>
              <w:right w:val="nil"/>
            </w:tcBorders>
            <w:shd w:val="clear" w:color="auto" w:fill="FFFFFF"/>
            <w:tcMar>
              <w:top w:w="0" w:type="dxa"/>
              <w:left w:w="0" w:type="dxa"/>
              <w:bottom w:w="0" w:type="dxa"/>
              <w:right w:w="0" w:type="dxa"/>
            </w:tcMar>
            <w:vAlign w:val="center"/>
          </w:tcPr>
          <w:p>
            <w:pPr>
              <w:pStyle w:val="22"/>
              <w:widowControl w:val="0"/>
              <w:jc w:val="center"/>
              <w:rPr>
                <w:rFonts w:hint="eastAsia" w:ascii="仿宋" w:hAnsi="仿宋" w:eastAsia="仿宋" w:cs="仿宋"/>
                <w:lang w:val="en-US" w:eastAsia="zh-CN"/>
              </w:rPr>
            </w:pPr>
            <w:r>
              <w:rPr>
                <w:rFonts w:hint="eastAsia" w:ascii="仿宋" w:hAnsi="仿宋" w:eastAsia="仿宋" w:cs="仿宋"/>
                <w:b/>
                <w:bCs/>
                <w:sz w:val="44"/>
                <w:szCs w:val="44"/>
              </w:rPr>
              <w:t>收入</w:t>
            </w:r>
            <w:r>
              <w:rPr>
                <w:rFonts w:hint="eastAsia" w:ascii="仿宋" w:hAnsi="仿宋" w:eastAsia="仿宋" w:cs="仿宋"/>
                <w:b/>
                <w:bCs/>
                <w:sz w:val="44"/>
                <w:szCs w:val="44"/>
                <w:lang w:val="en-US" w:eastAsia="zh-CN"/>
              </w:rPr>
              <w:t>总</w:t>
            </w:r>
            <w:r>
              <w:rPr>
                <w:rFonts w:hint="eastAsia" w:ascii="仿宋" w:hAnsi="仿宋" w:eastAsia="仿宋" w:cs="仿宋"/>
                <w:b/>
                <w:bCs/>
                <w:sz w:val="44"/>
                <w:szCs w:val="44"/>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Ex>
        <w:trPr>
          <w:cantSplit/>
          <w:trHeight w:val="0" w:hRule="atLeast"/>
        </w:trPr>
        <w:tc>
          <w:tcPr>
            <w:tcW w:w="11988" w:type="dxa"/>
            <w:gridSpan w:val="13"/>
            <w:tcBorders>
              <w:top w:val="nil"/>
              <w:left w:val="nil"/>
              <w:bottom w:val="single" w:color="auto" w:sz="4" w:space="0"/>
              <w:right w:val="nil"/>
            </w:tcBorders>
            <w:shd w:val="clear" w:color="auto" w:fill="FFFFFF"/>
            <w:tcMar>
              <w:top w:w="0" w:type="dxa"/>
              <w:left w:w="0" w:type="dxa"/>
              <w:bottom w:w="0" w:type="dxa"/>
              <w:right w:w="0" w:type="dxa"/>
            </w:tcMar>
            <w:vAlign w:val="center"/>
          </w:tcPr>
          <w:p>
            <w:pPr>
              <w:pStyle w:val="22"/>
              <w:widowControl w:val="0"/>
              <w:jc w:val="both"/>
              <w:rPr>
                <w:rFonts w:hint="eastAsia" w:ascii="仿宋" w:hAnsi="仿宋" w:eastAsia="仿宋" w:cs="仿宋"/>
                <w:lang w:val="en-US" w:eastAsia="zh-CN"/>
              </w:rPr>
            </w:pPr>
            <w:r>
              <w:rPr>
                <w:rFonts w:hint="eastAsia" w:ascii="仿宋" w:hAnsi="仿宋" w:eastAsia="仿宋" w:cs="仿宋"/>
                <w:color w:val="000000"/>
                <w:sz w:val="22"/>
                <w:szCs w:val="22"/>
                <w:lang w:eastAsia="zh-CN"/>
              </w:rPr>
              <w:t>单位</w:t>
            </w:r>
            <w:r>
              <w:rPr>
                <w:rFonts w:ascii="仿宋" w:hAnsi="仿宋" w:eastAsia="仿宋" w:cs="仿宋"/>
                <w:color w:val="000000"/>
                <w:sz w:val="22"/>
              </w:rPr>
              <w:t>：</w:t>
            </w:r>
            <w:r>
              <w:rPr>
                <w:rFonts w:hint="eastAsia" w:ascii="仿宋" w:hAnsi="仿宋" w:eastAsia="仿宋" w:cs="仿宋"/>
              </w:rPr>
              <w:t>江苏省伤残人康复中心</w:t>
            </w:r>
          </w:p>
        </w:tc>
        <w:tc>
          <w:tcPr>
            <w:tcW w:w="4715" w:type="dxa"/>
            <w:gridSpan w:val="6"/>
            <w:tcBorders>
              <w:top w:val="nil"/>
              <w:left w:val="nil"/>
              <w:bottom w:val="single" w:color="auto" w:sz="4" w:space="0"/>
              <w:right w:val="nil"/>
            </w:tcBorders>
            <w:shd w:val="clear" w:color="auto" w:fill="FFFFFF"/>
            <w:tcMar>
              <w:top w:w="0" w:type="dxa"/>
              <w:left w:w="0" w:type="dxa"/>
              <w:bottom w:w="0" w:type="dxa"/>
              <w:right w:w="0" w:type="dxa"/>
            </w:tcMar>
            <w:vAlign w:val="center"/>
          </w:tcPr>
          <w:p>
            <w:pPr>
              <w:pStyle w:val="22"/>
              <w:widowControl w:val="0"/>
              <w:jc w:val="right"/>
              <w:rPr>
                <w:rFonts w:hint="eastAsia" w:ascii="仿宋" w:hAnsi="仿宋" w:eastAsia="仿宋" w:cs="仿宋"/>
                <w:lang w:val="en-US" w:eastAsia="zh-CN"/>
              </w:rPr>
            </w:pPr>
            <w:r>
              <w:rPr>
                <w:rFonts w:hint="eastAsia" w:ascii="仿宋" w:hAnsi="仿宋" w:eastAsia="仿宋" w:cs="仿宋"/>
                <w:lang w:eastAsia="zh-CN"/>
              </w:rPr>
              <w:t>单位</w:t>
            </w:r>
            <w:r>
              <w:rPr>
                <w:rFonts w:hint="eastAsia" w:ascii="仿宋" w:hAnsi="仿宋" w:eastAsia="仿宋" w:cs="仿宋"/>
              </w:rPr>
              <w:t>：万元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Ex>
        <w:trPr>
          <w:cantSplit/>
          <w:trHeight w:val="0" w:hRule="atLeast"/>
        </w:trPr>
        <w:tc>
          <w:tcPr>
            <w:tcW w:w="824" w:type="dxa"/>
            <w:vMerge w:val="restart"/>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21"/>
                <w:szCs w:val="21"/>
              </w:rPr>
            </w:pPr>
            <w:r>
              <w:rPr>
                <w:rFonts w:hint="eastAsia" w:ascii="仿宋" w:hAnsi="仿宋" w:eastAsia="仿宋" w:cs="仿宋"/>
                <w:color w:val="000000"/>
                <w:sz w:val="22"/>
                <w:szCs w:val="22"/>
                <w:lang w:eastAsia="zh-CN"/>
              </w:rPr>
              <w:t>单位</w:t>
            </w:r>
            <w:r>
              <w:rPr>
                <w:rFonts w:hint="eastAsia" w:ascii="仿宋" w:hAnsi="仿宋" w:eastAsia="仿宋" w:cs="仿宋"/>
                <w:sz w:val="21"/>
                <w:szCs w:val="21"/>
                <w:lang w:val="en-US" w:eastAsia="zh-CN"/>
              </w:rPr>
              <w:t>代码</w:t>
            </w:r>
          </w:p>
        </w:tc>
        <w:tc>
          <w:tcPr>
            <w:tcW w:w="1801" w:type="dxa"/>
            <w:vMerge w:val="restart"/>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21"/>
                <w:szCs w:val="21"/>
              </w:rPr>
            </w:pPr>
            <w:r>
              <w:rPr>
                <w:rFonts w:hint="eastAsia" w:ascii="仿宋" w:hAnsi="仿宋" w:eastAsia="仿宋" w:cs="仿宋"/>
                <w:color w:val="000000"/>
                <w:sz w:val="22"/>
                <w:szCs w:val="22"/>
                <w:lang w:eastAsia="zh-CN"/>
              </w:rPr>
              <w:t>单位</w:t>
            </w:r>
            <w:r>
              <w:rPr>
                <w:rFonts w:hint="eastAsia" w:ascii="仿宋" w:hAnsi="仿宋" w:eastAsia="仿宋" w:cs="仿宋"/>
                <w:sz w:val="21"/>
                <w:szCs w:val="21"/>
                <w:lang w:val="en-US" w:eastAsia="zh-CN"/>
              </w:rPr>
              <w:t>名称</w:t>
            </w:r>
          </w:p>
        </w:tc>
        <w:tc>
          <w:tcPr>
            <w:tcW w:w="976" w:type="dxa"/>
            <w:vMerge w:val="restart"/>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21"/>
                <w:szCs w:val="21"/>
              </w:rPr>
            </w:pPr>
            <w:r>
              <w:rPr>
                <w:rFonts w:hint="eastAsia" w:ascii="仿宋" w:hAnsi="仿宋" w:eastAsia="仿宋" w:cs="仿宋"/>
                <w:sz w:val="21"/>
                <w:szCs w:val="21"/>
                <w:lang w:val="en-US" w:eastAsia="zh-CN"/>
              </w:rPr>
              <w:t>合计</w:t>
            </w:r>
          </w:p>
        </w:tc>
        <w:tc>
          <w:tcPr>
            <w:tcW w:w="8387" w:type="dxa"/>
            <w:gridSpan w:val="10"/>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rPr>
            </w:pPr>
            <w:r>
              <w:rPr>
                <w:rFonts w:hint="eastAsia" w:ascii="仿宋" w:hAnsi="仿宋" w:eastAsia="仿宋" w:cs="仿宋"/>
                <w:lang w:val="en-US" w:eastAsia="zh-CN"/>
              </w:rPr>
              <w:t>本年收入</w:t>
            </w:r>
          </w:p>
        </w:tc>
        <w:tc>
          <w:tcPr>
            <w:tcW w:w="4715" w:type="dxa"/>
            <w:gridSpan w:val="6"/>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rPr>
            </w:pPr>
            <w:r>
              <w:rPr>
                <w:rFonts w:hint="eastAsia" w:ascii="仿宋" w:hAnsi="仿宋" w:eastAsia="仿宋" w:cs="仿宋"/>
                <w:lang w:val="en-US" w:eastAsia="zh-CN"/>
              </w:rPr>
              <w:t>上年结转结余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Ex>
        <w:trPr>
          <w:cantSplit/>
          <w:trHeight w:val="0" w:hRule="atLeast"/>
        </w:trPr>
        <w:tc>
          <w:tcPr>
            <w:tcW w:w="824" w:type="dxa"/>
            <w:vMerge w:val="continue"/>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rPr>
            </w:pPr>
          </w:p>
        </w:tc>
        <w:tc>
          <w:tcPr>
            <w:tcW w:w="1801" w:type="dxa"/>
            <w:vMerge w:val="continue"/>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rPr>
            </w:pPr>
          </w:p>
        </w:tc>
        <w:tc>
          <w:tcPr>
            <w:tcW w:w="976" w:type="dxa"/>
            <w:vMerge w:val="continue"/>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rPr>
            </w:pPr>
          </w:p>
        </w:tc>
        <w:tc>
          <w:tcPr>
            <w:tcW w:w="998"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小计</w:t>
            </w:r>
          </w:p>
        </w:tc>
        <w:tc>
          <w:tcPr>
            <w:tcW w:w="99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一般公共预算</w:t>
            </w:r>
          </w:p>
        </w:tc>
        <w:tc>
          <w:tcPr>
            <w:tcW w:w="74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政府性基金预算</w:t>
            </w:r>
          </w:p>
        </w:tc>
        <w:tc>
          <w:tcPr>
            <w:tcW w:w="68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国有资本经营预算</w:t>
            </w:r>
          </w:p>
        </w:tc>
        <w:tc>
          <w:tcPr>
            <w:tcW w:w="97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财政专户管理资金</w:t>
            </w:r>
          </w:p>
        </w:tc>
        <w:tc>
          <w:tcPr>
            <w:tcW w:w="98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lang w:val="en-US" w:eastAsia="zh-CN"/>
              </w:rPr>
            </w:pPr>
            <w:r>
              <w:rPr>
                <w:rFonts w:hint="eastAsia" w:ascii="仿宋" w:hAnsi="仿宋" w:eastAsia="仿宋" w:cs="仿宋"/>
                <w:sz w:val="18"/>
                <w:szCs w:val="18"/>
                <w:lang w:val="en-US" w:eastAsia="zh-CN"/>
              </w:rPr>
              <w:t>事业</w:t>
            </w:r>
          </w:p>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收入</w:t>
            </w:r>
          </w:p>
        </w:tc>
        <w:tc>
          <w:tcPr>
            <w:tcW w:w="81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事业单位经营收入</w:t>
            </w:r>
          </w:p>
        </w:tc>
        <w:tc>
          <w:tcPr>
            <w:tcW w:w="6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上级补助收入</w:t>
            </w:r>
          </w:p>
        </w:tc>
        <w:tc>
          <w:tcPr>
            <w:tcW w:w="68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附属单位上缴收入</w:t>
            </w:r>
          </w:p>
        </w:tc>
        <w:tc>
          <w:tcPr>
            <w:tcW w:w="83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lang w:val="en-US" w:eastAsia="zh-CN"/>
              </w:rPr>
            </w:pPr>
            <w:r>
              <w:rPr>
                <w:rFonts w:hint="eastAsia" w:ascii="仿宋" w:hAnsi="仿宋" w:eastAsia="仿宋" w:cs="仿宋"/>
                <w:sz w:val="18"/>
                <w:szCs w:val="18"/>
                <w:lang w:val="en-US" w:eastAsia="zh-CN"/>
              </w:rPr>
              <w:t>其他</w:t>
            </w:r>
          </w:p>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收入</w:t>
            </w:r>
          </w:p>
        </w:tc>
        <w:tc>
          <w:tcPr>
            <w:tcW w:w="82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小计</w:t>
            </w:r>
          </w:p>
        </w:tc>
        <w:tc>
          <w:tcPr>
            <w:tcW w:w="82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一般公共预算</w:t>
            </w:r>
          </w:p>
        </w:tc>
        <w:tc>
          <w:tcPr>
            <w:tcW w:w="83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政府性基金预算</w:t>
            </w:r>
          </w:p>
        </w:tc>
        <w:tc>
          <w:tcPr>
            <w:tcW w:w="55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国有资本经营预算</w:t>
            </w:r>
          </w:p>
        </w:tc>
        <w:tc>
          <w:tcPr>
            <w:tcW w:w="82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财政专户管理资金</w:t>
            </w:r>
          </w:p>
        </w:tc>
        <w:tc>
          <w:tcPr>
            <w:tcW w:w="86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lang w:val="en-US" w:eastAsia="zh-CN"/>
              </w:rPr>
            </w:pPr>
            <w:r>
              <w:rPr>
                <w:rFonts w:hint="eastAsia" w:ascii="仿宋" w:hAnsi="仿宋" w:eastAsia="仿宋" w:cs="仿宋"/>
                <w:sz w:val="18"/>
                <w:szCs w:val="18"/>
                <w:lang w:val="en-US" w:eastAsia="zh-CN"/>
              </w:rPr>
              <w:t>单位</w:t>
            </w:r>
          </w:p>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Ex>
        <w:trPr>
          <w:cantSplit/>
          <w:trHeight w:val="0" w:hRule="atLeast"/>
        </w:trPr>
        <w:tc>
          <w:tcPr>
            <w:tcW w:w="2625" w:type="dxa"/>
            <w:gridSpan w:val="2"/>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center"/>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val="en-US" w:eastAsia="zh-CN"/>
              </w:rPr>
              <w:t>合计</w:t>
            </w:r>
          </w:p>
        </w:tc>
        <w:tc>
          <w:tcPr>
            <w:tcW w:w="97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3,870.24</w:t>
            </w:r>
          </w:p>
        </w:tc>
        <w:tc>
          <w:tcPr>
            <w:tcW w:w="998"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3,870.24</w:t>
            </w:r>
          </w:p>
        </w:tc>
        <w:tc>
          <w:tcPr>
            <w:tcW w:w="99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1,847.28</w:t>
            </w:r>
          </w:p>
        </w:tc>
        <w:tc>
          <w:tcPr>
            <w:tcW w:w="74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150.00</w:t>
            </w:r>
          </w:p>
        </w:tc>
        <w:tc>
          <w:tcPr>
            <w:tcW w:w="68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p>
        </w:tc>
        <w:tc>
          <w:tcPr>
            <w:tcW w:w="97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p>
        </w:tc>
        <w:tc>
          <w:tcPr>
            <w:tcW w:w="98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p>
        </w:tc>
        <w:tc>
          <w:tcPr>
            <w:tcW w:w="81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1,872.96</w:t>
            </w:r>
          </w:p>
        </w:tc>
        <w:tc>
          <w:tcPr>
            <w:tcW w:w="6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p>
        </w:tc>
        <w:tc>
          <w:tcPr>
            <w:tcW w:w="68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p>
        </w:tc>
        <w:tc>
          <w:tcPr>
            <w:tcW w:w="83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p>
        </w:tc>
        <w:tc>
          <w:tcPr>
            <w:tcW w:w="82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p>
        </w:tc>
        <w:tc>
          <w:tcPr>
            <w:tcW w:w="82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p>
        </w:tc>
        <w:tc>
          <w:tcPr>
            <w:tcW w:w="83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p>
        </w:tc>
        <w:tc>
          <w:tcPr>
            <w:tcW w:w="55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p>
        </w:tc>
        <w:tc>
          <w:tcPr>
            <w:tcW w:w="82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p>
        </w:tc>
        <w:tc>
          <w:tcPr>
            <w:tcW w:w="86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Ex>
        <w:trPr>
          <w:cantSplit/>
          <w:trHeight w:val="0" w:hRule="atLeast"/>
        </w:trPr>
        <w:tc>
          <w:tcPr>
            <w:tcW w:w="82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lef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 xml:space="preserve">  098010</w:t>
            </w:r>
          </w:p>
        </w:tc>
        <w:tc>
          <w:tcPr>
            <w:tcW w:w="180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lef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江苏省伤残人康复中心</w:t>
            </w:r>
          </w:p>
        </w:tc>
        <w:tc>
          <w:tcPr>
            <w:tcW w:w="97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3,870.24</w:t>
            </w:r>
          </w:p>
        </w:tc>
        <w:tc>
          <w:tcPr>
            <w:tcW w:w="998"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3,870.24</w:t>
            </w:r>
          </w:p>
        </w:tc>
        <w:tc>
          <w:tcPr>
            <w:tcW w:w="99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1,847.28</w:t>
            </w:r>
          </w:p>
        </w:tc>
        <w:tc>
          <w:tcPr>
            <w:tcW w:w="74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150.00</w:t>
            </w:r>
          </w:p>
        </w:tc>
        <w:tc>
          <w:tcPr>
            <w:tcW w:w="68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97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98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1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1,872.96</w:t>
            </w:r>
          </w:p>
        </w:tc>
        <w:tc>
          <w:tcPr>
            <w:tcW w:w="6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68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3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2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2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3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55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2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6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r>
    </w:tbl>
    <w:p>
      <w:pPr>
        <w:widowControl w:val="0"/>
        <w:suppressAutoHyphens/>
        <w:bidi w:val="0"/>
        <w:spacing w:before="66" w:after="0"/>
        <w:ind w:left="0" w:leftChars="0" w:right="0" w:firstLine="0" w:firstLineChars="0"/>
        <w:jc w:val="left"/>
        <w:rPr>
          <w:rFonts w:hint="eastAsia" w:ascii="仿宋" w:hAnsi="仿宋" w:eastAsia="仿宋" w:cs="仿宋"/>
          <w:b/>
          <w:bCs/>
          <w:sz w:val="22"/>
          <w:szCs w:val="22"/>
        </w:rPr>
        <w:sectPr>
          <w:footerReference r:id="rId8" w:type="default"/>
          <w:pgSz w:w="16838" w:h="11906" w:orient="landscape"/>
          <w:pgMar w:top="720" w:right="57" w:bottom="720" w:left="57"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5347" w:type="dxa"/>
        <w:tblInd w:w="96" w:type="dxa"/>
        <w:tblLayout w:type="fixed"/>
        <w:tblCellMar>
          <w:top w:w="55" w:type="dxa"/>
          <w:left w:w="55" w:type="dxa"/>
          <w:bottom w:w="55" w:type="dxa"/>
          <w:right w:w="55" w:type="dxa"/>
        </w:tblCellMar>
      </w:tblPr>
      <w:tblGrid>
        <w:gridCol w:w="1556"/>
        <w:gridCol w:w="3223"/>
        <w:gridCol w:w="1920"/>
        <w:gridCol w:w="1714"/>
        <w:gridCol w:w="1749"/>
        <w:gridCol w:w="1868"/>
        <w:gridCol w:w="1680"/>
        <w:gridCol w:w="1637"/>
      </w:tblGrid>
      <w:tr>
        <w:tblPrEx>
          <w:tblLayout w:type="fixed"/>
          <w:tblCellMar>
            <w:top w:w="55" w:type="dxa"/>
            <w:left w:w="55" w:type="dxa"/>
            <w:bottom w:w="55" w:type="dxa"/>
            <w:right w:w="55" w:type="dxa"/>
          </w:tblCellMar>
        </w:tblPrEx>
        <w:trPr>
          <w:cantSplit/>
          <w:trHeight w:val="341" w:hRule="atLeast"/>
        </w:trPr>
        <w:tc>
          <w:tcPr>
            <w:tcW w:w="15347" w:type="dxa"/>
            <w:gridSpan w:val="8"/>
            <w:vAlign w:val="center"/>
          </w:tcPr>
          <w:p>
            <w:pPr>
              <w:pStyle w:val="5"/>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b/>
                <w:bCs/>
                <w:sz w:val="44"/>
                <w:szCs w:val="44"/>
              </w:rPr>
            </w:pPr>
            <w:r>
              <w:rPr>
                <w:rFonts w:hint="eastAsia" w:ascii="仿宋" w:hAnsi="仿宋" w:eastAsia="仿宋" w:cs="仿宋"/>
                <w:sz w:val="22"/>
                <w:szCs w:val="22"/>
              </w:rPr>
              <w:t>公开03表</w:t>
            </w:r>
          </w:p>
        </w:tc>
      </w:tr>
      <w:tr>
        <w:tblPrEx>
          <w:tblLayout w:type="fixed"/>
          <w:tblCellMar>
            <w:top w:w="55" w:type="dxa"/>
            <w:left w:w="55" w:type="dxa"/>
            <w:bottom w:w="55" w:type="dxa"/>
            <w:right w:w="55" w:type="dxa"/>
          </w:tblCellMar>
        </w:tblPrEx>
        <w:trPr>
          <w:cantSplit/>
          <w:trHeight w:val="321" w:hRule="atLeast"/>
        </w:trPr>
        <w:tc>
          <w:tcPr>
            <w:tcW w:w="15347" w:type="dxa"/>
            <w:gridSpan w:val="8"/>
            <w:vAlign w:val="center"/>
          </w:tcPr>
          <w:p>
            <w:pPr>
              <w:pStyle w:val="22"/>
              <w:keepNext w:val="0"/>
              <w:keepLines w:val="0"/>
              <w:pageBreakBefore w:val="0"/>
              <w:widowControl w:val="0"/>
              <w:kinsoku/>
              <w:wordWrap/>
              <w:overflowPunct/>
              <w:topLinePunct w:val="0"/>
              <w:autoSpaceDE/>
              <w:autoSpaceDN/>
              <w:bidi w:val="0"/>
              <w:adjustRightInd/>
              <w:snapToGrid/>
              <w:spacing w:before="0" w:after="34" w:line="34" w:lineRule="atLeast"/>
              <w:ind w:firstLine="0"/>
              <w:jc w:val="center"/>
              <w:textAlignment w:val="auto"/>
              <w:rPr>
                <w:rFonts w:hint="eastAsia" w:ascii="仿宋" w:hAnsi="仿宋" w:eastAsia="仿宋" w:cs="仿宋"/>
                <w:sz w:val="22"/>
                <w:szCs w:val="22"/>
              </w:rPr>
            </w:pPr>
            <w:r>
              <w:rPr>
                <w:rFonts w:hint="eastAsia" w:ascii="仿宋" w:hAnsi="仿宋" w:eastAsia="仿宋" w:cs="仿宋"/>
                <w:b/>
                <w:bCs/>
                <w:sz w:val="44"/>
                <w:szCs w:val="44"/>
              </w:rPr>
              <w:t>支出</w:t>
            </w:r>
            <w:r>
              <w:rPr>
                <w:rFonts w:hint="eastAsia" w:ascii="仿宋" w:hAnsi="仿宋" w:eastAsia="仿宋" w:cs="仿宋"/>
                <w:b/>
                <w:bCs/>
                <w:sz w:val="44"/>
                <w:szCs w:val="44"/>
                <w:lang w:val="en-US" w:eastAsia="zh-CN"/>
              </w:rPr>
              <w:t>总</w:t>
            </w:r>
            <w:r>
              <w:rPr>
                <w:rFonts w:hint="eastAsia" w:ascii="仿宋" w:hAnsi="仿宋" w:eastAsia="仿宋" w:cs="仿宋"/>
                <w:b/>
                <w:bCs/>
                <w:sz w:val="44"/>
                <w:szCs w:val="44"/>
              </w:rPr>
              <w:t>表</w:t>
            </w:r>
          </w:p>
        </w:tc>
      </w:tr>
      <w:tr>
        <w:tblPrEx>
          <w:tblLayout w:type="fixed"/>
          <w:tblCellMar>
            <w:top w:w="55" w:type="dxa"/>
            <w:left w:w="55" w:type="dxa"/>
            <w:bottom w:w="55" w:type="dxa"/>
            <w:right w:w="55" w:type="dxa"/>
          </w:tblCellMar>
        </w:tblPrEx>
        <w:trPr>
          <w:cantSplit/>
          <w:trHeight w:val="218" w:hRule="atLeast"/>
        </w:trPr>
        <w:tc>
          <w:tcPr>
            <w:tcW w:w="12030" w:type="dxa"/>
            <w:gridSpan w:val="6"/>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rPr>
            </w:pPr>
            <w:r>
              <w:rPr>
                <w:rFonts w:hint="eastAsia" w:ascii="仿宋" w:hAnsi="仿宋" w:eastAsia="仿宋" w:cs="仿宋"/>
                <w:color w:val="000000"/>
                <w:sz w:val="22"/>
                <w:szCs w:val="22"/>
                <w:lang w:eastAsia="zh-CN"/>
              </w:rPr>
              <w:t>单位</w:t>
            </w:r>
            <w:r>
              <w:rPr>
                <w:rFonts w:ascii="仿宋" w:hAnsi="仿宋" w:eastAsia="仿宋" w:cs="仿宋"/>
                <w:color w:val="000000"/>
                <w:sz w:val="22"/>
              </w:rPr>
              <w:t>：</w:t>
            </w:r>
            <w:r>
              <w:rPr>
                <w:rFonts w:hint="eastAsia" w:ascii="仿宋" w:hAnsi="仿宋" w:eastAsia="仿宋" w:cs="仿宋"/>
              </w:rPr>
              <w:t>江苏省伤残人康复中心</w:t>
            </w:r>
          </w:p>
        </w:tc>
        <w:tc>
          <w:tcPr>
            <w:tcW w:w="3317" w:type="dxa"/>
            <w:gridSpan w:val="2"/>
            <w:vAlign w:val="center"/>
          </w:tcPr>
          <w:p>
            <w:pPr>
              <w:pStyle w:val="22"/>
              <w:keepNext w:val="0"/>
              <w:keepLines w:val="0"/>
              <w:pageBreakBefore w:val="0"/>
              <w:widowControl w:val="0"/>
              <w:kinsoku/>
              <w:wordWrap/>
              <w:overflowPunct/>
              <w:topLinePunct w:val="0"/>
              <w:autoSpaceDE/>
              <w:autoSpaceDN/>
              <w:bidi w:val="0"/>
              <w:adjustRightInd/>
              <w:snapToGrid/>
              <w:spacing w:before="0" w:after="34" w:line="34" w:lineRule="atLeast"/>
              <w:ind w:firstLine="0"/>
              <w:jc w:val="right"/>
              <w:textAlignment w:val="auto"/>
              <w:rPr>
                <w:rFonts w:hint="eastAsia" w:ascii="仿宋" w:hAnsi="仿宋" w:eastAsia="仿宋" w:cs="仿宋"/>
                <w:sz w:val="22"/>
                <w:szCs w:val="22"/>
              </w:rPr>
            </w:pPr>
            <w:r>
              <w:rPr>
                <w:rFonts w:hint="eastAsia" w:ascii="仿宋" w:hAnsi="仿宋" w:eastAsia="仿宋" w:cs="仿宋"/>
                <w:sz w:val="22"/>
                <w:szCs w:val="22"/>
                <w:lang w:eastAsia="zh-CN"/>
              </w:rPr>
              <w:t>单位</w:t>
            </w:r>
            <w:r>
              <w:rPr>
                <w:rFonts w:hint="eastAsia" w:ascii="仿宋" w:hAnsi="仿宋" w:eastAsia="仿宋" w:cs="仿宋"/>
                <w:sz w:val="22"/>
                <w:szCs w:val="22"/>
              </w:rPr>
              <w:t>：万元</w:t>
            </w:r>
          </w:p>
        </w:tc>
      </w:tr>
      <w:tr>
        <w:tblPrEx>
          <w:tblLayout w:type="fixed"/>
          <w:tblCellMar>
            <w:top w:w="55" w:type="dxa"/>
            <w:left w:w="55" w:type="dxa"/>
            <w:bottom w:w="55" w:type="dxa"/>
            <w:right w:w="55" w:type="dxa"/>
          </w:tblCellMar>
        </w:tblPrEx>
        <w:trPr>
          <w:cantSplit/>
          <w:trHeight w:val="533" w:hRule="atLeast"/>
        </w:trPr>
        <w:tc>
          <w:tcPr>
            <w:tcW w:w="1556" w:type="dxa"/>
            <w:tcBorders>
              <w:top w:val="single" w:color="000000" w:sz="4" w:space="0"/>
              <w:left w:val="single" w:color="000000" w:sz="4" w:space="0"/>
              <w:bottom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before="0" w:after="34" w:line="34" w:lineRule="atLeast"/>
              <w:ind w:firstLine="0"/>
              <w:jc w:val="center"/>
              <w:textAlignment w:val="auto"/>
              <w:rPr>
                <w:rFonts w:hint="eastAsia" w:ascii="仿宋" w:hAnsi="仿宋" w:eastAsia="仿宋" w:cs="仿宋"/>
                <w:sz w:val="22"/>
                <w:szCs w:val="22"/>
              </w:rPr>
            </w:pPr>
            <w:r>
              <w:rPr>
                <w:rFonts w:hint="eastAsia" w:ascii="仿宋" w:hAnsi="仿宋" w:eastAsia="仿宋" w:cs="仿宋"/>
                <w:kern w:val="0"/>
                <w:sz w:val="22"/>
                <w:szCs w:val="22"/>
              </w:rPr>
              <w:t>科目编码</w:t>
            </w:r>
          </w:p>
        </w:tc>
        <w:tc>
          <w:tcPr>
            <w:tcW w:w="3223" w:type="dxa"/>
            <w:tcBorders>
              <w:top w:val="single" w:color="000000" w:sz="4" w:space="0"/>
              <w:left w:val="single" w:color="000000" w:sz="4" w:space="0"/>
              <w:bottom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before="0" w:after="34" w:line="34" w:lineRule="atLeast"/>
              <w:ind w:firstLine="0"/>
              <w:jc w:val="center"/>
              <w:textAlignment w:val="auto"/>
              <w:rPr>
                <w:rFonts w:hint="eastAsia" w:ascii="仿宋" w:hAnsi="仿宋" w:eastAsia="仿宋" w:cs="仿宋"/>
                <w:kern w:val="0"/>
                <w:sz w:val="22"/>
                <w:szCs w:val="22"/>
              </w:rPr>
            </w:pPr>
            <w:r>
              <w:rPr>
                <w:rFonts w:hint="eastAsia" w:ascii="仿宋" w:hAnsi="仿宋" w:eastAsia="仿宋" w:cs="仿宋"/>
                <w:kern w:val="0"/>
                <w:sz w:val="22"/>
                <w:szCs w:val="22"/>
              </w:rPr>
              <w:t>科目名称</w:t>
            </w:r>
          </w:p>
        </w:tc>
        <w:tc>
          <w:tcPr>
            <w:tcW w:w="1920" w:type="dxa"/>
            <w:tcBorders>
              <w:top w:val="single" w:color="000000" w:sz="4" w:space="0"/>
              <w:left w:val="single" w:color="000000" w:sz="4" w:space="0"/>
              <w:bottom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before="0" w:after="34" w:line="34" w:lineRule="atLeast"/>
              <w:ind w:firstLine="0"/>
              <w:jc w:val="center"/>
              <w:textAlignment w:val="auto"/>
              <w:rPr>
                <w:rFonts w:hint="eastAsia" w:ascii="仿宋" w:hAnsi="仿宋" w:eastAsia="仿宋" w:cs="仿宋"/>
                <w:sz w:val="22"/>
                <w:szCs w:val="22"/>
              </w:rPr>
            </w:pPr>
            <w:r>
              <w:rPr>
                <w:rFonts w:hint="eastAsia" w:ascii="仿宋" w:hAnsi="仿宋" w:eastAsia="仿宋" w:cs="仿宋"/>
                <w:kern w:val="0"/>
                <w:sz w:val="22"/>
                <w:szCs w:val="22"/>
              </w:rPr>
              <w:t>合计</w:t>
            </w:r>
          </w:p>
        </w:tc>
        <w:tc>
          <w:tcPr>
            <w:tcW w:w="1714" w:type="dxa"/>
            <w:tcBorders>
              <w:top w:val="single" w:color="000000" w:sz="4" w:space="0"/>
              <w:left w:val="single" w:color="000000" w:sz="4" w:space="0"/>
              <w:bottom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before="0" w:after="34" w:line="34" w:lineRule="atLeast"/>
              <w:ind w:firstLine="0"/>
              <w:jc w:val="center"/>
              <w:textAlignment w:val="auto"/>
              <w:rPr>
                <w:rFonts w:hint="eastAsia" w:ascii="仿宋" w:hAnsi="仿宋" w:eastAsia="仿宋" w:cs="仿宋"/>
                <w:sz w:val="22"/>
                <w:szCs w:val="22"/>
              </w:rPr>
            </w:pPr>
            <w:r>
              <w:rPr>
                <w:rFonts w:hint="eastAsia" w:ascii="仿宋" w:hAnsi="仿宋" w:eastAsia="仿宋" w:cs="仿宋"/>
                <w:kern w:val="0"/>
                <w:sz w:val="22"/>
                <w:szCs w:val="22"/>
              </w:rPr>
              <w:t>基本支出</w:t>
            </w:r>
          </w:p>
        </w:tc>
        <w:tc>
          <w:tcPr>
            <w:tcW w:w="1749" w:type="dxa"/>
            <w:tcBorders>
              <w:top w:val="single" w:color="000000" w:sz="4" w:space="0"/>
              <w:left w:val="single" w:color="000000" w:sz="4" w:space="0"/>
              <w:bottom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before="0" w:after="34" w:line="34" w:lineRule="atLeast"/>
              <w:ind w:firstLine="0"/>
              <w:jc w:val="center"/>
              <w:textAlignment w:val="auto"/>
              <w:rPr>
                <w:rFonts w:hint="eastAsia" w:ascii="仿宋" w:hAnsi="仿宋" w:eastAsia="仿宋" w:cs="仿宋"/>
                <w:sz w:val="22"/>
                <w:szCs w:val="22"/>
              </w:rPr>
            </w:pPr>
            <w:r>
              <w:rPr>
                <w:rFonts w:hint="eastAsia" w:ascii="仿宋" w:hAnsi="仿宋" w:eastAsia="仿宋" w:cs="仿宋"/>
                <w:kern w:val="0"/>
                <w:sz w:val="22"/>
                <w:szCs w:val="22"/>
              </w:rPr>
              <w:t>项目支出</w:t>
            </w:r>
          </w:p>
        </w:tc>
        <w:tc>
          <w:tcPr>
            <w:tcW w:w="1868" w:type="dxa"/>
            <w:tcBorders>
              <w:top w:val="single" w:color="000000" w:sz="4" w:space="0"/>
              <w:left w:val="single" w:color="000000" w:sz="4" w:space="0"/>
              <w:bottom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before="0" w:after="34" w:line="34" w:lineRule="atLeast"/>
              <w:ind w:firstLine="0"/>
              <w:jc w:val="center"/>
              <w:textAlignment w:val="auto"/>
              <w:rPr>
                <w:rFonts w:hint="eastAsia" w:ascii="仿宋" w:hAnsi="仿宋" w:eastAsia="仿宋" w:cs="仿宋"/>
                <w:kern w:val="0"/>
                <w:sz w:val="22"/>
                <w:szCs w:val="22"/>
                <w:lang w:val="en-US" w:eastAsia="zh-CN"/>
              </w:rPr>
            </w:pPr>
            <w:r>
              <w:rPr>
                <w:rFonts w:hint="eastAsia" w:ascii="仿宋" w:hAnsi="仿宋" w:eastAsia="仿宋" w:cs="仿宋"/>
                <w:kern w:val="0"/>
                <w:sz w:val="22"/>
                <w:szCs w:val="22"/>
                <w:lang w:val="en-US" w:eastAsia="zh-CN"/>
              </w:rPr>
              <w:t>事业单位</w:t>
            </w:r>
          </w:p>
          <w:p>
            <w:pPr>
              <w:pStyle w:val="22"/>
              <w:keepNext w:val="0"/>
              <w:keepLines w:val="0"/>
              <w:pageBreakBefore w:val="0"/>
              <w:widowControl w:val="0"/>
              <w:kinsoku/>
              <w:wordWrap/>
              <w:overflowPunct/>
              <w:topLinePunct w:val="0"/>
              <w:autoSpaceDE/>
              <w:autoSpaceDN/>
              <w:bidi w:val="0"/>
              <w:adjustRightInd/>
              <w:snapToGrid/>
              <w:spacing w:before="0" w:after="34" w:line="34" w:lineRule="atLeast"/>
              <w:ind w:firstLine="0"/>
              <w:jc w:val="center"/>
              <w:textAlignment w:val="auto"/>
              <w:rPr>
                <w:rFonts w:hint="eastAsia" w:ascii="仿宋" w:hAnsi="仿宋" w:eastAsia="仿宋" w:cs="仿宋"/>
                <w:sz w:val="22"/>
                <w:szCs w:val="22"/>
              </w:rPr>
            </w:pPr>
            <w:r>
              <w:rPr>
                <w:rFonts w:hint="eastAsia" w:ascii="仿宋" w:hAnsi="仿宋" w:eastAsia="仿宋" w:cs="仿宋"/>
                <w:kern w:val="0"/>
                <w:sz w:val="22"/>
                <w:szCs w:val="22"/>
                <w:lang w:val="en-US" w:eastAsia="zh-CN"/>
              </w:rPr>
              <w:t>经营支出</w:t>
            </w:r>
          </w:p>
        </w:tc>
        <w:tc>
          <w:tcPr>
            <w:tcW w:w="1680" w:type="dxa"/>
            <w:tcBorders>
              <w:top w:val="single" w:color="000000" w:sz="4" w:space="0"/>
              <w:left w:val="single" w:color="000000" w:sz="4" w:space="0"/>
              <w:bottom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before="0" w:after="34" w:line="34" w:lineRule="atLeast"/>
              <w:ind w:firstLine="0"/>
              <w:jc w:val="center"/>
              <w:textAlignment w:val="auto"/>
              <w:rPr>
                <w:rFonts w:hint="eastAsia" w:ascii="仿宋" w:hAnsi="仿宋" w:eastAsia="仿宋" w:cs="仿宋"/>
                <w:sz w:val="22"/>
                <w:szCs w:val="22"/>
              </w:rPr>
            </w:pPr>
            <w:r>
              <w:rPr>
                <w:rFonts w:hint="eastAsia" w:ascii="仿宋" w:hAnsi="仿宋" w:eastAsia="仿宋" w:cs="仿宋"/>
                <w:kern w:val="0"/>
                <w:sz w:val="22"/>
                <w:szCs w:val="22"/>
              </w:rPr>
              <w:t>上缴上级支出</w:t>
            </w:r>
          </w:p>
        </w:tc>
        <w:tc>
          <w:tcPr>
            <w:tcW w:w="1637" w:type="dxa"/>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before="0" w:after="34" w:line="34" w:lineRule="atLeast"/>
              <w:ind w:firstLine="0"/>
              <w:jc w:val="center"/>
              <w:textAlignment w:val="auto"/>
              <w:rPr>
                <w:rFonts w:hint="eastAsia" w:ascii="仿宋" w:hAnsi="仿宋" w:eastAsia="仿宋" w:cs="仿宋"/>
                <w:sz w:val="22"/>
                <w:szCs w:val="22"/>
              </w:rPr>
            </w:pPr>
            <w:r>
              <w:rPr>
                <w:rFonts w:hint="eastAsia" w:ascii="仿宋" w:hAnsi="仿宋" w:eastAsia="仿宋" w:cs="仿宋"/>
                <w:kern w:val="0"/>
                <w:sz w:val="22"/>
                <w:szCs w:val="22"/>
              </w:rPr>
              <w:t>对附属单位补助支出</w:t>
            </w:r>
          </w:p>
        </w:tc>
      </w:tr>
      <w:tr>
        <w:tblPrEx>
          <w:tblLayout w:type="fixed"/>
          <w:tblCellMar>
            <w:top w:w="55" w:type="dxa"/>
            <w:left w:w="55" w:type="dxa"/>
            <w:bottom w:w="55" w:type="dxa"/>
            <w:right w:w="55" w:type="dxa"/>
          </w:tblCellMar>
        </w:tblPrEx>
        <w:trPr>
          <w:cantSplit/>
          <w:trHeight w:val="375" w:hRule="exact"/>
        </w:trPr>
        <w:tc>
          <w:tcPr>
            <w:tcW w:w="4779"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ascii="仿宋" w:hAnsi="仿宋" w:eastAsia="仿宋" w:cs="仿宋"/>
                <w:sz w:val="22"/>
              </w:rPr>
              <w:t>合计</w:t>
            </w:r>
          </w:p>
        </w:tc>
        <w:tc>
          <w:tcPr>
            <w:tcW w:w="192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3,870.24</w:t>
            </w:r>
          </w:p>
        </w:tc>
        <w:tc>
          <w:tcPr>
            <w:tcW w:w="1714"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2,820.24</w:t>
            </w:r>
          </w:p>
        </w:tc>
        <w:tc>
          <w:tcPr>
            <w:tcW w:w="1749"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1,050.00</w:t>
            </w:r>
          </w:p>
        </w:tc>
        <w:tc>
          <w:tcPr>
            <w:tcW w:w="1868"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68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637"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208</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社会保障和就业支出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3,096.73</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2,196.73</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900.00</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 xml:space="preserve">  20805</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行政事业单位养老支出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73.21</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73.21</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 xml:space="preserve">    2080505</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机关事业单位基本养老保险缴费支出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48.81</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48.81</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 xml:space="preserve">    2080506</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机关事业单位职业年金缴费支出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24.40</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24.40</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 xml:space="preserve">  20808</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抚恤</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3,023.52</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2,123.52</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900.00</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 xml:space="preserve">    2080899</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其他优抚支出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3,023.52</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2,123.52</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900.00</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221</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住房保障支出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623.51</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623.51</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 xml:space="preserve">  22102</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住房改革支出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623.51</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623.51</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 xml:space="preserve">    2210201</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住房公积金</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84.43</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84.43</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 xml:space="preserve">    2210202</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提租补贴</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539.08</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539.08</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229</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其他支出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150.00</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150.00</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 xml:space="preserve">  22960</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彩票公益金安排的支出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150.00</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150.00</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 xml:space="preserve">    2296002</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用于社会福利的彩票公益金支出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150.00</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150.00</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r>
    </w:tbl>
    <w:p>
      <w:pPr>
        <w:widowControl w:val="0"/>
        <w:suppressAutoHyphens/>
        <w:bidi w:val="0"/>
        <w:spacing w:before="59" w:after="0"/>
        <w:ind w:left="57" w:right="0" w:firstLine="0"/>
        <w:jc w:val="left"/>
        <w:rPr>
          <w:rFonts w:hint="eastAsia" w:ascii="仿宋" w:hAnsi="仿宋" w:eastAsia="仿宋" w:cs="仿宋"/>
          <w:b/>
          <w:bCs/>
          <w:sz w:val="22"/>
          <w:szCs w:val="22"/>
        </w:rPr>
        <w:sectPr>
          <w:footerReference r:id="rId9" w:type="default"/>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5789" w:type="dxa"/>
        <w:tblInd w:w="-125" w:type="dxa"/>
        <w:tblLayout w:type="fixed"/>
        <w:tblCellMar>
          <w:top w:w="55" w:type="dxa"/>
          <w:left w:w="55" w:type="dxa"/>
          <w:bottom w:w="55" w:type="dxa"/>
          <w:right w:w="55" w:type="dxa"/>
        </w:tblCellMar>
      </w:tblPr>
      <w:tblGrid>
        <w:gridCol w:w="3987"/>
        <w:gridCol w:w="3960"/>
        <w:gridCol w:w="3943"/>
        <w:gridCol w:w="3899"/>
      </w:tblGrid>
      <w:tr>
        <w:tblPrEx>
          <w:tblLayout w:type="fixed"/>
          <w:tblCellMar>
            <w:top w:w="55" w:type="dxa"/>
            <w:left w:w="55" w:type="dxa"/>
            <w:bottom w:w="55" w:type="dxa"/>
            <w:right w:w="55" w:type="dxa"/>
          </w:tblCellMar>
        </w:tblPrEx>
        <w:trPr>
          <w:cantSplit/>
          <w:trHeight w:val="319" w:hRule="atLeast"/>
        </w:trPr>
        <w:tc>
          <w:tcPr>
            <w:tcW w:w="15789" w:type="dxa"/>
            <w:gridSpan w:val="4"/>
          </w:tcPr>
          <w:p>
            <w:pPr>
              <w:pStyle w:val="22"/>
              <w:widowControl w:val="0"/>
              <w:jc w:val="left"/>
              <w:rPr>
                <w:rFonts w:hint="eastAsia" w:ascii="仿宋" w:hAnsi="仿宋" w:eastAsia="仿宋" w:cs="仿宋"/>
                <w:b/>
                <w:bCs/>
                <w:sz w:val="44"/>
                <w:szCs w:val="44"/>
              </w:rPr>
            </w:pPr>
            <w:r>
              <w:rPr>
                <w:rFonts w:hint="eastAsia" w:ascii="仿宋" w:hAnsi="仿宋" w:eastAsia="仿宋" w:cs="仿宋"/>
                <w:sz w:val="22"/>
                <w:szCs w:val="22"/>
              </w:rPr>
              <w:t>公开04表</w:t>
            </w:r>
          </w:p>
        </w:tc>
      </w:tr>
      <w:tr>
        <w:tblPrEx>
          <w:tblLayout w:type="fixed"/>
          <w:tblCellMar>
            <w:top w:w="55" w:type="dxa"/>
            <w:left w:w="55" w:type="dxa"/>
            <w:bottom w:w="55" w:type="dxa"/>
            <w:right w:w="55" w:type="dxa"/>
          </w:tblCellMar>
        </w:tblPrEx>
        <w:trPr>
          <w:cantSplit/>
          <w:trHeight w:val="319" w:hRule="atLeast"/>
        </w:trPr>
        <w:tc>
          <w:tcPr>
            <w:tcW w:w="15789" w:type="dxa"/>
            <w:gridSpan w:val="4"/>
          </w:tcPr>
          <w:p>
            <w:pPr>
              <w:pStyle w:val="22"/>
              <w:widowControl w:val="0"/>
              <w:jc w:val="center"/>
              <w:rPr>
                <w:rFonts w:hint="eastAsia" w:ascii="仿宋" w:hAnsi="仿宋" w:eastAsia="仿宋" w:cs="仿宋"/>
                <w:sz w:val="22"/>
                <w:szCs w:val="22"/>
              </w:rPr>
            </w:pPr>
            <w:r>
              <w:rPr>
                <w:rFonts w:hint="eastAsia" w:ascii="仿宋" w:hAnsi="仿宋" w:eastAsia="仿宋" w:cs="仿宋"/>
                <w:b/>
                <w:bCs/>
                <w:sz w:val="44"/>
                <w:szCs w:val="44"/>
              </w:rPr>
              <w:t>财政拨款收支总表</w:t>
            </w:r>
          </w:p>
        </w:tc>
      </w:tr>
      <w:tr>
        <w:tblPrEx>
          <w:tblLayout w:type="fixed"/>
          <w:tblCellMar>
            <w:top w:w="55" w:type="dxa"/>
            <w:left w:w="55" w:type="dxa"/>
            <w:bottom w:w="55" w:type="dxa"/>
            <w:right w:w="55" w:type="dxa"/>
          </w:tblCellMar>
        </w:tblPrEx>
        <w:trPr>
          <w:cantSplit/>
          <w:trHeight w:val="319" w:hRule="atLeast"/>
        </w:trPr>
        <w:tc>
          <w:tcPr>
            <w:tcW w:w="11890" w:type="dxa"/>
            <w:gridSpan w:val="3"/>
          </w:tcPr>
          <w:p>
            <w:pPr>
              <w:pStyle w:val="22"/>
              <w:widowControl w:val="0"/>
              <w:jc w:val="left"/>
              <w:rPr>
                <w:rFonts w:hint="eastAsia" w:ascii="仿宋" w:hAnsi="仿宋" w:eastAsia="仿宋" w:cs="仿宋"/>
                <w:sz w:val="22"/>
                <w:szCs w:val="22"/>
              </w:rPr>
            </w:pPr>
            <w:r>
              <w:rPr>
                <w:rFonts w:hint="eastAsia" w:ascii="仿宋" w:hAnsi="仿宋" w:eastAsia="仿宋" w:cs="仿宋"/>
                <w:color w:val="000000"/>
                <w:sz w:val="22"/>
                <w:szCs w:val="22"/>
                <w:lang w:eastAsia="zh-CN"/>
              </w:rPr>
              <w:t>单位</w:t>
            </w:r>
            <w:r>
              <w:rPr>
                <w:rFonts w:ascii="仿宋" w:hAnsi="仿宋" w:eastAsia="仿宋" w:cs="仿宋"/>
                <w:color w:val="000000"/>
                <w:sz w:val="22"/>
              </w:rPr>
              <w:t>：</w:t>
            </w:r>
            <w:r>
              <w:rPr>
                <w:rFonts w:hint="eastAsia" w:ascii="仿宋" w:hAnsi="仿宋" w:eastAsia="仿宋" w:cs="仿宋"/>
                <w:sz w:val="22"/>
                <w:szCs w:val="22"/>
              </w:rPr>
              <w:t>江苏省伤残人康复中心</w:t>
            </w:r>
          </w:p>
        </w:tc>
        <w:tc>
          <w:tcPr>
            <w:tcW w:w="3899" w:type="dxa"/>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lang w:eastAsia="zh-CN"/>
              </w:rPr>
              <w:t>单位</w:t>
            </w:r>
            <w:r>
              <w:rPr>
                <w:rFonts w:hint="eastAsia" w:ascii="仿宋" w:hAnsi="仿宋" w:eastAsia="仿宋" w:cs="仿宋"/>
                <w:sz w:val="22"/>
                <w:szCs w:val="22"/>
              </w:rPr>
              <w:t>：万元</w:t>
            </w:r>
          </w:p>
        </w:tc>
      </w:tr>
      <w:tr>
        <w:tblPrEx>
          <w:tblLayout w:type="fixed"/>
          <w:tblCellMar>
            <w:top w:w="55" w:type="dxa"/>
            <w:left w:w="55" w:type="dxa"/>
            <w:bottom w:w="55" w:type="dxa"/>
            <w:right w:w="55" w:type="dxa"/>
          </w:tblCellMar>
        </w:tblPrEx>
        <w:trPr>
          <w:cantSplit/>
          <w:trHeight w:val="196" w:hRule="atLeast"/>
        </w:trPr>
        <w:tc>
          <w:tcPr>
            <w:tcW w:w="7947" w:type="dxa"/>
            <w:gridSpan w:val="2"/>
            <w:tcBorders>
              <w:top w:val="single" w:color="000000" w:sz="4" w:space="0"/>
              <w:left w:val="single" w:color="000000" w:sz="4" w:space="0"/>
              <w:bottom w:val="single" w:color="000000" w:sz="4" w:space="0"/>
            </w:tcBorders>
          </w:tcPr>
          <w:p>
            <w:pPr>
              <w:pStyle w:val="22"/>
              <w:widowControl w:val="0"/>
              <w:jc w:val="center"/>
              <w:rPr>
                <w:rFonts w:hint="eastAsia" w:ascii="仿宋" w:hAnsi="仿宋" w:eastAsia="仿宋" w:cs="仿宋"/>
                <w:b/>
                <w:bCs/>
                <w:sz w:val="22"/>
                <w:szCs w:val="22"/>
              </w:rPr>
            </w:pPr>
            <w:r>
              <w:rPr>
                <w:rFonts w:hint="eastAsia" w:ascii="仿宋" w:hAnsi="仿宋" w:eastAsia="仿宋" w:cs="仿宋"/>
                <w:b/>
                <w:bCs/>
                <w:sz w:val="22"/>
                <w:szCs w:val="22"/>
              </w:rPr>
              <w:t>收</w:t>
            </w:r>
            <w:r>
              <w:rPr>
                <w:rFonts w:hint="eastAsia" w:ascii="仿宋" w:hAnsi="仿宋" w:eastAsia="仿宋" w:cs="仿宋"/>
                <w:b/>
                <w:bCs/>
                <w:sz w:val="22"/>
                <w:szCs w:val="22"/>
              </w:rPr>
              <w:tab/>
            </w:r>
            <w:r>
              <w:rPr>
                <w:rFonts w:hint="eastAsia" w:ascii="仿宋" w:hAnsi="仿宋" w:eastAsia="仿宋" w:cs="仿宋"/>
                <w:b/>
                <w:bCs/>
                <w:sz w:val="22"/>
                <w:szCs w:val="22"/>
              </w:rPr>
              <w:t>入</w:t>
            </w:r>
          </w:p>
        </w:tc>
        <w:tc>
          <w:tcPr>
            <w:tcW w:w="7842" w:type="dxa"/>
            <w:gridSpan w:val="2"/>
            <w:tcBorders>
              <w:top w:val="single" w:color="000000" w:sz="4" w:space="0"/>
              <w:left w:val="single" w:color="000000" w:sz="4" w:space="0"/>
              <w:bottom w:val="single" w:color="000000" w:sz="4" w:space="0"/>
              <w:right w:val="single" w:color="000000" w:sz="4" w:space="0"/>
            </w:tcBorders>
          </w:tcPr>
          <w:p>
            <w:pPr>
              <w:pStyle w:val="22"/>
              <w:widowControl w:val="0"/>
              <w:jc w:val="center"/>
              <w:rPr>
                <w:rFonts w:hint="eastAsia" w:ascii="仿宋" w:hAnsi="仿宋" w:eastAsia="仿宋" w:cs="仿宋"/>
                <w:b/>
                <w:bCs/>
                <w:sz w:val="22"/>
                <w:szCs w:val="22"/>
              </w:rPr>
            </w:pPr>
            <w:r>
              <w:rPr>
                <w:rFonts w:hint="eastAsia" w:ascii="仿宋" w:hAnsi="仿宋" w:eastAsia="仿宋" w:cs="仿宋"/>
                <w:b/>
                <w:bCs/>
                <w:sz w:val="22"/>
                <w:szCs w:val="22"/>
              </w:rPr>
              <w:t>支</w:t>
            </w:r>
            <w:r>
              <w:rPr>
                <w:rFonts w:hint="eastAsia" w:ascii="仿宋" w:hAnsi="仿宋" w:eastAsia="仿宋" w:cs="仿宋"/>
                <w:b/>
                <w:bCs/>
                <w:sz w:val="22"/>
                <w:szCs w:val="22"/>
              </w:rPr>
              <w:tab/>
            </w:r>
            <w:r>
              <w:rPr>
                <w:rFonts w:hint="eastAsia" w:ascii="仿宋" w:hAnsi="仿宋" w:eastAsia="仿宋" w:cs="仿宋"/>
                <w:b/>
                <w:bCs/>
                <w:sz w:val="22"/>
                <w:szCs w:val="22"/>
              </w:rPr>
              <w:t>出</w:t>
            </w:r>
          </w:p>
        </w:tc>
      </w:tr>
      <w:tr>
        <w:tblPrEx>
          <w:tblLayout w:type="fixed"/>
          <w:tblCellMar>
            <w:top w:w="55" w:type="dxa"/>
            <w:left w:w="55" w:type="dxa"/>
            <w:bottom w:w="55" w:type="dxa"/>
            <w:right w:w="55" w:type="dxa"/>
          </w:tblCellMar>
        </w:tblPrEx>
        <w:trPr>
          <w:cantSplit/>
          <w:trHeight w:val="468" w:hRule="atLeast"/>
        </w:trPr>
        <w:tc>
          <w:tcPr>
            <w:tcW w:w="398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b/>
                <w:bCs/>
                <w:sz w:val="22"/>
                <w:szCs w:val="22"/>
              </w:rPr>
            </w:pPr>
            <w:r>
              <w:rPr>
                <w:rFonts w:ascii="仿宋" w:hAnsi="仿宋" w:eastAsia="仿宋" w:cs="仿宋"/>
                <w:b/>
                <w:sz w:val="22"/>
              </w:rPr>
              <w:t>项</w:t>
            </w:r>
            <w:r>
              <w:rPr>
                <w:rFonts w:hint="eastAsia" w:ascii="仿宋" w:hAnsi="仿宋" w:eastAsia="仿宋" w:cs="仿宋"/>
                <w:b/>
                <w:bCs/>
                <w:sz w:val="22"/>
                <w:szCs w:val="22"/>
              </w:rPr>
              <w:tab/>
            </w:r>
            <w:r>
              <w:rPr>
                <w:rFonts w:hint="eastAsia" w:ascii="仿宋" w:hAnsi="仿宋" w:eastAsia="仿宋" w:cs="仿宋"/>
                <w:b/>
                <w:bCs/>
                <w:sz w:val="22"/>
                <w:szCs w:val="22"/>
              </w:rPr>
              <w:t>目</w:t>
            </w:r>
          </w:p>
        </w:tc>
        <w:tc>
          <w:tcPr>
            <w:tcW w:w="396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b/>
                <w:bCs/>
                <w:sz w:val="22"/>
                <w:szCs w:val="22"/>
              </w:rPr>
            </w:pPr>
            <w:r>
              <w:rPr>
                <w:rFonts w:hint="eastAsia" w:ascii="仿宋" w:hAnsi="仿宋" w:eastAsia="仿宋" w:cs="仿宋"/>
                <w:b/>
                <w:bCs/>
                <w:sz w:val="22"/>
                <w:szCs w:val="22"/>
                <w:lang w:eastAsia="zh-CN"/>
              </w:rPr>
              <w:t>预算</w:t>
            </w:r>
            <w:r>
              <w:rPr>
                <w:rFonts w:hint="eastAsia" w:ascii="仿宋" w:hAnsi="仿宋" w:eastAsia="仿宋" w:cs="仿宋"/>
                <w:b/>
                <w:bCs/>
                <w:sz w:val="22"/>
                <w:szCs w:val="22"/>
              </w:rPr>
              <w:t>数</w:t>
            </w:r>
          </w:p>
        </w:tc>
        <w:tc>
          <w:tcPr>
            <w:tcW w:w="3943" w:type="dxa"/>
            <w:tcBorders>
              <w:left w:val="single" w:color="000000" w:sz="4" w:space="0"/>
              <w:bottom w:val="single" w:color="000000" w:sz="4" w:space="0"/>
            </w:tcBorders>
            <w:vAlign w:val="center"/>
          </w:tcPr>
          <w:p>
            <w:pPr>
              <w:widowControl w:val="0"/>
              <w:jc w:val="center"/>
              <w:rPr>
                <w:rFonts w:hint="eastAsia" w:ascii="仿宋" w:hAnsi="仿宋" w:eastAsia="仿宋" w:cs="仿宋"/>
                <w:b/>
                <w:bCs/>
                <w:sz w:val="22"/>
                <w:szCs w:val="22"/>
                <w:lang w:eastAsia="zh-CN"/>
              </w:rPr>
            </w:pPr>
            <w:r>
              <w:rPr>
                <w:rFonts w:hint="eastAsia" w:ascii="仿宋" w:hAnsi="仿宋" w:eastAsia="仿宋" w:cs="仿宋"/>
                <w:b/>
                <w:bCs/>
                <w:sz w:val="22"/>
                <w:szCs w:val="22"/>
                <w:lang w:val="en-US" w:eastAsia="zh-CN"/>
              </w:rPr>
              <w:t>项目</w:t>
            </w:r>
          </w:p>
        </w:tc>
        <w:tc>
          <w:tcPr>
            <w:tcW w:w="3899" w:type="dxa"/>
            <w:tcBorders>
              <w:left w:val="single" w:color="000000" w:sz="4" w:space="0"/>
              <w:bottom w:val="single" w:color="000000" w:sz="4" w:space="0"/>
              <w:right w:val="single" w:color="000000" w:sz="4" w:space="0"/>
            </w:tcBorders>
            <w:vAlign w:val="center"/>
          </w:tcPr>
          <w:p>
            <w:pPr>
              <w:widowControl w:val="0"/>
              <w:jc w:val="center"/>
              <w:rPr>
                <w:rFonts w:hint="eastAsia" w:ascii="仿宋" w:hAnsi="仿宋" w:eastAsia="仿宋" w:cs="仿宋"/>
                <w:b/>
                <w:bCs/>
                <w:sz w:val="22"/>
                <w:szCs w:val="22"/>
              </w:rPr>
            </w:pPr>
            <w:r>
              <w:rPr>
                <w:rFonts w:hint="eastAsia" w:ascii="仿宋" w:hAnsi="仿宋" w:eastAsia="仿宋" w:cs="仿宋"/>
                <w:b/>
                <w:bCs/>
                <w:sz w:val="22"/>
                <w:szCs w:val="22"/>
                <w:lang w:eastAsia="zh-CN"/>
              </w:rPr>
              <w:t>预算</w:t>
            </w:r>
            <w:r>
              <w:rPr>
                <w:rFonts w:hint="eastAsia" w:ascii="仿宋" w:hAnsi="仿宋" w:eastAsia="仿宋" w:cs="仿宋"/>
                <w:b/>
                <w:bCs/>
                <w:sz w:val="22"/>
                <w:szCs w:val="22"/>
              </w:rPr>
              <w:t>数</w:t>
            </w:r>
          </w:p>
        </w:tc>
      </w:tr>
      <w:tr>
        <w:tblPrEx>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一、本年收入</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1,997.28</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一、本年支出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1,997.28</w:t>
            </w:r>
          </w:p>
        </w:tc>
      </w:tr>
      <w:tr>
        <w:tblPrEx>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（一）一般公共预算拨款</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1,847.28</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（一）一般公共服务支出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p>
        </w:tc>
      </w:tr>
      <w:tr>
        <w:tblPrEx>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（二）政府性基金预算拨款</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150.00</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（二）外交支出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p>
        </w:tc>
      </w:tr>
      <w:tr>
        <w:tblPrEx>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（三）国有资本经营预算拨款</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（三）国防支出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p>
        </w:tc>
      </w:tr>
      <w:tr>
        <w:tblPrEx>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二、上年结转</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（四）公共安全支出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p>
        </w:tc>
      </w:tr>
      <w:tr>
        <w:tblPrEx>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（一）一般公共预算拨款</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（五）教育支出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p>
        </w:tc>
      </w:tr>
      <w:tr>
        <w:tblPrEx>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（二）政府性基金预算拨款</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（六）科学技术支出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p>
        </w:tc>
      </w:tr>
      <w:tr>
        <w:tblPrEx>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（三）国有资本经营预算拨款</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（七）文化旅游体育与传媒支出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p>
        </w:tc>
      </w:tr>
      <w:tr>
        <w:tblPrEx>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（八）社会保障和就业支出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1,475.03</w:t>
            </w:r>
          </w:p>
        </w:tc>
      </w:tr>
      <w:tr>
        <w:tblPrEx>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（九）社会保险基金支出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p>
        </w:tc>
      </w:tr>
      <w:tr>
        <w:tblPrEx>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（十）卫生健康支出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p>
        </w:tc>
      </w:tr>
      <w:tr>
        <w:tblPrEx>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（十一）节能环保支出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p>
        </w:tc>
      </w:tr>
      <w:tr>
        <w:tblPrEx>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（十二）城乡社区支出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p>
        </w:tc>
      </w:tr>
      <w:tr>
        <w:tblPrEx>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（十三）农林水支出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p>
        </w:tc>
      </w:tr>
      <w:tr>
        <w:tblPrEx>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（十四）交通运输支出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p>
        </w:tc>
      </w:tr>
      <w:tr>
        <w:tblPrEx>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（十五）资源勘探工业信息等支出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p>
        </w:tc>
      </w:tr>
      <w:tr>
        <w:tblPrEx>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（十六）商业服务业等支出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p>
        </w:tc>
      </w:tr>
      <w:tr>
        <w:tblPrEx>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（十七）金融支出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p>
        </w:tc>
      </w:tr>
      <w:tr>
        <w:tblPrEx>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xml:space="preserve">（十八）援助其他地区支出 </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p>
        </w:tc>
      </w:tr>
      <w:tr>
        <w:tblPrEx>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（十九）自然资源海洋气象等支出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p>
        </w:tc>
      </w:tr>
      <w:tr>
        <w:tblPrEx>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（二十）住房保障支出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372.25</w:t>
            </w:r>
          </w:p>
        </w:tc>
      </w:tr>
      <w:tr>
        <w:tblPrEx>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（二十一）粮油物资储备支出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p>
        </w:tc>
      </w:tr>
      <w:tr>
        <w:tblPrEx>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（二十二）国有资本经营预算支出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p>
        </w:tc>
      </w:tr>
      <w:tr>
        <w:tblPrEx>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（二十三）灾害防治及应急管理支出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p>
        </w:tc>
      </w:tr>
      <w:tr>
        <w:tblPrEx>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（二十四）预备费</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p>
        </w:tc>
      </w:tr>
      <w:tr>
        <w:tblPrEx>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（二十五）其他支出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150.00</w:t>
            </w:r>
          </w:p>
        </w:tc>
      </w:tr>
      <w:tr>
        <w:tblPrEx>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（二十六）转移性支出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p>
        </w:tc>
      </w:tr>
      <w:tr>
        <w:tblPrEx>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（二十七）债务还本支出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p>
        </w:tc>
      </w:tr>
      <w:tr>
        <w:tblPrEx>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（二十八）债务付息支出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p>
        </w:tc>
      </w:tr>
      <w:tr>
        <w:tblPrEx>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（二十九）债务发行费用支出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p>
        </w:tc>
      </w:tr>
      <w:tr>
        <w:tblPrEx>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（三十）抗疫特别国债安排的支出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p>
        </w:tc>
      </w:tr>
      <w:tr>
        <w:tblPrEx>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二、年终结转结余</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p>
        </w:tc>
      </w:tr>
      <w:tr>
        <w:tblPrEx>
          <w:tblLayout w:type="fixed"/>
          <w:tblCellMar>
            <w:top w:w="55" w:type="dxa"/>
            <w:left w:w="55" w:type="dxa"/>
            <w:bottom w:w="55" w:type="dxa"/>
            <w:right w:w="55" w:type="dxa"/>
          </w:tblCellMar>
        </w:tblPrEx>
        <w:trPr>
          <w:cantSplit/>
          <w:trHeight w:val="296" w:hRule="exact"/>
        </w:trPr>
        <w:tc>
          <w:tcPr>
            <w:tcW w:w="398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b/>
                <w:bCs/>
                <w:sz w:val="22"/>
                <w:szCs w:val="22"/>
                <w:lang w:val="en-US" w:eastAsia="zh-CN"/>
              </w:rPr>
              <w:t>收入</w:t>
            </w:r>
            <w:r>
              <w:rPr>
                <w:rFonts w:hint="eastAsia" w:ascii="仿宋" w:hAnsi="仿宋" w:eastAsia="仿宋" w:cs="仿宋"/>
                <w:b/>
                <w:bCs/>
                <w:sz w:val="22"/>
                <w:szCs w:val="22"/>
              </w:rPr>
              <w:t>总计</w:t>
            </w:r>
          </w:p>
        </w:tc>
        <w:tc>
          <w:tcPr>
            <w:tcW w:w="3960"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1,997.28</w:t>
            </w:r>
          </w:p>
        </w:tc>
        <w:tc>
          <w:tcPr>
            <w:tcW w:w="3943"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b/>
                <w:bCs/>
                <w:sz w:val="22"/>
                <w:szCs w:val="22"/>
                <w:lang w:val="en-US" w:eastAsia="zh-CN"/>
              </w:rPr>
              <w:t>支出</w:t>
            </w:r>
            <w:r>
              <w:rPr>
                <w:rFonts w:hint="eastAsia" w:ascii="仿宋" w:hAnsi="仿宋" w:eastAsia="仿宋" w:cs="仿宋"/>
                <w:b/>
                <w:bCs/>
                <w:sz w:val="22"/>
                <w:szCs w:val="22"/>
              </w:rPr>
              <w:t>总计</w:t>
            </w:r>
          </w:p>
        </w:tc>
        <w:tc>
          <w:tcPr>
            <w:tcW w:w="3899" w:type="dxa"/>
            <w:tcBorders>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1,997.28</w:t>
            </w:r>
          </w:p>
        </w:tc>
      </w:tr>
    </w:tbl>
    <w:p>
      <w:pPr>
        <w:ind w:left="-220" w:leftChars="-100" w:firstLine="0" w:firstLineChars="0"/>
        <w:rPr>
          <w:rFonts w:hint="eastAsia" w:ascii="仿宋" w:hAnsi="仿宋" w:eastAsia="仿宋" w:cs="仿宋"/>
          <w:b/>
          <w:bCs/>
        </w:rPr>
        <w:sectPr>
          <w:footerReference r:id="rId10" w:type="default"/>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5216" w:type="dxa"/>
        <w:tblInd w:w="175" w:type="dxa"/>
        <w:tblLayout w:type="fixed"/>
        <w:tblCellMar>
          <w:top w:w="55" w:type="dxa"/>
          <w:left w:w="55" w:type="dxa"/>
          <w:bottom w:w="55" w:type="dxa"/>
          <w:right w:w="55" w:type="dxa"/>
        </w:tblCellMar>
      </w:tblPr>
      <w:tblGrid>
        <w:gridCol w:w="1846"/>
        <w:gridCol w:w="4213"/>
        <w:gridCol w:w="2040"/>
        <w:gridCol w:w="1827"/>
        <w:gridCol w:w="1813"/>
        <w:gridCol w:w="1813"/>
        <w:gridCol w:w="1664"/>
      </w:tblGrid>
      <w:tr>
        <w:tblPrEx>
          <w:tblLayout w:type="fixed"/>
          <w:tblCellMar>
            <w:top w:w="55" w:type="dxa"/>
            <w:left w:w="55" w:type="dxa"/>
            <w:bottom w:w="55" w:type="dxa"/>
            <w:right w:w="55" w:type="dxa"/>
          </w:tblCellMar>
        </w:tblPrEx>
        <w:trPr>
          <w:cantSplit/>
          <w:trHeight w:val="321" w:hRule="atLeast"/>
        </w:trPr>
        <w:tc>
          <w:tcPr>
            <w:tcW w:w="15216" w:type="dxa"/>
            <w:gridSpan w:val="7"/>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b/>
                <w:bCs/>
                <w:sz w:val="44"/>
                <w:szCs w:val="44"/>
              </w:rPr>
            </w:pPr>
            <w:r>
              <w:rPr>
                <w:rFonts w:hint="eastAsia" w:ascii="仿宋" w:hAnsi="仿宋" w:eastAsia="仿宋" w:cs="仿宋"/>
              </w:rPr>
              <w:t>公开05表</w:t>
            </w:r>
          </w:p>
        </w:tc>
      </w:tr>
      <w:tr>
        <w:tblPrEx>
          <w:tblLayout w:type="fixed"/>
          <w:tblCellMar>
            <w:top w:w="55" w:type="dxa"/>
            <w:left w:w="55" w:type="dxa"/>
            <w:bottom w:w="55" w:type="dxa"/>
            <w:right w:w="55" w:type="dxa"/>
          </w:tblCellMar>
        </w:tblPrEx>
        <w:trPr>
          <w:cantSplit/>
          <w:trHeight w:val="321" w:hRule="atLeast"/>
        </w:trPr>
        <w:tc>
          <w:tcPr>
            <w:tcW w:w="15216" w:type="dxa"/>
            <w:gridSpan w:val="7"/>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27"/>
              </w:rPr>
            </w:pPr>
            <w:r>
              <w:rPr>
                <w:rFonts w:hint="eastAsia" w:ascii="仿宋" w:hAnsi="仿宋" w:eastAsia="仿宋" w:cs="仿宋"/>
                <w:b/>
                <w:bCs/>
                <w:sz w:val="44"/>
                <w:szCs w:val="44"/>
              </w:rPr>
              <w:t>财政拨款支出表（功能科目）</w:t>
            </w:r>
          </w:p>
        </w:tc>
      </w:tr>
      <w:tr>
        <w:tblPrEx>
          <w:tblLayout w:type="fixed"/>
          <w:tblCellMar>
            <w:top w:w="55" w:type="dxa"/>
            <w:left w:w="55" w:type="dxa"/>
            <w:bottom w:w="55" w:type="dxa"/>
            <w:right w:w="55" w:type="dxa"/>
          </w:tblCellMar>
        </w:tblPrEx>
        <w:trPr>
          <w:cantSplit/>
          <w:trHeight w:val="309" w:hRule="atLeast"/>
        </w:trPr>
        <w:tc>
          <w:tcPr>
            <w:tcW w:w="13552" w:type="dxa"/>
            <w:gridSpan w:val="6"/>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7"/>
              </w:rPr>
            </w:pPr>
            <w:r>
              <w:rPr>
                <w:rFonts w:hint="eastAsia" w:ascii="仿宋" w:hAnsi="仿宋" w:eastAsia="仿宋" w:cs="仿宋"/>
                <w:color w:val="000000"/>
                <w:sz w:val="22"/>
                <w:szCs w:val="22"/>
                <w:lang w:eastAsia="zh-CN"/>
              </w:rPr>
              <w:t>单位</w:t>
            </w:r>
            <w:r>
              <w:rPr>
                <w:rFonts w:ascii="仿宋" w:hAnsi="仿宋" w:eastAsia="仿宋" w:cs="仿宋"/>
                <w:color w:val="000000"/>
                <w:sz w:val="22"/>
              </w:rPr>
              <w:t>：</w:t>
            </w:r>
            <w:r>
              <w:rPr>
                <w:rFonts w:hint="eastAsia" w:ascii="仿宋" w:hAnsi="仿宋" w:eastAsia="仿宋" w:cs="仿宋"/>
              </w:rPr>
              <w:t>江苏省伤残人康复中心</w:t>
            </w:r>
          </w:p>
        </w:tc>
        <w:tc>
          <w:tcPr>
            <w:tcW w:w="1664" w:type="dxa"/>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7"/>
              </w:rPr>
            </w:pPr>
            <w:r>
              <w:rPr>
                <w:rFonts w:hint="eastAsia" w:ascii="仿宋" w:hAnsi="仿宋" w:eastAsia="仿宋" w:cs="仿宋"/>
                <w:lang w:eastAsia="zh-CN"/>
              </w:rPr>
              <w:t>单位</w:t>
            </w:r>
            <w:r>
              <w:rPr>
                <w:rFonts w:hint="eastAsia" w:ascii="仿宋" w:hAnsi="仿宋" w:eastAsia="仿宋" w:cs="仿宋"/>
              </w:rPr>
              <w:t>：万元</w:t>
            </w:r>
          </w:p>
        </w:tc>
      </w:tr>
      <w:tr>
        <w:tblPrEx>
          <w:tblLayout w:type="fixed"/>
          <w:tblCellMar>
            <w:top w:w="55" w:type="dxa"/>
            <w:left w:w="55" w:type="dxa"/>
            <w:bottom w:w="55" w:type="dxa"/>
            <w:right w:w="55" w:type="dxa"/>
          </w:tblCellMar>
        </w:tblPrEx>
        <w:trPr>
          <w:cantSplit/>
          <w:trHeight w:val="319" w:hRule="atLeast"/>
        </w:trPr>
        <w:tc>
          <w:tcPr>
            <w:tcW w:w="1846" w:type="dxa"/>
            <w:vMerge w:val="restart"/>
            <w:tcBorders>
              <w:top w:val="single" w:color="000000" w:sz="6" w:space="0"/>
              <w:lef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22"/>
                <w:szCs w:val="22"/>
              </w:rPr>
            </w:pPr>
            <w:r>
              <w:rPr>
                <w:rFonts w:hint="eastAsia" w:ascii="仿宋" w:hAnsi="仿宋" w:eastAsia="仿宋" w:cs="仿宋"/>
                <w:sz w:val="22"/>
                <w:szCs w:val="22"/>
              </w:rPr>
              <w:t>科目编码</w:t>
            </w:r>
          </w:p>
        </w:tc>
        <w:tc>
          <w:tcPr>
            <w:tcW w:w="4213" w:type="dxa"/>
            <w:vMerge w:val="restart"/>
            <w:tcBorders>
              <w:top w:val="single" w:color="000000" w:sz="6" w:space="0"/>
              <w:lef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22"/>
                <w:szCs w:val="22"/>
              </w:rPr>
            </w:pPr>
            <w:r>
              <w:rPr>
                <w:rFonts w:hint="eastAsia" w:ascii="仿宋" w:hAnsi="仿宋" w:eastAsia="仿宋" w:cs="仿宋"/>
                <w:sz w:val="22"/>
                <w:szCs w:val="22"/>
              </w:rPr>
              <w:t>科目名称</w:t>
            </w:r>
          </w:p>
        </w:tc>
        <w:tc>
          <w:tcPr>
            <w:tcW w:w="2040" w:type="dxa"/>
            <w:vMerge w:val="restart"/>
            <w:tcBorders>
              <w:top w:val="single" w:color="000000" w:sz="6" w:space="0"/>
              <w:lef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22"/>
                <w:szCs w:val="22"/>
              </w:rPr>
            </w:pPr>
            <w:r>
              <w:rPr>
                <w:rFonts w:hint="eastAsia" w:ascii="仿宋" w:hAnsi="仿宋" w:eastAsia="仿宋" w:cs="仿宋"/>
                <w:sz w:val="22"/>
                <w:szCs w:val="22"/>
              </w:rPr>
              <w:t>合计</w:t>
            </w:r>
          </w:p>
        </w:tc>
        <w:tc>
          <w:tcPr>
            <w:tcW w:w="5453" w:type="dxa"/>
            <w:gridSpan w:val="3"/>
            <w:tcBorders>
              <w:top w:val="single" w:color="000000" w:sz="6" w:space="0"/>
              <w:left w:val="single" w:color="000000" w:sz="6" w:space="0"/>
              <w:bottom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22"/>
                <w:szCs w:val="22"/>
              </w:rPr>
            </w:pPr>
            <w:r>
              <w:rPr>
                <w:rFonts w:hint="eastAsia" w:ascii="仿宋" w:hAnsi="仿宋" w:eastAsia="仿宋" w:cs="仿宋"/>
                <w:sz w:val="22"/>
                <w:szCs w:val="22"/>
              </w:rPr>
              <w:t>基本支出</w:t>
            </w:r>
          </w:p>
        </w:tc>
        <w:tc>
          <w:tcPr>
            <w:tcW w:w="1664" w:type="dxa"/>
            <w:vMerge w:val="restart"/>
            <w:tcBorders>
              <w:top w:val="single" w:color="000000" w:sz="6" w:space="0"/>
              <w:left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22"/>
                <w:szCs w:val="22"/>
              </w:rPr>
            </w:pPr>
            <w:r>
              <w:rPr>
                <w:rFonts w:hint="eastAsia" w:ascii="仿宋" w:hAnsi="仿宋" w:eastAsia="仿宋" w:cs="仿宋"/>
                <w:sz w:val="22"/>
                <w:szCs w:val="22"/>
              </w:rPr>
              <w:t>项目支出</w:t>
            </w:r>
          </w:p>
        </w:tc>
      </w:tr>
      <w:tr>
        <w:tblPrEx>
          <w:tblLayout w:type="fixed"/>
          <w:tblCellMar>
            <w:top w:w="55" w:type="dxa"/>
            <w:left w:w="55" w:type="dxa"/>
            <w:bottom w:w="55" w:type="dxa"/>
            <w:right w:w="55" w:type="dxa"/>
          </w:tblCellMar>
        </w:tblPrEx>
        <w:trPr>
          <w:cantSplit/>
          <w:trHeight w:val="296" w:hRule="atLeast"/>
        </w:trPr>
        <w:tc>
          <w:tcPr>
            <w:tcW w:w="1846" w:type="dxa"/>
            <w:vMerge w:val="continue"/>
            <w:tcBorders>
              <w:left w:val="single" w:color="000000" w:sz="6" w:space="0"/>
              <w:bottom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22"/>
                <w:szCs w:val="22"/>
              </w:rPr>
            </w:pPr>
          </w:p>
        </w:tc>
        <w:tc>
          <w:tcPr>
            <w:tcW w:w="4213" w:type="dxa"/>
            <w:vMerge w:val="continue"/>
            <w:tcBorders>
              <w:left w:val="single" w:color="000000" w:sz="6" w:space="0"/>
              <w:bottom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22"/>
                <w:szCs w:val="22"/>
              </w:rPr>
            </w:pPr>
          </w:p>
        </w:tc>
        <w:tc>
          <w:tcPr>
            <w:tcW w:w="2040" w:type="dxa"/>
            <w:vMerge w:val="continue"/>
            <w:tcBorders>
              <w:left w:val="single" w:color="000000" w:sz="6" w:space="0"/>
              <w:bottom w:val="single" w:color="000000" w:sz="6" w:space="0"/>
            </w:tcBorders>
          </w:tcPr>
          <w:p>
            <w:pPr>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p>
        </w:tc>
        <w:tc>
          <w:tcPr>
            <w:tcW w:w="1827" w:type="dxa"/>
            <w:tcBorders>
              <w:left w:val="single" w:color="000000" w:sz="6" w:space="0"/>
              <w:bottom w:val="single" w:color="000000" w:sz="6" w:space="0"/>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34" w:afterAutospacing="0" w:line="34" w:lineRule="atLeast"/>
              <w:ind w:left="0" w:leftChars="0" w:right="0" w:rightChars="0"/>
              <w:jc w:val="center"/>
              <w:textAlignment w:val="auto"/>
              <w:rPr>
                <w:rFonts w:hint="default"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小计</w:t>
            </w:r>
          </w:p>
        </w:tc>
        <w:tc>
          <w:tcPr>
            <w:tcW w:w="1813" w:type="dxa"/>
            <w:tcBorders>
              <w:left w:val="single" w:color="000000" w:sz="6" w:space="0"/>
              <w:bottom w:val="single" w:color="000000" w:sz="6" w:space="0"/>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34" w:afterAutospacing="0" w:line="34" w:lineRule="atLeast"/>
              <w:ind w:left="0" w:leftChars="0" w:right="0" w:rightChars="0"/>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en-US" w:eastAsia="zh-CN" w:bidi="zh-CN"/>
              </w:rPr>
              <w:t>人员经费</w:t>
            </w:r>
          </w:p>
        </w:tc>
        <w:tc>
          <w:tcPr>
            <w:tcW w:w="1813" w:type="dxa"/>
            <w:tcBorders>
              <w:left w:val="single" w:color="000000" w:sz="6" w:space="0"/>
              <w:bottom w:val="single" w:color="000000" w:sz="6" w:space="0"/>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34" w:afterAutospacing="0" w:line="34" w:lineRule="atLeast"/>
              <w:ind w:left="0" w:leftChars="0" w:right="0" w:rightChars="0"/>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en-US" w:eastAsia="zh-CN" w:bidi="zh-CN"/>
              </w:rPr>
              <w:t>公用经费</w:t>
            </w:r>
          </w:p>
        </w:tc>
        <w:tc>
          <w:tcPr>
            <w:tcW w:w="1664" w:type="dxa"/>
            <w:vMerge w:val="continue"/>
            <w:tcBorders>
              <w:left w:val="single" w:color="000000" w:sz="6" w:space="0"/>
              <w:bottom w:val="single" w:color="000000" w:sz="6" w:space="0"/>
              <w:right w:val="single" w:color="000000" w:sz="6" w:space="0"/>
            </w:tcBorders>
          </w:tcPr>
          <w:p>
            <w:pPr>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50" w:hRule="exact"/>
        </w:trPr>
        <w:tc>
          <w:tcPr>
            <w:tcW w:w="6059" w:type="dxa"/>
            <w:gridSpan w:val="2"/>
            <w:tcBorders>
              <w:left w:val="single" w:color="000000" w:sz="6" w:space="0"/>
              <w:bottom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22"/>
                <w:szCs w:val="22"/>
              </w:rPr>
            </w:pPr>
            <w:r>
              <w:rPr>
                <w:rFonts w:hint="eastAsia" w:ascii="仿宋" w:hAnsi="仿宋" w:eastAsia="仿宋" w:cs="仿宋"/>
                <w:sz w:val="22"/>
                <w:szCs w:val="22"/>
              </w:rPr>
              <w:t>合计</w:t>
            </w:r>
          </w:p>
        </w:tc>
        <w:tc>
          <w:tcPr>
            <w:tcW w:w="2040" w:type="dxa"/>
            <w:tcBorders>
              <w:left w:val="single" w:color="000000" w:sz="6" w:space="0"/>
              <w:bottom w:val="single" w:color="000000" w:sz="6" w:space="0"/>
            </w:tcBorders>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1,997.28</w:t>
            </w:r>
          </w:p>
        </w:tc>
        <w:tc>
          <w:tcPr>
            <w:tcW w:w="1827" w:type="dxa"/>
            <w:tcBorders>
              <w:left w:val="single" w:color="000000" w:sz="6" w:space="0"/>
              <w:bottom w:val="single" w:color="000000" w:sz="6" w:space="0"/>
            </w:tcBorders>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947.28</w:t>
            </w:r>
          </w:p>
        </w:tc>
        <w:tc>
          <w:tcPr>
            <w:tcW w:w="1813" w:type="dxa"/>
            <w:tcBorders>
              <w:left w:val="single" w:color="000000" w:sz="6" w:space="0"/>
              <w:bottom w:val="single" w:color="000000" w:sz="6" w:space="0"/>
            </w:tcBorders>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809.07</w:t>
            </w:r>
          </w:p>
        </w:tc>
        <w:tc>
          <w:tcPr>
            <w:tcW w:w="1813" w:type="dxa"/>
            <w:tcBorders>
              <w:left w:val="single" w:color="000000" w:sz="6" w:space="0"/>
              <w:bottom w:val="single" w:color="000000" w:sz="6" w:space="0"/>
            </w:tcBorders>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138.21</w:t>
            </w:r>
          </w:p>
        </w:tc>
        <w:tc>
          <w:tcPr>
            <w:tcW w:w="1664" w:type="dxa"/>
            <w:tcBorders>
              <w:left w:val="single" w:color="000000" w:sz="6" w:space="0"/>
              <w:bottom w:val="single" w:color="000000" w:sz="6" w:space="0"/>
              <w:right w:val="single" w:color="000000" w:sz="6" w:space="0"/>
            </w:tcBorders>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1,050.00</w:t>
            </w:r>
          </w:p>
        </w:tc>
      </w:tr>
      <w:tr>
        <w:tblPrEx>
          <w:tblLayout w:type="fixed"/>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208</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社会保障和就业支出</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1,475.03</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575.03</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436.82</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138.21</w:t>
            </w: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900.00</w:t>
            </w:r>
          </w:p>
        </w:tc>
      </w:tr>
      <w:tr>
        <w:tblPrEx>
          <w:tblLayout w:type="fixed"/>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20805</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行政事业单位养老支出</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73.21</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73.21</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73.21</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2080505</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机关事业单位基本养老保险缴费支出</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48.81</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48.81</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48.81</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2080506</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机关事业单位职业年金缴费支出</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24.40</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24.40</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24.40</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20808</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抚恤</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1,401.82</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501.82</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363.61</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138.21</w:t>
            </w: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900.00</w:t>
            </w:r>
          </w:p>
        </w:tc>
      </w:tr>
      <w:tr>
        <w:tblPrEx>
          <w:tblLayout w:type="fixed"/>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2080899</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其他优抚支出</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1,401.82</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501.82</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363.61</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138.21</w:t>
            </w: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900.00</w:t>
            </w:r>
          </w:p>
        </w:tc>
      </w:tr>
      <w:tr>
        <w:tblPrEx>
          <w:tblLayout w:type="fixed"/>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221</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住房保障支出</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372.25</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372.25</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372.25</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22102</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住房改革支出</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372.25</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372.25</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372.25</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2210202</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提租补贴</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372.25</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372.25</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372.25</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229</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其他支出</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150.00</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150.00</w:t>
            </w:r>
          </w:p>
        </w:tc>
      </w:tr>
      <w:tr>
        <w:tblPrEx>
          <w:tblLayout w:type="fixed"/>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22960</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彩票公益金安排的支出</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150.00</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150.00</w:t>
            </w:r>
          </w:p>
        </w:tc>
      </w:tr>
      <w:tr>
        <w:tblPrEx>
          <w:tblLayout w:type="fixed"/>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2296002</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用于社会福利的彩票公益金支出</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150.00</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150.00</w:t>
            </w:r>
          </w:p>
        </w:tc>
      </w:tr>
    </w:tbl>
    <w:p>
      <w:pPr>
        <w:widowControl w:val="0"/>
        <w:numPr>
          <w:ilvl w:val="0"/>
          <w:numId w:val="0"/>
        </w:numPr>
        <w:tabs>
          <w:tab w:val="left" w:pos="55"/>
        </w:tabs>
        <w:suppressAutoHyphens/>
        <w:bidi w:val="0"/>
        <w:spacing w:before="0" w:after="0"/>
        <w:ind w:right="0" w:rightChars="0"/>
        <w:jc w:val="both"/>
        <w:rPr>
          <w:rFonts w:hint="eastAsia" w:ascii="仿宋" w:hAnsi="仿宋" w:eastAsia="仿宋" w:cs="仿宋"/>
          <w:b/>
          <w:bCs/>
        </w:rPr>
        <w:sectPr>
          <w:footerReference r:id="rId11" w:type="default"/>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p>
      <w:pPr>
        <w:rPr>
          <w:rFonts w:hint="eastAsia" w:ascii="仿宋" w:hAnsi="仿宋" w:eastAsia="仿宋" w:cs="仿宋"/>
          <w:sz w:val="20"/>
        </w:rPr>
      </w:pPr>
    </w:p>
    <w:tbl>
      <w:tblPr>
        <w:tblStyle w:val="13"/>
        <w:tblW w:w="10817" w:type="dxa"/>
        <w:tblInd w:w="-103" w:type="dxa"/>
        <w:tblLayout w:type="fixed"/>
        <w:tblCellMar>
          <w:top w:w="55" w:type="dxa"/>
          <w:left w:w="55" w:type="dxa"/>
          <w:bottom w:w="55" w:type="dxa"/>
          <w:right w:w="55" w:type="dxa"/>
        </w:tblCellMar>
      </w:tblPr>
      <w:tblGrid>
        <w:gridCol w:w="1131"/>
        <w:gridCol w:w="3542"/>
        <w:gridCol w:w="2047"/>
        <w:gridCol w:w="2040"/>
        <w:gridCol w:w="2057"/>
      </w:tblGrid>
      <w:tr>
        <w:tblPrEx>
          <w:tblLayout w:type="fixed"/>
          <w:tblCellMar>
            <w:top w:w="55" w:type="dxa"/>
            <w:left w:w="55" w:type="dxa"/>
            <w:bottom w:w="55" w:type="dxa"/>
            <w:right w:w="55" w:type="dxa"/>
          </w:tblCellMar>
        </w:tblPrEx>
        <w:trPr>
          <w:cantSplit/>
          <w:trHeight w:val="319" w:hRule="atLeast"/>
        </w:trPr>
        <w:tc>
          <w:tcPr>
            <w:tcW w:w="10817" w:type="dxa"/>
            <w:gridSpan w:val="5"/>
            <w:vAlign w:val="center"/>
          </w:tcPr>
          <w:p>
            <w:pPr>
              <w:pStyle w:val="22"/>
              <w:widowControl w:val="0"/>
              <w:jc w:val="left"/>
              <w:rPr>
                <w:rFonts w:hint="eastAsia" w:ascii="仿宋" w:hAnsi="仿宋" w:eastAsia="仿宋" w:cs="仿宋"/>
                <w:b/>
                <w:bCs/>
                <w:sz w:val="44"/>
                <w:szCs w:val="44"/>
              </w:rPr>
            </w:pPr>
            <w:r>
              <w:rPr>
                <w:rFonts w:hint="eastAsia" w:ascii="仿宋" w:hAnsi="仿宋" w:eastAsia="仿宋" w:cs="仿宋"/>
              </w:rPr>
              <w:t>公开06表</w:t>
            </w:r>
          </w:p>
        </w:tc>
      </w:tr>
      <w:tr>
        <w:tblPrEx>
          <w:tblLayout w:type="fixed"/>
          <w:tblCellMar>
            <w:top w:w="55" w:type="dxa"/>
            <w:left w:w="55" w:type="dxa"/>
            <w:bottom w:w="55" w:type="dxa"/>
            <w:right w:w="55" w:type="dxa"/>
          </w:tblCellMar>
        </w:tblPrEx>
        <w:trPr>
          <w:cantSplit/>
          <w:trHeight w:val="319" w:hRule="atLeast"/>
        </w:trPr>
        <w:tc>
          <w:tcPr>
            <w:tcW w:w="10817" w:type="dxa"/>
            <w:gridSpan w:val="5"/>
          </w:tcPr>
          <w:p>
            <w:pPr>
              <w:pStyle w:val="22"/>
              <w:widowControl w:val="0"/>
              <w:jc w:val="center"/>
              <w:rPr>
                <w:rFonts w:hint="eastAsia" w:ascii="仿宋" w:hAnsi="仿宋" w:eastAsia="仿宋" w:cs="仿宋"/>
                <w:sz w:val="20"/>
              </w:rPr>
            </w:pPr>
            <w:r>
              <w:rPr>
                <w:rFonts w:hint="eastAsia" w:ascii="仿宋" w:hAnsi="仿宋" w:eastAsia="仿宋" w:cs="仿宋"/>
                <w:b/>
                <w:bCs/>
                <w:sz w:val="44"/>
                <w:szCs w:val="44"/>
              </w:rPr>
              <w:t>财政拨款基本支出表（经济科目）</w:t>
            </w:r>
          </w:p>
        </w:tc>
      </w:tr>
      <w:tr>
        <w:tblPrEx>
          <w:tblLayout w:type="fixed"/>
          <w:tblCellMar>
            <w:top w:w="55" w:type="dxa"/>
            <w:left w:w="55" w:type="dxa"/>
            <w:bottom w:w="55" w:type="dxa"/>
            <w:right w:w="55" w:type="dxa"/>
          </w:tblCellMar>
        </w:tblPrEx>
        <w:trPr>
          <w:cantSplit/>
          <w:trHeight w:val="319" w:hRule="atLeast"/>
        </w:trPr>
        <w:tc>
          <w:tcPr>
            <w:tcW w:w="8760" w:type="dxa"/>
            <w:gridSpan w:val="4"/>
          </w:tcPr>
          <w:p>
            <w:pPr>
              <w:pStyle w:val="22"/>
              <w:widowControl w:val="0"/>
              <w:rPr>
                <w:rFonts w:hint="eastAsia" w:ascii="仿宋" w:hAnsi="仿宋" w:eastAsia="仿宋" w:cs="仿宋"/>
                <w:sz w:val="22"/>
                <w:szCs w:val="22"/>
              </w:rPr>
            </w:pPr>
            <w:r>
              <w:rPr>
                <w:rFonts w:hint="eastAsia" w:ascii="仿宋" w:hAnsi="仿宋" w:eastAsia="仿宋" w:cs="仿宋"/>
                <w:color w:val="000000"/>
                <w:sz w:val="22"/>
                <w:szCs w:val="22"/>
                <w:lang w:eastAsia="zh-CN"/>
              </w:rPr>
              <w:t>单位</w:t>
            </w:r>
            <w:r>
              <w:rPr>
                <w:rFonts w:ascii="仿宋" w:hAnsi="仿宋" w:eastAsia="仿宋" w:cs="仿宋"/>
                <w:color w:val="000000"/>
                <w:sz w:val="22"/>
              </w:rPr>
              <w:t>：</w:t>
            </w:r>
            <w:r>
              <w:rPr>
                <w:rFonts w:hint="eastAsia" w:ascii="仿宋" w:hAnsi="仿宋" w:eastAsia="仿宋" w:cs="仿宋"/>
                <w:sz w:val="22"/>
                <w:szCs w:val="22"/>
              </w:rPr>
              <w:t>江苏省伤残人康复中心</w:t>
            </w:r>
          </w:p>
        </w:tc>
        <w:tc>
          <w:tcPr>
            <w:tcW w:w="2057" w:type="dxa"/>
            <w:vAlign w:val="center"/>
          </w:tcPr>
          <w:p>
            <w:pPr>
              <w:pStyle w:val="22"/>
              <w:widowControl w:val="0"/>
              <w:jc w:val="right"/>
              <w:rPr>
                <w:rFonts w:hint="eastAsia" w:ascii="仿宋" w:hAnsi="仿宋" w:eastAsia="仿宋" w:cs="仿宋"/>
                <w:sz w:val="20"/>
              </w:rPr>
            </w:pPr>
            <w:r>
              <w:rPr>
                <w:rFonts w:hint="eastAsia" w:ascii="仿宋" w:hAnsi="仿宋" w:eastAsia="仿宋" w:cs="仿宋"/>
                <w:lang w:eastAsia="zh-CN"/>
              </w:rPr>
              <w:t>单位</w:t>
            </w:r>
            <w:r>
              <w:rPr>
                <w:rFonts w:hint="eastAsia" w:ascii="仿宋" w:hAnsi="仿宋" w:eastAsia="仿宋" w:cs="仿宋"/>
              </w:rPr>
              <w:t>：万元</w:t>
            </w:r>
          </w:p>
        </w:tc>
      </w:tr>
      <w:tr>
        <w:tblPrEx>
          <w:tblLayout w:type="fixed"/>
          <w:tblCellMar>
            <w:top w:w="55" w:type="dxa"/>
            <w:left w:w="55" w:type="dxa"/>
            <w:bottom w:w="55" w:type="dxa"/>
            <w:right w:w="55" w:type="dxa"/>
          </w:tblCellMar>
        </w:tblPrEx>
        <w:trPr>
          <w:cantSplit/>
          <w:trHeight w:val="243" w:hRule="atLeast"/>
        </w:trPr>
        <w:tc>
          <w:tcPr>
            <w:tcW w:w="4673"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部门预算支出经济分类科目</w:t>
            </w:r>
          </w:p>
        </w:tc>
        <w:tc>
          <w:tcPr>
            <w:tcW w:w="614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本年财政拨款基本支出</w:t>
            </w:r>
          </w:p>
        </w:tc>
      </w:tr>
      <w:tr>
        <w:tblPrEx>
          <w:tblLayout w:type="fixed"/>
          <w:tblCellMar>
            <w:top w:w="55" w:type="dxa"/>
            <w:left w:w="55" w:type="dxa"/>
            <w:bottom w:w="55" w:type="dxa"/>
            <w:right w:w="55" w:type="dxa"/>
          </w:tblCellMar>
        </w:tblPrEx>
        <w:trPr>
          <w:cantSplit/>
          <w:trHeight w:val="267" w:hRule="atLeast"/>
        </w:trPr>
        <w:tc>
          <w:tcPr>
            <w:tcW w:w="1131"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科目编码</w:t>
            </w:r>
          </w:p>
        </w:tc>
        <w:tc>
          <w:tcPr>
            <w:tcW w:w="3542"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204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204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人员经费</w:t>
            </w:r>
          </w:p>
        </w:tc>
        <w:tc>
          <w:tcPr>
            <w:tcW w:w="2057"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公用经费</w:t>
            </w:r>
          </w:p>
        </w:tc>
      </w:tr>
      <w:tr>
        <w:tblPrEx>
          <w:tblLayout w:type="fixed"/>
          <w:tblCellMar>
            <w:top w:w="55" w:type="dxa"/>
            <w:left w:w="55" w:type="dxa"/>
            <w:bottom w:w="55" w:type="dxa"/>
            <w:right w:w="55" w:type="dxa"/>
          </w:tblCellMar>
        </w:tblPrEx>
        <w:trPr>
          <w:cantSplit/>
          <w:trHeight w:val="350" w:hRule="exact"/>
        </w:trPr>
        <w:tc>
          <w:tcPr>
            <w:tcW w:w="4673"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ascii="仿宋" w:hAnsi="仿宋" w:eastAsia="仿宋" w:cs="仿宋"/>
              </w:rPr>
              <w:t>合计</w:t>
            </w:r>
          </w:p>
        </w:tc>
        <w:tc>
          <w:tcPr>
            <w:tcW w:w="204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947.28</w:t>
            </w:r>
          </w:p>
        </w:tc>
        <w:tc>
          <w:tcPr>
            <w:tcW w:w="204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809.07</w:t>
            </w:r>
          </w:p>
        </w:tc>
        <w:tc>
          <w:tcPr>
            <w:tcW w:w="2057"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138.21</w:t>
            </w:r>
          </w:p>
        </w:tc>
      </w:tr>
      <w:tr>
        <w:tblPrEx>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工资福利支出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435.40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435.40</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基本工资</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143.22</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143.22</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津贴补贴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22.46</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22.46</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绩效工资</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158.60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158.60</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机关事业单位基本养老保险缴费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48.81</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48.81</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职业年金缴费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24.40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24.40</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其他社会保障缴费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37.91</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37.91</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商品和服务支出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138.21</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138.21</w:t>
            </w:r>
          </w:p>
        </w:tc>
      </w:tr>
      <w:tr>
        <w:tblPrEx>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办公费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2.00</w:t>
            </w:r>
          </w:p>
        </w:tc>
      </w:tr>
      <w:tr>
        <w:tblPrEx>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电费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56.00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56.00</w:t>
            </w:r>
          </w:p>
        </w:tc>
      </w:tr>
      <w:tr>
        <w:tblPrEx>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邮电费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3.40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3.40</w:t>
            </w:r>
          </w:p>
        </w:tc>
      </w:tr>
      <w:tr>
        <w:tblPrEx>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差旅费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3.00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3.00</w:t>
            </w:r>
          </w:p>
        </w:tc>
      </w:tr>
      <w:tr>
        <w:tblPrEx>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维修（护）费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2.00</w:t>
            </w:r>
          </w:p>
        </w:tc>
      </w:tr>
      <w:tr>
        <w:tblPrEx>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其他商品和服务支出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71.81</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71.81</w:t>
            </w:r>
          </w:p>
        </w:tc>
      </w:tr>
      <w:tr>
        <w:tblPrEx>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对个人和家庭的补助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373.67</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373.67</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退休费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373.63</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373.63</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奖励金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0.04</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0.04</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bl>
    <w:p>
      <w:pPr>
        <w:widowControl w:val="0"/>
        <w:numPr>
          <w:ilvl w:val="0"/>
          <w:numId w:val="0"/>
        </w:numPr>
        <w:suppressAutoHyphens/>
        <w:bidi w:val="0"/>
        <w:spacing w:before="0" w:after="0" w:line="255" w:lineRule="exact"/>
        <w:jc w:val="left"/>
        <w:rPr>
          <w:rFonts w:hint="eastAsia" w:ascii="仿宋" w:hAnsi="仿宋" w:eastAsia="仿宋" w:cs="仿宋"/>
          <w:b/>
          <w:bCs/>
          <w:sz w:val="22"/>
          <w:szCs w:val="22"/>
        </w:rPr>
        <w:sectPr>
          <w:footerReference r:id="rId12" w:type="default"/>
          <w:pgSz w:w="11906" w:h="16838"/>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5216" w:type="dxa"/>
        <w:tblInd w:w="175" w:type="dxa"/>
        <w:tblLayout w:type="fixed"/>
        <w:tblCellMar>
          <w:top w:w="55" w:type="dxa"/>
          <w:left w:w="55" w:type="dxa"/>
          <w:bottom w:w="55" w:type="dxa"/>
          <w:right w:w="55" w:type="dxa"/>
        </w:tblCellMar>
      </w:tblPr>
      <w:tblGrid>
        <w:gridCol w:w="1792"/>
        <w:gridCol w:w="4307"/>
        <w:gridCol w:w="1960"/>
        <w:gridCol w:w="1693"/>
        <w:gridCol w:w="1987"/>
        <w:gridCol w:w="1827"/>
        <w:gridCol w:w="1650"/>
      </w:tblGrid>
      <w:tr>
        <w:tblPrEx>
          <w:tblLayout w:type="fixed"/>
          <w:tblCellMar>
            <w:top w:w="55" w:type="dxa"/>
            <w:left w:w="55" w:type="dxa"/>
            <w:bottom w:w="55" w:type="dxa"/>
            <w:right w:w="55" w:type="dxa"/>
          </w:tblCellMar>
        </w:tblPrEx>
        <w:trPr>
          <w:cantSplit/>
          <w:trHeight w:val="321" w:hRule="atLeast"/>
        </w:trPr>
        <w:tc>
          <w:tcPr>
            <w:tcW w:w="15216" w:type="dxa"/>
            <w:gridSpan w:val="7"/>
            <w:vAlign w:val="center"/>
          </w:tcPr>
          <w:p>
            <w:pPr>
              <w:pStyle w:val="22"/>
              <w:widowControl w:val="0"/>
              <w:jc w:val="left"/>
              <w:rPr>
                <w:rFonts w:hint="eastAsia" w:ascii="仿宋" w:hAnsi="仿宋" w:eastAsia="仿宋" w:cs="仿宋"/>
                <w:b/>
                <w:bCs/>
                <w:sz w:val="44"/>
                <w:szCs w:val="44"/>
              </w:rPr>
            </w:pPr>
            <w:r>
              <w:rPr>
                <w:rFonts w:hint="eastAsia" w:ascii="仿宋" w:hAnsi="仿宋" w:eastAsia="仿宋" w:cs="仿宋"/>
              </w:rPr>
              <w:t>公开0</w:t>
            </w:r>
            <w:r>
              <w:rPr>
                <w:rFonts w:hint="eastAsia" w:ascii="仿宋" w:hAnsi="仿宋" w:eastAsia="仿宋" w:cs="仿宋"/>
                <w:lang w:val="en-US" w:eastAsia="zh-CN"/>
              </w:rPr>
              <w:t>7</w:t>
            </w:r>
            <w:r>
              <w:rPr>
                <w:rFonts w:hint="eastAsia" w:ascii="仿宋" w:hAnsi="仿宋" w:eastAsia="仿宋" w:cs="仿宋"/>
              </w:rPr>
              <w:t>表</w:t>
            </w:r>
          </w:p>
        </w:tc>
      </w:tr>
      <w:tr>
        <w:tblPrEx>
          <w:tblLayout w:type="fixed"/>
          <w:tblCellMar>
            <w:top w:w="55" w:type="dxa"/>
            <w:left w:w="55" w:type="dxa"/>
            <w:bottom w:w="55" w:type="dxa"/>
            <w:right w:w="55" w:type="dxa"/>
          </w:tblCellMar>
        </w:tblPrEx>
        <w:trPr>
          <w:cantSplit/>
          <w:trHeight w:val="321" w:hRule="atLeast"/>
        </w:trPr>
        <w:tc>
          <w:tcPr>
            <w:tcW w:w="15216" w:type="dxa"/>
            <w:gridSpan w:val="7"/>
          </w:tcPr>
          <w:p>
            <w:pPr>
              <w:pStyle w:val="22"/>
              <w:widowControl w:val="0"/>
              <w:jc w:val="center"/>
              <w:rPr>
                <w:rFonts w:hint="eastAsia" w:ascii="仿宋" w:hAnsi="仿宋" w:eastAsia="仿宋" w:cs="仿宋"/>
                <w:sz w:val="27"/>
              </w:rPr>
            </w:pPr>
            <w:r>
              <w:rPr>
                <w:rFonts w:hint="eastAsia" w:ascii="仿宋" w:hAnsi="仿宋" w:eastAsia="仿宋" w:cs="仿宋"/>
                <w:b/>
                <w:bCs/>
                <w:sz w:val="44"/>
                <w:szCs w:val="44"/>
              </w:rPr>
              <w:t>一般公共预算支出表</w:t>
            </w:r>
          </w:p>
        </w:tc>
      </w:tr>
      <w:tr>
        <w:tblPrEx>
          <w:tblLayout w:type="fixed"/>
          <w:tblCellMar>
            <w:top w:w="55" w:type="dxa"/>
            <w:left w:w="55" w:type="dxa"/>
            <w:bottom w:w="55" w:type="dxa"/>
            <w:right w:w="55" w:type="dxa"/>
          </w:tblCellMar>
        </w:tblPrEx>
        <w:trPr>
          <w:cantSplit/>
          <w:trHeight w:val="288" w:hRule="atLeast"/>
        </w:trPr>
        <w:tc>
          <w:tcPr>
            <w:tcW w:w="13566" w:type="dxa"/>
            <w:gridSpan w:val="6"/>
          </w:tcPr>
          <w:p>
            <w:pPr>
              <w:pStyle w:val="22"/>
              <w:widowControl w:val="0"/>
              <w:jc w:val="left"/>
              <w:rPr>
                <w:rFonts w:hint="eastAsia" w:ascii="仿宋" w:hAnsi="仿宋" w:eastAsia="仿宋" w:cs="仿宋"/>
                <w:sz w:val="27"/>
              </w:rPr>
            </w:pPr>
            <w:r>
              <w:rPr>
                <w:rFonts w:hint="eastAsia" w:ascii="仿宋" w:hAnsi="仿宋" w:eastAsia="仿宋" w:cs="仿宋"/>
                <w:color w:val="000000"/>
                <w:sz w:val="22"/>
                <w:szCs w:val="22"/>
                <w:lang w:eastAsia="zh-CN"/>
              </w:rPr>
              <w:t>单位</w:t>
            </w:r>
            <w:r>
              <w:rPr>
                <w:rFonts w:ascii="仿宋" w:hAnsi="仿宋" w:eastAsia="仿宋" w:cs="仿宋"/>
                <w:color w:val="000000"/>
                <w:sz w:val="22"/>
              </w:rPr>
              <w:t>：</w:t>
            </w:r>
            <w:r>
              <w:rPr>
                <w:rFonts w:hint="eastAsia" w:ascii="仿宋" w:hAnsi="仿宋" w:eastAsia="仿宋" w:cs="仿宋"/>
              </w:rPr>
              <w:t>江苏省伤残人康复中心</w:t>
            </w:r>
          </w:p>
        </w:tc>
        <w:tc>
          <w:tcPr>
            <w:tcW w:w="1650" w:type="dxa"/>
            <w:vAlign w:val="center"/>
          </w:tcPr>
          <w:p>
            <w:pPr>
              <w:pStyle w:val="22"/>
              <w:widowControl w:val="0"/>
              <w:jc w:val="right"/>
              <w:rPr>
                <w:rFonts w:hint="eastAsia" w:ascii="仿宋" w:hAnsi="仿宋" w:eastAsia="仿宋" w:cs="仿宋"/>
                <w:sz w:val="27"/>
              </w:rPr>
            </w:pPr>
            <w:r>
              <w:rPr>
                <w:rFonts w:hint="eastAsia" w:ascii="仿宋" w:hAnsi="仿宋" w:eastAsia="仿宋" w:cs="仿宋"/>
                <w:lang w:eastAsia="zh-CN"/>
              </w:rPr>
              <w:t>单位</w:t>
            </w:r>
            <w:r>
              <w:rPr>
                <w:rFonts w:hint="eastAsia" w:ascii="仿宋" w:hAnsi="仿宋" w:eastAsia="仿宋" w:cs="仿宋"/>
              </w:rPr>
              <w:t>：万元</w:t>
            </w:r>
          </w:p>
        </w:tc>
      </w:tr>
      <w:tr>
        <w:tblPrEx>
          <w:tblLayout w:type="fixed"/>
          <w:tblCellMar>
            <w:top w:w="55" w:type="dxa"/>
            <w:left w:w="55" w:type="dxa"/>
            <w:bottom w:w="55" w:type="dxa"/>
            <w:right w:w="55" w:type="dxa"/>
          </w:tblCellMar>
        </w:tblPrEx>
        <w:trPr>
          <w:cantSplit/>
          <w:trHeight w:val="319" w:hRule="atLeast"/>
        </w:trPr>
        <w:tc>
          <w:tcPr>
            <w:tcW w:w="1792" w:type="dxa"/>
            <w:vMerge w:val="restart"/>
            <w:tcBorders>
              <w:top w:val="single" w:color="000000" w:sz="6" w:space="0"/>
              <w:left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科目编码</w:t>
            </w:r>
          </w:p>
        </w:tc>
        <w:tc>
          <w:tcPr>
            <w:tcW w:w="4307" w:type="dxa"/>
            <w:vMerge w:val="restart"/>
            <w:tcBorders>
              <w:top w:val="single" w:color="000000" w:sz="6" w:space="0"/>
              <w:left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科目名称</w:t>
            </w:r>
          </w:p>
        </w:tc>
        <w:tc>
          <w:tcPr>
            <w:tcW w:w="1960" w:type="dxa"/>
            <w:vMerge w:val="restart"/>
            <w:tcBorders>
              <w:top w:val="single" w:color="000000" w:sz="6" w:space="0"/>
              <w:left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合计</w:t>
            </w:r>
          </w:p>
        </w:tc>
        <w:tc>
          <w:tcPr>
            <w:tcW w:w="5507" w:type="dxa"/>
            <w:gridSpan w:val="3"/>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基本支出</w:t>
            </w:r>
          </w:p>
        </w:tc>
        <w:tc>
          <w:tcPr>
            <w:tcW w:w="1650" w:type="dxa"/>
            <w:vMerge w:val="restart"/>
            <w:tcBorders>
              <w:top w:val="single" w:color="000000" w:sz="6" w:space="0"/>
              <w:left w:val="single" w:color="000000" w:sz="6" w:space="0"/>
              <w:right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项目支出</w:t>
            </w:r>
          </w:p>
        </w:tc>
      </w:tr>
      <w:tr>
        <w:tblPrEx>
          <w:tblLayout w:type="fixed"/>
          <w:tblCellMar>
            <w:top w:w="55" w:type="dxa"/>
            <w:left w:w="55" w:type="dxa"/>
            <w:bottom w:w="55" w:type="dxa"/>
            <w:right w:w="55" w:type="dxa"/>
          </w:tblCellMar>
        </w:tblPrEx>
        <w:trPr>
          <w:cantSplit/>
          <w:trHeight w:val="341" w:hRule="atLeast"/>
        </w:trPr>
        <w:tc>
          <w:tcPr>
            <w:tcW w:w="1792" w:type="dxa"/>
            <w:vMerge w:val="continue"/>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p>
        </w:tc>
        <w:tc>
          <w:tcPr>
            <w:tcW w:w="4307" w:type="dxa"/>
            <w:vMerge w:val="continue"/>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p>
        </w:tc>
        <w:tc>
          <w:tcPr>
            <w:tcW w:w="1960" w:type="dxa"/>
            <w:vMerge w:val="continue"/>
            <w:tcBorders>
              <w:left w:val="single" w:color="000000" w:sz="6" w:space="0"/>
              <w:bottom w:val="single" w:color="000000" w:sz="6" w:space="0"/>
            </w:tcBorders>
          </w:tcPr>
          <w:p>
            <w:pPr>
              <w:widowControl w:val="0"/>
              <w:jc w:val="left"/>
              <w:rPr>
                <w:rFonts w:hint="eastAsia" w:ascii="仿宋" w:hAnsi="仿宋" w:eastAsia="仿宋" w:cs="仿宋"/>
                <w:sz w:val="22"/>
                <w:szCs w:val="22"/>
              </w:rPr>
            </w:pPr>
          </w:p>
        </w:tc>
        <w:tc>
          <w:tcPr>
            <w:tcW w:w="1693" w:type="dxa"/>
            <w:tcBorders>
              <w:left w:val="single" w:color="000000" w:sz="6" w:space="0"/>
              <w:bottom w:val="single" w:color="000000" w:sz="6" w:space="0"/>
            </w:tcBorders>
            <w:vAlign w:val="center"/>
          </w:tcPr>
          <w:p>
            <w:pPr>
              <w:keepNext w:val="0"/>
              <w:keepLines w:val="0"/>
              <w:widowControl/>
              <w:suppressLineNumbers w:val="0"/>
              <w:spacing w:before="0" w:beforeAutospacing="0" w:after="0" w:afterAutospacing="0"/>
              <w:ind w:left="0" w:leftChars="0" w:right="0" w:rightChars="0"/>
              <w:jc w:val="center"/>
              <w:rPr>
                <w:rFonts w:hint="default"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小计</w:t>
            </w:r>
          </w:p>
        </w:tc>
        <w:tc>
          <w:tcPr>
            <w:tcW w:w="1987" w:type="dxa"/>
            <w:tcBorders>
              <w:left w:val="single" w:color="000000" w:sz="6" w:space="0"/>
              <w:bottom w:val="single" w:color="000000" w:sz="6" w:space="0"/>
            </w:tcBorders>
            <w:vAlign w:val="center"/>
          </w:tcPr>
          <w:p>
            <w:pPr>
              <w:keepNext w:val="0"/>
              <w:keepLines w:val="0"/>
              <w:widowControl/>
              <w:suppressLineNumbers w:val="0"/>
              <w:spacing w:before="0" w:beforeAutospacing="0" w:after="0" w:afterAutospacing="0"/>
              <w:ind w:left="0" w:leftChars="0" w:right="0" w:rightChars="0"/>
              <w:jc w:val="center"/>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en-US" w:eastAsia="zh-CN" w:bidi="zh-CN"/>
              </w:rPr>
              <w:t>人员经费</w:t>
            </w:r>
          </w:p>
        </w:tc>
        <w:tc>
          <w:tcPr>
            <w:tcW w:w="1827" w:type="dxa"/>
            <w:tcBorders>
              <w:left w:val="single" w:color="000000" w:sz="6" w:space="0"/>
              <w:bottom w:val="single" w:color="000000" w:sz="6" w:space="0"/>
            </w:tcBorders>
            <w:vAlign w:val="center"/>
          </w:tcPr>
          <w:p>
            <w:pPr>
              <w:keepNext w:val="0"/>
              <w:keepLines w:val="0"/>
              <w:widowControl/>
              <w:suppressLineNumbers w:val="0"/>
              <w:spacing w:before="0" w:beforeAutospacing="0" w:after="0" w:afterAutospacing="0"/>
              <w:ind w:left="0" w:leftChars="0" w:right="0" w:rightChars="0"/>
              <w:jc w:val="center"/>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en-US" w:eastAsia="zh-CN" w:bidi="zh-CN"/>
              </w:rPr>
              <w:t>公用经费</w:t>
            </w:r>
          </w:p>
        </w:tc>
        <w:tc>
          <w:tcPr>
            <w:tcW w:w="1650" w:type="dxa"/>
            <w:vMerge w:val="continue"/>
            <w:tcBorders>
              <w:left w:val="single" w:color="000000" w:sz="6" w:space="0"/>
              <w:bottom w:val="single" w:color="000000" w:sz="6" w:space="0"/>
              <w:right w:val="single" w:color="000000" w:sz="6" w:space="0"/>
            </w:tcBorders>
          </w:tcPr>
          <w:p>
            <w:pPr>
              <w:widowControl w:val="0"/>
              <w:jc w:val="lef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78" w:hRule="exact"/>
        </w:trPr>
        <w:tc>
          <w:tcPr>
            <w:tcW w:w="6099" w:type="dxa"/>
            <w:gridSpan w:val="2"/>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合计</w:t>
            </w:r>
          </w:p>
        </w:tc>
        <w:tc>
          <w:tcPr>
            <w:tcW w:w="1960" w:type="dxa"/>
            <w:tcBorders>
              <w:left w:val="single" w:color="000000" w:sz="6" w:space="0"/>
              <w:bottom w:val="single" w:color="000000" w:sz="6"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1,847.28</w:t>
            </w:r>
          </w:p>
        </w:tc>
        <w:tc>
          <w:tcPr>
            <w:tcW w:w="1693" w:type="dxa"/>
            <w:tcBorders>
              <w:left w:val="single" w:color="000000" w:sz="6" w:space="0"/>
              <w:bottom w:val="single" w:color="000000" w:sz="6"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947.28</w:t>
            </w:r>
          </w:p>
        </w:tc>
        <w:tc>
          <w:tcPr>
            <w:tcW w:w="1987" w:type="dxa"/>
            <w:tcBorders>
              <w:left w:val="single" w:color="000000" w:sz="6" w:space="0"/>
              <w:bottom w:val="single" w:color="000000" w:sz="6"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809.07</w:t>
            </w:r>
          </w:p>
        </w:tc>
        <w:tc>
          <w:tcPr>
            <w:tcW w:w="1827" w:type="dxa"/>
            <w:tcBorders>
              <w:left w:val="single" w:color="000000" w:sz="6" w:space="0"/>
              <w:bottom w:val="single" w:color="000000" w:sz="6"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138.21</w:t>
            </w:r>
          </w:p>
        </w:tc>
        <w:tc>
          <w:tcPr>
            <w:tcW w:w="1650" w:type="dxa"/>
            <w:tcBorders>
              <w:left w:val="single" w:color="000000" w:sz="6" w:space="0"/>
              <w:bottom w:val="single" w:color="000000" w:sz="6" w:space="0"/>
              <w:right w:val="single" w:color="000000" w:sz="6"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900.00</w:t>
            </w:r>
          </w:p>
        </w:tc>
      </w:tr>
      <w:tr>
        <w:tblPrEx>
          <w:tblLayout w:type="fixed"/>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208</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社会保障和就业支出</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1,475.03</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575.03</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436.82</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138.21</w:t>
            </w: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900.00</w:t>
            </w:r>
          </w:p>
        </w:tc>
      </w:tr>
      <w:tr>
        <w:tblPrEx>
          <w:tblLayout w:type="fixed"/>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20805</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行政事业单位养老支出</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73.21</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73.21</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73.21</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2080505</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机关事业单位基本养老保险缴费支出</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48.81</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48.81</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48.81</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2080506</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机关事业单位职业年金缴费支出</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24.40</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24.40</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24.40</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20808</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抚恤</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1,401.82</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501.82</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363.61</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138.21</w:t>
            </w: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900.00</w:t>
            </w:r>
          </w:p>
        </w:tc>
      </w:tr>
      <w:tr>
        <w:tblPrEx>
          <w:tblLayout w:type="fixed"/>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2080899</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其他优抚支出</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1,401.82</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501.82</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363.61</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138.21</w:t>
            </w: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900.00</w:t>
            </w:r>
          </w:p>
        </w:tc>
      </w:tr>
      <w:tr>
        <w:tblPrEx>
          <w:tblLayout w:type="fixed"/>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221</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住房保障支出</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372.25</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372.25</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372.25</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22102</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住房改革支出</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372.25</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372.25</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372.25</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2210202</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提租补贴</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372.25</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372.25</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372.25</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bl>
    <w:p>
      <w:pPr>
        <w:widowControl w:val="0"/>
        <w:numPr>
          <w:ilvl w:val="0"/>
          <w:numId w:val="0"/>
        </w:numPr>
        <w:suppressAutoHyphens/>
        <w:bidi w:val="0"/>
        <w:spacing w:before="25" w:after="0"/>
        <w:jc w:val="left"/>
        <w:rPr>
          <w:rFonts w:hint="eastAsia" w:ascii="仿宋" w:hAnsi="仿宋" w:eastAsia="仿宋" w:cs="仿宋"/>
          <w:b/>
          <w:bCs/>
          <w:sz w:val="22"/>
          <w:szCs w:val="22"/>
        </w:rPr>
        <w:sectPr>
          <w:footerReference r:id="rId13" w:type="default"/>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0954" w:type="dxa"/>
        <w:tblInd w:w="-204" w:type="dxa"/>
        <w:tblLayout w:type="fixed"/>
        <w:tblCellMar>
          <w:top w:w="55" w:type="dxa"/>
          <w:left w:w="55" w:type="dxa"/>
          <w:bottom w:w="55" w:type="dxa"/>
          <w:right w:w="55" w:type="dxa"/>
        </w:tblCellMar>
      </w:tblPr>
      <w:tblGrid>
        <w:gridCol w:w="1227"/>
        <w:gridCol w:w="3667"/>
        <w:gridCol w:w="2413"/>
        <w:gridCol w:w="1974"/>
        <w:gridCol w:w="1673"/>
      </w:tblGrid>
      <w:tr>
        <w:tblPrEx>
          <w:tblLayout w:type="fixed"/>
          <w:tblCellMar>
            <w:top w:w="55" w:type="dxa"/>
            <w:left w:w="55" w:type="dxa"/>
            <w:bottom w:w="55" w:type="dxa"/>
            <w:right w:w="55" w:type="dxa"/>
          </w:tblCellMar>
        </w:tblPrEx>
        <w:trPr>
          <w:cantSplit/>
          <w:trHeight w:val="319" w:hRule="atLeast"/>
        </w:trPr>
        <w:tc>
          <w:tcPr>
            <w:tcW w:w="10954" w:type="dxa"/>
            <w:gridSpan w:val="5"/>
          </w:tcPr>
          <w:p>
            <w:pPr>
              <w:pStyle w:val="22"/>
              <w:widowControl w:val="0"/>
              <w:jc w:val="left"/>
              <w:rPr>
                <w:rFonts w:hint="eastAsia" w:ascii="仿宋" w:hAnsi="仿宋" w:eastAsia="仿宋" w:cs="仿宋"/>
                <w:b/>
                <w:bCs/>
                <w:sz w:val="44"/>
                <w:szCs w:val="44"/>
              </w:rPr>
            </w:pPr>
            <w:r>
              <w:rPr>
                <w:rFonts w:hint="eastAsia" w:ascii="仿宋" w:hAnsi="仿宋" w:eastAsia="仿宋" w:cs="仿宋"/>
              </w:rPr>
              <w:t>公开08表</w:t>
            </w:r>
          </w:p>
        </w:tc>
      </w:tr>
      <w:tr>
        <w:tblPrEx>
          <w:tblLayout w:type="fixed"/>
          <w:tblCellMar>
            <w:top w:w="55" w:type="dxa"/>
            <w:left w:w="55" w:type="dxa"/>
            <w:bottom w:w="55" w:type="dxa"/>
            <w:right w:w="55" w:type="dxa"/>
          </w:tblCellMar>
        </w:tblPrEx>
        <w:trPr>
          <w:cantSplit/>
          <w:trHeight w:val="189" w:hRule="atLeast"/>
        </w:trPr>
        <w:tc>
          <w:tcPr>
            <w:tcW w:w="10954" w:type="dxa"/>
            <w:gridSpan w:val="5"/>
          </w:tcPr>
          <w:p>
            <w:pPr>
              <w:pStyle w:val="22"/>
              <w:widowControl w:val="0"/>
              <w:jc w:val="center"/>
              <w:rPr>
                <w:rFonts w:hint="eastAsia" w:ascii="仿宋" w:hAnsi="仿宋" w:eastAsia="仿宋" w:cs="仿宋"/>
                <w:sz w:val="20"/>
              </w:rPr>
            </w:pPr>
            <w:r>
              <w:rPr>
                <w:rFonts w:hint="eastAsia" w:ascii="仿宋" w:hAnsi="仿宋" w:eastAsia="仿宋" w:cs="仿宋"/>
                <w:b/>
                <w:bCs/>
                <w:sz w:val="44"/>
                <w:szCs w:val="44"/>
              </w:rPr>
              <w:t>一般公共预算基本支出表</w:t>
            </w:r>
          </w:p>
        </w:tc>
      </w:tr>
      <w:tr>
        <w:tblPrEx>
          <w:tblLayout w:type="fixed"/>
          <w:tblCellMar>
            <w:top w:w="55" w:type="dxa"/>
            <w:left w:w="55" w:type="dxa"/>
            <w:bottom w:w="55" w:type="dxa"/>
            <w:right w:w="55" w:type="dxa"/>
          </w:tblCellMar>
        </w:tblPrEx>
        <w:trPr>
          <w:cantSplit/>
          <w:trHeight w:val="138" w:hRule="atLeast"/>
        </w:trPr>
        <w:tc>
          <w:tcPr>
            <w:tcW w:w="9281" w:type="dxa"/>
            <w:gridSpan w:val="4"/>
            <w:vAlign w:val="center"/>
          </w:tcPr>
          <w:p>
            <w:pPr>
              <w:pStyle w:val="22"/>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w:t>
            </w:r>
            <w:r>
              <w:rPr>
                <w:rFonts w:hint="eastAsia" w:ascii="仿宋" w:hAnsi="仿宋" w:eastAsia="仿宋" w:cs="仿宋"/>
              </w:rPr>
              <w:t>江苏省伤残人康复中心</w:t>
            </w:r>
          </w:p>
        </w:tc>
        <w:tc>
          <w:tcPr>
            <w:tcW w:w="1673" w:type="dxa"/>
            <w:vAlign w:val="center"/>
          </w:tcPr>
          <w:p>
            <w:pPr>
              <w:pStyle w:val="22"/>
              <w:widowControl w:val="0"/>
              <w:jc w:val="right"/>
              <w:rPr>
                <w:rFonts w:hint="eastAsia" w:ascii="仿宋" w:hAnsi="仿宋" w:eastAsia="仿宋" w:cs="仿宋"/>
                <w:sz w:val="20"/>
              </w:rPr>
            </w:pPr>
            <w:r>
              <w:rPr>
                <w:rFonts w:hint="eastAsia" w:ascii="仿宋" w:hAnsi="仿宋" w:eastAsia="仿宋" w:cs="仿宋"/>
                <w:lang w:eastAsia="zh-CN"/>
              </w:rPr>
              <w:t>单位</w:t>
            </w:r>
            <w:r>
              <w:rPr>
                <w:rFonts w:hint="eastAsia" w:ascii="仿宋" w:hAnsi="仿宋" w:eastAsia="仿宋" w:cs="仿宋"/>
              </w:rPr>
              <w:t>：万元</w:t>
            </w:r>
          </w:p>
        </w:tc>
      </w:tr>
      <w:tr>
        <w:tblPrEx>
          <w:tblLayout w:type="fixed"/>
          <w:tblCellMar>
            <w:top w:w="55" w:type="dxa"/>
            <w:left w:w="55" w:type="dxa"/>
            <w:bottom w:w="55" w:type="dxa"/>
            <w:right w:w="55" w:type="dxa"/>
          </w:tblCellMar>
        </w:tblPrEx>
        <w:trPr>
          <w:cantSplit/>
          <w:trHeight w:val="180" w:hRule="atLeast"/>
        </w:trPr>
        <w:tc>
          <w:tcPr>
            <w:tcW w:w="4894" w:type="dxa"/>
            <w:gridSpan w:val="2"/>
            <w:tcBorders>
              <w:top w:val="single" w:color="000000" w:sz="4" w:space="0"/>
              <w:left w:val="single" w:color="000000" w:sz="4" w:space="0"/>
              <w:bottom w:val="single" w:color="000000" w:sz="4" w:space="0"/>
            </w:tcBorders>
            <w:vAlign w:val="center"/>
          </w:tcPr>
          <w:p>
            <w:pPr>
              <w:widowControl w:val="0"/>
              <w:jc w:val="center"/>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部门预算支出经济分类科目</w:t>
            </w:r>
          </w:p>
        </w:tc>
        <w:tc>
          <w:tcPr>
            <w:tcW w:w="6060" w:type="dxa"/>
            <w:gridSpan w:val="3"/>
            <w:tcBorders>
              <w:top w:val="single" w:color="000000" w:sz="4" w:space="0"/>
              <w:left w:val="single" w:color="000000" w:sz="4" w:space="0"/>
              <w:bottom w:val="single" w:color="000000" w:sz="4" w:space="0"/>
              <w:right w:val="single" w:color="000000" w:sz="4" w:space="0"/>
            </w:tcBorders>
            <w:vAlign w:val="center"/>
          </w:tcPr>
          <w:p>
            <w:pPr>
              <w:widowControl w:val="0"/>
              <w:jc w:val="center"/>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本年一般公共预算基本支出</w:t>
            </w:r>
          </w:p>
        </w:tc>
      </w:tr>
      <w:tr>
        <w:tblPrEx>
          <w:tblLayout w:type="fixed"/>
          <w:tblCellMar>
            <w:top w:w="55" w:type="dxa"/>
            <w:left w:w="55" w:type="dxa"/>
            <w:bottom w:w="55" w:type="dxa"/>
            <w:right w:w="55" w:type="dxa"/>
          </w:tblCellMar>
        </w:tblPrEx>
        <w:trPr>
          <w:cantSplit/>
          <w:trHeight w:val="190" w:hRule="atLeast"/>
        </w:trPr>
        <w:tc>
          <w:tcPr>
            <w:tcW w:w="122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科目编码</w:t>
            </w:r>
          </w:p>
        </w:tc>
        <w:tc>
          <w:tcPr>
            <w:tcW w:w="366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2413"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1974"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人员经费</w:t>
            </w:r>
          </w:p>
        </w:tc>
        <w:tc>
          <w:tcPr>
            <w:tcW w:w="1673"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公用经费</w:t>
            </w:r>
          </w:p>
        </w:tc>
      </w:tr>
      <w:tr>
        <w:tblPrEx>
          <w:tblLayout w:type="fixed"/>
          <w:tblCellMar>
            <w:top w:w="55" w:type="dxa"/>
            <w:left w:w="55" w:type="dxa"/>
            <w:bottom w:w="55" w:type="dxa"/>
            <w:right w:w="55" w:type="dxa"/>
          </w:tblCellMar>
        </w:tblPrEx>
        <w:trPr>
          <w:cantSplit/>
          <w:trHeight w:val="382" w:hRule="exact"/>
        </w:trPr>
        <w:tc>
          <w:tcPr>
            <w:tcW w:w="4894"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2413"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947.28</w:t>
            </w:r>
          </w:p>
        </w:tc>
        <w:tc>
          <w:tcPr>
            <w:tcW w:w="1974"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809.07</w:t>
            </w:r>
          </w:p>
        </w:tc>
        <w:tc>
          <w:tcPr>
            <w:tcW w:w="1673"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138.21</w:t>
            </w:r>
          </w:p>
        </w:tc>
      </w:tr>
      <w:tr>
        <w:tblPrEx>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工资福利支出</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435.40</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435.40</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30101</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基本工资</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143.22</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143.22</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30102</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津贴补贴</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22.46</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22.46</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30107</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绩效工资</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158.60</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158.60</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30108</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机关事业单位基本养老保险缴费</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48.81</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48.81</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30109</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职业年金缴费</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24.40</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24.40</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30112</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其他社会保障缴费</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37.91</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37.91</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商品和服务支出</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138.21</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138.21</w:t>
            </w:r>
          </w:p>
        </w:tc>
      </w:tr>
      <w:tr>
        <w:tblPrEx>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30201</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办公费</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2.00</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2.00</w:t>
            </w:r>
          </w:p>
        </w:tc>
      </w:tr>
      <w:tr>
        <w:tblPrEx>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30206</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电费</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56.00</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56.00</w:t>
            </w:r>
          </w:p>
        </w:tc>
      </w:tr>
      <w:tr>
        <w:tblPrEx>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30207</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邮电费</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3.40</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3.40</w:t>
            </w:r>
          </w:p>
        </w:tc>
      </w:tr>
      <w:tr>
        <w:tblPrEx>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30211</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差旅费</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3.00</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3.00</w:t>
            </w:r>
          </w:p>
        </w:tc>
      </w:tr>
      <w:tr>
        <w:tblPrEx>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30213</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维修（护）费</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2.00</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2.00</w:t>
            </w:r>
          </w:p>
        </w:tc>
      </w:tr>
      <w:tr>
        <w:tblPrEx>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30299</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其他商品和服务支出</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71.81</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71.81</w:t>
            </w:r>
          </w:p>
        </w:tc>
      </w:tr>
      <w:tr>
        <w:tblPrEx>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对个人和家庭的补助</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373.67</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373.67</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30302</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退休费</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373.63</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373.63</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30309</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奖励金</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0.04</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0.04</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bl>
    <w:p>
      <w:pPr>
        <w:widowControl w:val="0"/>
        <w:numPr>
          <w:ilvl w:val="0"/>
          <w:numId w:val="0"/>
        </w:numPr>
        <w:suppressAutoHyphens/>
        <w:bidi w:val="0"/>
        <w:spacing w:before="25" w:after="0"/>
        <w:jc w:val="left"/>
        <w:rPr>
          <w:rFonts w:hint="eastAsia" w:ascii="仿宋" w:hAnsi="仿宋" w:eastAsia="仿宋" w:cs="仿宋"/>
          <w:b/>
          <w:bCs/>
          <w:sz w:val="22"/>
          <w:szCs w:val="22"/>
        </w:rPr>
        <w:sectPr>
          <w:footerReference r:id="rId14" w:type="default"/>
          <w:pgSz w:w="11906" w:h="16838"/>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5909" w:type="dxa"/>
        <w:tblInd w:w="-226" w:type="dxa"/>
        <w:tblLayout w:type="fixed"/>
        <w:tblCellMar>
          <w:top w:w="55" w:type="dxa"/>
          <w:left w:w="55" w:type="dxa"/>
          <w:bottom w:w="55" w:type="dxa"/>
          <w:right w:w="55" w:type="dxa"/>
        </w:tblCellMar>
      </w:tblPr>
      <w:tblGrid>
        <w:gridCol w:w="2471"/>
        <w:gridCol w:w="2332"/>
        <w:gridCol w:w="2037"/>
        <w:gridCol w:w="1697"/>
        <w:gridCol w:w="1680"/>
        <w:gridCol w:w="1852"/>
        <w:gridCol w:w="2057"/>
        <w:gridCol w:w="1783"/>
      </w:tblGrid>
      <w:tr>
        <w:tblPrEx>
          <w:tblLayout w:type="fixed"/>
          <w:tblCellMar>
            <w:top w:w="55" w:type="dxa"/>
            <w:left w:w="55" w:type="dxa"/>
            <w:bottom w:w="55" w:type="dxa"/>
            <w:right w:w="55" w:type="dxa"/>
          </w:tblCellMar>
        </w:tblPrEx>
        <w:trPr>
          <w:cantSplit/>
          <w:trHeight w:val="321" w:hRule="atLeast"/>
        </w:trPr>
        <w:tc>
          <w:tcPr>
            <w:tcW w:w="15909" w:type="dxa"/>
            <w:gridSpan w:val="8"/>
          </w:tcPr>
          <w:p>
            <w:pPr>
              <w:pStyle w:val="22"/>
              <w:widowControl w:val="0"/>
              <w:jc w:val="left"/>
              <w:rPr>
                <w:rFonts w:hint="eastAsia" w:ascii="仿宋" w:hAnsi="仿宋" w:eastAsia="仿宋" w:cs="仿宋"/>
                <w:b/>
                <w:bCs/>
                <w:sz w:val="44"/>
                <w:szCs w:val="44"/>
              </w:rPr>
            </w:pPr>
            <w:r>
              <w:rPr>
                <w:rFonts w:hint="eastAsia" w:ascii="仿宋" w:hAnsi="仿宋" w:eastAsia="仿宋" w:cs="仿宋"/>
              </w:rPr>
              <w:t>公开09表</w:t>
            </w:r>
          </w:p>
        </w:tc>
      </w:tr>
      <w:tr>
        <w:tblPrEx>
          <w:tblLayout w:type="fixed"/>
          <w:tblCellMar>
            <w:top w:w="55" w:type="dxa"/>
            <w:left w:w="55" w:type="dxa"/>
            <w:bottom w:w="55" w:type="dxa"/>
            <w:right w:w="55" w:type="dxa"/>
          </w:tblCellMar>
        </w:tblPrEx>
        <w:trPr>
          <w:cantSplit/>
          <w:trHeight w:val="207" w:hRule="atLeast"/>
        </w:trPr>
        <w:tc>
          <w:tcPr>
            <w:tcW w:w="15909" w:type="dxa"/>
            <w:gridSpan w:val="8"/>
          </w:tcPr>
          <w:p>
            <w:pPr>
              <w:pStyle w:val="22"/>
              <w:widowControl w:val="0"/>
              <w:jc w:val="center"/>
              <w:rPr>
                <w:rFonts w:hint="eastAsia" w:ascii="仿宋" w:hAnsi="仿宋" w:eastAsia="仿宋" w:cs="仿宋"/>
                <w:sz w:val="20"/>
              </w:rPr>
            </w:pPr>
            <w:r>
              <w:rPr>
                <w:rFonts w:hint="eastAsia" w:ascii="仿宋" w:hAnsi="仿宋" w:eastAsia="仿宋" w:cs="仿宋"/>
                <w:b/>
                <w:bCs/>
                <w:sz w:val="44"/>
                <w:szCs w:val="44"/>
              </w:rPr>
              <w:t>一般公共预算“三公”经费、会议费、培训费支出表</w:t>
            </w:r>
          </w:p>
        </w:tc>
      </w:tr>
      <w:tr>
        <w:tblPrEx>
          <w:tblLayout w:type="fixed"/>
          <w:tblCellMar>
            <w:top w:w="55" w:type="dxa"/>
            <w:left w:w="55" w:type="dxa"/>
            <w:bottom w:w="55" w:type="dxa"/>
            <w:right w:w="55" w:type="dxa"/>
          </w:tblCellMar>
        </w:tblPrEx>
        <w:trPr>
          <w:cantSplit/>
          <w:trHeight w:val="103" w:hRule="atLeast"/>
        </w:trPr>
        <w:tc>
          <w:tcPr>
            <w:tcW w:w="12069" w:type="dxa"/>
            <w:gridSpan w:val="6"/>
            <w:tcBorders>
              <w:bottom w:val="single" w:color="auto" w:sz="4" w:space="0"/>
            </w:tcBorders>
          </w:tcPr>
          <w:p>
            <w:pPr>
              <w:pStyle w:val="22"/>
              <w:widowControl w:val="0"/>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w:t>
            </w:r>
            <w:r>
              <w:rPr>
                <w:rFonts w:hint="eastAsia" w:ascii="仿宋" w:hAnsi="仿宋" w:eastAsia="仿宋" w:cs="仿宋"/>
              </w:rPr>
              <w:t>江苏省伤残人康复中心</w:t>
            </w:r>
          </w:p>
        </w:tc>
        <w:tc>
          <w:tcPr>
            <w:tcW w:w="3840" w:type="dxa"/>
            <w:gridSpan w:val="2"/>
            <w:tcBorders>
              <w:bottom w:val="single" w:color="auto" w:sz="4" w:space="0"/>
            </w:tcBorders>
            <w:vAlign w:val="center"/>
          </w:tcPr>
          <w:p>
            <w:pPr>
              <w:pStyle w:val="22"/>
              <w:widowControl w:val="0"/>
              <w:jc w:val="right"/>
              <w:rPr>
                <w:rFonts w:hint="eastAsia" w:ascii="仿宋" w:hAnsi="仿宋" w:eastAsia="仿宋" w:cs="仿宋"/>
                <w:sz w:val="20"/>
              </w:rPr>
            </w:pPr>
            <w:r>
              <w:rPr>
                <w:rFonts w:hint="eastAsia" w:ascii="仿宋" w:hAnsi="仿宋" w:eastAsia="仿宋" w:cs="仿宋"/>
                <w:lang w:eastAsia="zh-CN"/>
              </w:rPr>
              <w:t>单位</w:t>
            </w:r>
            <w:r>
              <w:rPr>
                <w:rFonts w:hint="eastAsia" w:ascii="仿宋" w:hAnsi="仿宋" w:eastAsia="仿宋" w:cs="仿宋"/>
              </w:rPr>
              <w:t>：万元</w:t>
            </w:r>
          </w:p>
        </w:tc>
      </w:tr>
      <w:tr>
        <w:tblPrEx>
          <w:tblLayout w:type="fixed"/>
          <w:tblCellMar>
            <w:top w:w="55" w:type="dxa"/>
            <w:left w:w="55" w:type="dxa"/>
            <w:bottom w:w="55" w:type="dxa"/>
            <w:right w:w="55" w:type="dxa"/>
          </w:tblCellMar>
        </w:tblPrEx>
        <w:trPr>
          <w:cantSplit/>
          <w:trHeight w:val="297" w:hRule="atLeast"/>
        </w:trPr>
        <w:tc>
          <w:tcPr>
            <w:tcW w:w="2471" w:type="dxa"/>
            <w:vMerge w:val="restart"/>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“三公”经费合计</w:t>
            </w:r>
          </w:p>
        </w:tc>
        <w:tc>
          <w:tcPr>
            <w:tcW w:w="2332" w:type="dxa"/>
            <w:vMerge w:val="restart"/>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因公出国（境）费</w:t>
            </w:r>
          </w:p>
        </w:tc>
        <w:tc>
          <w:tcPr>
            <w:tcW w:w="5414" w:type="dxa"/>
            <w:gridSpan w:val="3"/>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公务用车购置及运行</w:t>
            </w:r>
            <w:r>
              <w:rPr>
                <w:rFonts w:hint="eastAsia" w:ascii="仿宋" w:hAnsi="仿宋" w:eastAsia="仿宋" w:cs="仿宋"/>
                <w:lang w:val="en-US" w:eastAsia="zh-CN"/>
              </w:rPr>
              <w:t>维护</w:t>
            </w:r>
            <w:r>
              <w:rPr>
                <w:rFonts w:hint="eastAsia" w:ascii="仿宋" w:hAnsi="仿宋" w:eastAsia="仿宋" w:cs="仿宋"/>
              </w:rPr>
              <w:t>费</w:t>
            </w:r>
          </w:p>
        </w:tc>
        <w:tc>
          <w:tcPr>
            <w:tcW w:w="1852" w:type="dxa"/>
            <w:vMerge w:val="restart"/>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公务接待费</w:t>
            </w:r>
          </w:p>
        </w:tc>
        <w:tc>
          <w:tcPr>
            <w:tcW w:w="2057" w:type="dxa"/>
            <w:vMerge w:val="restart"/>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会议费</w:t>
            </w:r>
          </w:p>
        </w:tc>
        <w:tc>
          <w:tcPr>
            <w:tcW w:w="1783" w:type="dxa"/>
            <w:vMerge w:val="restart"/>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培训费</w:t>
            </w:r>
          </w:p>
        </w:tc>
      </w:tr>
      <w:tr>
        <w:tblPrEx>
          <w:tblLayout w:type="fixed"/>
          <w:tblCellMar>
            <w:top w:w="55" w:type="dxa"/>
            <w:left w:w="55" w:type="dxa"/>
            <w:bottom w:w="55" w:type="dxa"/>
            <w:right w:w="55" w:type="dxa"/>
          </w:tblCellMar>
        </w:tblPrEx>
        <w:trPr>
          <w:cantSplit/>
          <w:trHeight w:val="728" w:hRule="exact"/>
        </w:trPr>
        <w:tc>
          <w:tcPr>
            <w:tcW w:w="2471" w:type="dxa"/>
            <w:vMerge w:val="continue"/>
            <w:tcBorders>
              <w:top w:val="single" w:color="auto" w:sz="4" w:space="0"/>
              <w:left w:val="single" w:color="auto" w:sz="4" w:space="0"/>
              <w:bottom w:val="single" w:color="auto" w:sz="4" w:space="0"/>
              <w:right w:val="single" w:color="auto" w:sz="4" w:space="0"/>
            </w:tcBorders>
          </w:tcPr>
          <w:p>
            <w:pPr>
              <w:widowControl w:val="0"/>
              <w:jc w:val="left"/>
              <w:rPr>
                <w:rFonts w:hint="eastAsia" w:ascii="仿宋" w:hAnsi="仿宋" w:eastAsia="仿宋" w:cs="仿宋"/>
                <w:sz w:val="2"/>
                <w:szCs w:val="2"/>
              </w:rPr>
            </w:pPr>
          </w:p>
        </w:tc>
        <w:tc>
          <w:tcPr>
            <w:tcW w:w="2332" w:type="dxa"/>
            <w:vMerge w:val="continue"/>
            <w:tcBorders>
              <w:top w:val="single" w:color="auto" w:sz="4" w:space="0"/>
              <w:left w:val="single" w:color="auto" w:sz="4" w:space="0"/>
              <w:bottom w:val="single" w:color="auto" w:sz="4" w:space="0"/>
              <w:right w:val="single" w:color="auto" w:sz="4" w:space="0"/>
            </w:tcBorders>
          </w:tcPr>
          <w:p>
            <w:pPr>
              <w:widowControl w:val="0"/>
              <w:jc w:val="left"/>
              <w:rPr>
                <w:rFonts w:hint="eastAsia" w:ascii="仿宋" w:hAnsi="仿宋" w:eastAsia="仿宋" w:cs="仿宋"/>
                <w:sz w:val="2"/>
                <w:szCs w:val="2"/>
              </w:rPr>
            </w:pPr>
          </w:p>
        </w:tc>
        <w:tc>
          <w:tcPr>
            <w:tcW w:w="2037" w:type="dxa"/>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ascii="仿宋" w:hAnsi="仿宋" w:eastAsia="仿宋" w:cs="仿宋"/>
              </w:rPr>
              <w:t>小计</w:t>
            </w:r>
          </w:p>
        </w:tc>
        <w:tc>
          <w:tcPr>
            <w:tcW w:w="1697" w:type="dxa"/>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公务用车购置费</w:t>
            </w:r>
          </w:p>
        </w:tc>
        <w:tc>
          <w:tcPr>
            <w:tcW w:w="1680" w:type="dxa"/>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公务用车运行</w:t>
            </w:r>
            <w:r>
              <w:rPr>
                <w:rFonts w:hint="eastAsia" w:ascii="仿宋" w:hAnsi="仿宋" w:eastAsia="仿宋" w:cs="仿宋"/>
                <w:lang w:val="en-US" w:eastAsia="zh-CN"/>
              </w:rPr>
              <w:t>维护</w:t>
            </w:r>
            <w:r>
              <w:rPr>
                <w:rFonts w:hint="eastAsia" w:ascii="仿宋" w:hAnsi="仿宋" w:eastAsia="仿宋" w:cs="仿宋"/>
              </w:rPr>
              <w:t>费</w:t>
            </w:r>
          </w:p>
        </w:tc>
        <w:tc>
          <w:tcPr>
            <w:tcW w:w="1852" w:type="dxa"/>
            <w:vMerge w:val="continue"/>
            <w:tcBorders>
              <w:top w:val="single" w:color="auto" w:sz="4" w:space="0"/>
              <w:left w:val="single" w:color="auto" w:sz="4" w:space="0"/>
              <w:bottom w:val="single" w:color="auto" w:sz="4" w:space="0"/>
              <w:right w:val="single" w:color="auto" w:sz="4" w:space="0"/>
            </w:tcBorders>
          </w:tcPr>
          <w:p>
            <w:pPr>
              <w:widowControl w:val="0"/>
              <w:jc w:val="left"/>
              <w:rPr>
                <w:rFonts w:hint="eastAsia" w:ascii="仿宋" w:hAnsi="仿宋" w:eastAsia="仿宋" w:cs="仿宋"/>
                <w:sz w:val="2"/>
                <w:szCs w:val="2"/>
              </w:rPr>
            </w:pPr>
          </w:p>
        </w:tc>
        <w:tc>
          <w:tcPr>
            <w:tcW w:w="2057" w:type="dxa"/>
            <w:vMerge w:val="continue"/>
            <w:tcBorders>
              <w:top w:val="single" w:color="auto" w:sz="4" w:space="0"/>
              <w:left w:val="single" w:color="auto" w:sz="4" w:space="0"/>
              <w:bottom w:val="single" w:color="auto" w:sz="4" w:space="0"/>
              <w:right w:val="single" w:color="auto" w:sz="4" w:space="0"/>
            </w:tcBorders>
          </w:tcPr>
          <w:p>
            <w:pPr>
              <w:widowControl w:val="0"/>
              <w:jc w:val="left"/>
              <w:rPr>
                <w:rFonts w:hint="eastAsia" w:ascii="仿宋" w:hAnsi="仿宋" w:eastAsia="仿宋" w:cs="仿宋"/>
                <w:sz w:val="2"/>
                <w:szCs w:val="2"/>
              </w:rPr>
            </w:pPr>
          </w:p>
        </w:tc>
        <w:tc>
          <w:tcPr>
            <w:tcW w:w="1783" w:type="dxa"/>
            <w:vMerge w:val="continue"/>
            <w:tcBorders>
              <w:top w:val="single" w:color="auto" w:sz="4" w:space="0"/>
              <w:left w:val="single" w:color="auto" w:sz="4" w:space="0"/>
              <w:bottom w:val="single" w:color="auto" w:sz="4" w:space="0"/>
              <w:right w:val="single" w:color="auto" w:sz="4" w:space="0"/>
            </w:tcBorders>
          </w:tcPr>
          <w:p>
            <w:pPr>
              <w:widowControl w:val="0"/>
              <w:jc w:val="left"/>
              <w:rPr>
                <w:rFonts w:hint="eastAsia" w:ascii="仿宋" w:hAnsi="仿宋" w:eastAsia="仿宋" w:cs="仿宋"/>
                <w:sz w:val="2"/>
                <w:szCs w:val="2"/>
              </w:rPr>
            </w:pPr>
          </w:p>
        </w:tc>
      </w:tr>
      <w:tr>
        <w:tblPrEx>
          <w:tblLayout w:type="fixed"/>
          <w:tblCellMar>
            <w:top w:w="55" w:type="dxa"/>
            <w:left w:w="55" w:type="dxa"/>
            <w:bottom w:w="55" w:type="dxa"/>
            <w:right w:w="55" w:type="dxa"/>
          </w:tblCellMar>
        </w:tblPrEx>
        <w:trPr>
          <w:cantSplit/>
          <w:trHeight w:val="165" w:hRule="atLeast"/>
        </w:trPr>
        <w:tc>
          <w:tcPr>
            <w:tcW w:w="2471" w:type="dxa"/>
            <w:tcBorders>
              <w:top w:val="single" w:color="auto" w:sz="4" w:space="0"/>
              <w:left w:val="single" w:color="auto"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0.00</w:t>
            </w:r>
          </w:p>
        </w:tc>
        <w:tc>
          <w:tcPr>
            <w:tcW w:w="2332" w:type="dxa"/>
            <w:tcBorders>
              <w:top w:val="single" w:color="auto" w:sz="4" w:space="0"/>
              <w:left w:val="single" w:color="auto"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0.00</w:t>
            </w:r>
          </w:p>
        </w:tc>
        <w:tc>
          <w:tcPr>
            <w:tcW w:w="2037" w:type="dxa"/>
            <w:tcBorders>
              <w:top w:val="single" w:color="auto" w:sz="4" w:space="0"/>
              <w:left w:val="single" w:color="auto"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0.00</w:t>
            </w:r>
          </w:p>
        </w:tc>
        <w:tc>
          <w:tcPr>
            <w:tcW w:w="1697" w:type="dxa"/>
            <w:tcBorders>
              <w:top w:val="single" w:color="auto" w:sz="4" w:space="0"/>
              <w:left w:val="single" w:color="auto"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0.00</w:t>
            </w:r>
          </w:p>
        </w:tc>
        <w:tc>
          <w:tcPr>
            <w:tcW w:w="1680" w:type="dxa"/>
            <w:tcBorders>
              <w:top w:val="single" w:color="auto" w:sz="4" w:space="0"/>
              <w:left w:val="single" w:color="auto"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0.00</w:t>
            </w:r>
          </w:p>
        </w:tc>
        <w:tc>
          <w:tcPr>
            <w:tcW w:w="1852" w:type="dxa"/>
            <w:tcBorders>
              <w:top w:val="single" w:color="auto" w:sz="4" w:space="0"/>
              <w:left w:val="single" w:color="auto"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0.00</w:t>
            </w:r>
          </w:p>
        </w:tc>
        <w:tc>
          <w:tcPr>
            <w:tcW w:w="2057" w:type="dxa"/>
            <w:tcBorders>
              <w:top w:val="single" w:color="auto" w:sz="4" w:space="0"/>
              <w:left w:val="single" w:color="auto"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0.00</w:t>
            </w:r>
          </w:p>
        </w:tc>
        <w:tc>
          <w:tcPr>
            <w:tcW w:w="1783" w:type="dxa"/>
            <w:tcBorders>
              <w:top w:val="single" w:color="auto" w:sz="4" w:space="0"/>
              <w:left w:val="single" w:color="auto"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0.00</w:t>
            </w:r>
          </w:p>
        </w:tc>
      </w:tr>
    </w:tbl>
    <w:p>
      <w:pPr>
        <w:widowControl w:val="0"/>
        <w:numPr>
          <w:ilvl w:val="0"/>
          <w:numId w:val="0"/>
        </w:numPr>
        <w:suppressAutoHyphens/>
        <w:bidi w:val="0"/>
        <w:spacing w:before="0" w:after="0"/>
        <w:ind w:left="-220" w:leftChars="0" w:right="0" w:rightChars="0" w:firstLine="0" w:firstLineChars="0"/>
        <w:jc w:val="left"/>
        <w:rPr>
          <w:rFonts w:hint="eastAsia" w:ascii="仿宋" w:hAnsi="仿宋" w:eastAsia="仿宋" w:cs="仿宋"/>
          <w:b/>
          <w:bCs/>
          <w:sz w:val="22"/>
          <w:szCs w:val="22"/>
        </w:rPr>
      </w:pPr>
      <w:r>
        <w:rPr>
          <w:rFonts w:hint="eastAsia" w:ascii="仿宋" w:hAnsi="仿宋" w:eastAsia="仿宋" w:cs="仿宋"/>
          <w:b/>
          <w:bCs/>
          <w:sz w:val="22"/>
          <w:szCs w:val="22"/>
        </w:rPr>
        <w:t>注：</w:t>
      </w:r>
      <w:r>
        <w:rPr>
          <w:rFonts w:hint="eastAsia" w:ascii="仿宋" w:hAnsi="仿宋" w:eastAsia="仿宋" w:cs="仿宋"/>
          <w:b/>
          <w:bCs/>
          <w:sz w:val="22"/>
          <w:szCs w:val="22"/>
          <w:lang w:eastAsia="zh-CN"/>
        </w:rPr>
        <w:t>本</w:t>
      </w:r>
      <w:r>
        <w:rPr>
          <w:rFonts w:ascii="仿宋" w:hAnsi="仿宋" w:eastAsia="仿宋" w:cs="仿宋"/>
          <w:b/>
          <w:sz w:val="22"/>
        </w:rPr>
        <w:t>单位无一般公共预算“三公”经费、会议费、培训费支出，故本表无数据。</w:t>
      </w:r>
    </w:p>
    <w:p>
      <w:pPr>
        <w:widowControl w:val="0"/>
        <w:suppressAutoHyphens/>
        <w:bidi w:val="0"/>
        <w:spacing w:before="0" w:after="0"/>
        <w:ind w:left="227" w:right="0" w:firstLine="221" w:firstLineChars="100"/>
        <w:jc w:val="left"/>
        <w:rPr>
          <w:rFonts w:hint="eastAsia" w:ascii="仿宋" w:hAnsi="仿宋" w:eastAsia="仿宋" w:cs="仿宋"/>
          <w:b/>
          <w:bCs/>
          <w:sz w:val="22"/>
          <w:szCs w:val="22"/>
        </w:rPr>
        <w:sectPr>
          <w:footerReference r:id="rId15" w:type="default"/>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0812" w:type="dxa"/>
        <w:tblInd w:w="-108" w:type="dxa"/>
        <w:tblLayout w:type="fixed"/>
        <w:tblCellMar>
          <w:top w:w="55" w:type="dxa"/>
          <w:left w:w="55" w:type="dxa"/>
          <w:bottom w:w="55" w:type="dxa"/>
          <w:right w:w="55" w:type="dxa"/>
        </w:tblCellMar>
      </w:tblPr>
      <w:tblGrid>
        <w:gridCol w:w="1618"/>
        <w:gridCol w:w="2834"/>
        <w:gridCol w:w="1783"/>
        <w:gridCol w:w="2092"/>
        <w:gridCol w:w="2485"/>
      </w:tblGrid>
      <w:tr>
        <w:tblPrEx>
          <w:tblLayout w:type="fixed"/>
          <w:tblCellMar>
            <w:top w:w="55" w:type="dxa"/>
            <w:left w:w="55" w:type="dxa"/>
            <w:bottom w:w="55" w:type="dxa"/>
            <w:right w:w="55" w:type="dxa"/>
          </w:tblCellMar>
        </w:tblPrEx>
        <w:trPr>
          <w:cantSplit/>
          <w:trHeight w:val="213" w:hRule="atLeast"/>
        </w:trPr>
        <w:tc>
          <w:tcPr>
            <w:tcW w:w="10812" w:type="dxa"/>
            <w:gridSpan w:val="5"/>
            <w:tcBorders>
              <w:top w:val="nil"/>
              <w:left w:val="nil"/>
              <w:bottom w:val="nil"/>
              <w:right w:val="nil"/>
            </w:tcBorders>
            <w:vAlign w:val="center"/>
          </w:tcPr>
          <w:p>
            <w:pPr>
              <w:pStyle w:val="22"/>
              <w:widowControl w:val="0"/>
              <w:jc w:val="left"/>
              <w:rPr>
                <w:rFonts w:hint="eastAsia" w:ascii="仿宋" w:hAnsi="仿宋" w:eastAsia="仿宋" w:cs="仿宋"/>
              </w:rPr>
            </w:pPr>
            <w:r>
              <w:rPr>
                <w:rFonts w:hint="eastAsia" w:ascii="仿宋" w:hAnsi="仿宋" w:eastAsia="仿宋" w:cs="仿宋"/>
              </w:rPr>
              <w:t>公开</w:t>
            </w:r>
            <w:r>
              <w:rPr>
                <w:rFonts w:hint="eastAsia" w:ascii="仿宋" w:hAnsi="仿宋" w:eastAsia="仿宋" w:cs="仿宋"/>
                <w:lang w:val="en-US" w:eastAsia="zh-CN"/>
              </w:rPr>
              <w:t>10</w:t>
            </w:r>
            <w:r>
              <w:rPr>
                <w:rFonts w:hint="eastAsia" w:ascii="仿宋" w:hAnsi="仿宋" w:eastAsia="仿宋" w:cs="仿宋"/>
              </w:rPr>
              <w:t>表</w:t>
            </w:r>
          </w:p>
        </w:tc>
      </w:tr>
      <w:tr>
        <w:tblPrEx>
          <w:tblLayout w:type="fixed"/>
          <w:tblCellMar>
            <w:top w:w="55" w:type="dxa"/>
            <w:left w:w="55" w:type="dxa"/>
            <w:bottom w:w="55" w:type="dxa"/>
            <w:right w:w="55" w:type="dxa"/>
          </w:tblCellMar>
        </w:tblPrEx>
        <w:trPr>
          <w:cantSplit/>
          <w:trHeight w:val="213" w:hRule="atLeast"/>
        </w:trPr>
        <w:tc>
          <w:tcPr>
            <w:tcW w:w="10812" w:type="dxa"/>
            <w:gridSpan w:val="5"/>
            <w:tcBorders>
              <w:top w:val="nil"/>
              <w:left w:val="nil"/>
              <w:bottom w:val="nil"/>
              <w:right w:val="nil"/>
            </w:tcBorders>
            <w:vAlign w:val="center"/>
          </w:tcPr>
          <w:p>
            <w:pPr>
              <w:pStyle w:val="22"/>
              <w:widowControl w:val="0"/>
              <w:jc w:val="center"/>
              <w:rPr>
                <w:rFonts w:hint="eastAsia" w:ascii="仿宋" w:hAnsi="仿宋" w:eastAsia="仿宋" w:cs="仿宋"/>
              </w:rPr>
            </w:pPr>
            <w:r>
              <w:rPr>
                <w:rFonts w:hint="eastAsia" w:ascii="仿宋" w:hAnsi="仿宋" w:eastAsia="仿宋" w:cs="仿宋"/>
                <w:b/>
                <w:bCs/>
                <w:sz w:val="44"/>
                <w:szCs w:val="44"/>
              </w:rPr>
              <w:t>政府性基金预算支出表</w:t>
            </w:r>
          </w:p>
        </w:tc>
      </w:tr>
      <w:tr>
        <w:tblPrEx>
          <w:tblLayout w:type="fixed"/>
          <w:tblCellMar>
            <w:top w:w="55" w:type="dxa"/>
            <w:left w:w="55" w:type="dxa"/>
            <w:bottom w:w="55" w:type="dxa"/>
            <w:right w:w="55" w:type="dxa"/>
          </w:tblCellMar>
        </w:tblPrEx>
        <w:trPr>
          <w:cantSplit/>
          <w:trHeight w:val="213" w:hRule="atLeast"/>
        </w:trPr>
        <w:tc>
          <w:tcPr>
            <w:tcW w:w="8327" w:type="dxa"/>
            <w:gridSpan w:val="4"/>
            <w:tcBorders>
              <w:top w:val="nil"/>
              <w:left w:val="nil"/>
              <w:bottom w:val="single" w:color="auto" w:sz="4" w:space="0"/>
              <w:right w:val="nil"/>
            </w:tcBorders>
            <w:vAlign w:val="center"/>
          </w:tcPr>
          <w:p>
            <w:pPr>
              <w:pStyle w:val="22"/>
              <w:widowControl w:val="0"/>
              <w:jc w:val="left"/>
              <w:rPr>
                <w:rFonts w:hint="eastAsia" w:ascii="仿宋" w:hAnsi="仿宋" w:eastAsia="仿宋" w:cs="仿宋"/>
              </w:rPr>
            </w:pPr>
            <w:r>
              <w:rPr>
                <w:rFonts w:hint="eastAsia" w:ascii="仿宋" w:hAnsi="仿宋" w:eastAsia="仿宋" w:cs="仿宋"/>
                <w:color w:val="000000"/>
                <w:sz w:val="22"/>
                <w:szCs w:val="22"/>
                <w:lang w:eastAsia="zh-CN"/>
              </w:rPr>
              <w:t>单位</w:t>
            </w:r>
            <w:r>
              <w:rPr>
                <w:rFonts w:ascii="仿宋" w:hAnsi="仿宋" w:eastAsia="仿宋" w:cs="仿宋"/>
                <w:color w:val="000000"/>
                <w:sz w:val="22"/>
              </w:rPr>
              <w:t>：</w:t>
            </w:r>
            <w:r>
              <w:rPr>
                <w:rFonts w:hint="eastAsia" w:ascii="仿宋" w:hAnsi="仿宋" w:eastAsia="仿宋" w:cs="仿宋"/>
              </w:rPr>
              <w:t>江苏省伤残人康复中心</w:t>
            </w:r>
          </w:p>
        </w:tc>
        <w:tc>
          <w:tcPr>
            <w:tcW w:w="2485" w:type="dxa"/>
            <w:tcBorders>
              <w:top w:val="nil"/>
              <w:left w:val="nil"/>
              <w:bottom w:val="single" w:color="auto" w:sz="4" w:space="0"/>
              <w:right w:val="nil"/>
            </w:tcBorders>
            <w:vAlign w:val="center"/>
          </w:tcPr>
          <w:p>
            <w:pPr>
              <w:pStyle w:val="22"/>
              <w:widowControl w:val="0"/>
              <w:jc w:val="right"/>
              <w:rPr>
                <w:rFonts w:hint="eastAsia" w:ascii="仿宋" w:hAnsi="仿宋" w:eastAsia="仿宋" w:cs="仿宋"/>
              </w:rPr>
            </w:pPr>
            <w:r>
              <w:rPr>
                <w:rFonts w:hint="eastAsia" w:ascii="仿宋" w:hAnsi="仿宋" w:eastAsia="仿宋" w:cs="仿宋"/>
              </w:rPr>
              <w:t>单位：万元</w:t>
            </w:r>
          </w:p>
        </w:tc>
      </w:tr>
      <w:tr>
        <w:tblPrEx>
          <w:tblLayout w:type="fixed"/>
          <w:tblCellMar>
            <w:top w:w="55" w:type="dxa"/>
            <w:left w:w="55" w:type="dxa"/>
            <w:bottom w:w="55" w:type="dxa"/>
            <w:right w:w="55" w:type="dxa"/>
          </w:tblCellMar>
        </w:tblPrEx>
        <w:trPr>
          <w:cantSplit/>
          <w:trHeight w:val="187" w:hRule="atLeast"/>
        </w:trPr>
        <w:tc>
          <w:tcPr>
            <w:tcW w:w="1618" w:type="dxa"/>
            <w:vMerge w:val="restart"/>
            <w:tcBorders>
              <w:top w:val="single" w:color="auto" w:sz="4" w:space="0"/>
              <w:left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科目编码</w:t>
            </w:r>
          </w:p>
        </w:tc>
        <w:tc>
          <w:tcPr>
            <w:tcW w:w="2834" w:type="dxa"/>
            <w:vMerge w:val="restart"/>
            <w:tcBorders>
              <w:top w:val="single" w:color="auto" w:sz="4" w:space="0"/>
              <w:left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6360" w:type="dxa"/>
            <w:gridSpan w:val="3"/>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本年政府性基金预算支出</w:t>
            </w:r>
          </w:p>
        </w:tc>
      </w:tr>
      <w:tr>
        <w:tblPrEx>
          <w:tblLayout w:type="fixed"/>
          <w:tblCellMar>
            <w:top w:w="55" w:type="dxa"/>
            <w:left w:w="55" w:type="dxa"/>
            <w:bottom w:w="55" w:type="dxa"/>
            <w:right w:w="55" w:type="dxa"/>
          </w:tblCellMar>
        </w:tblPrEx>
        <w:trPr>
          <w:cantSplit/>
          <w:trHeight w:val="139" w:hRule="atLeast"/>
        </w:trPr>
        <w:tc>
          <w:tcPr>
            <w:tcW w:w="1618" w:type="dxa"/>
            <w:vMerge w:val="continue"/>
            <w:tcBorders>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p>
        </w:tc>
        <w:tc>
          <w:tcPr>
            <w:tcW w:w="2834" w:type="dxa"/>
            <w:vMerge w:val="continue"/>
            <w:tcBorders>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p>
        </w:tc>
        <w:tc>
          <w:tcPr>
            <w:tcW w:w="1783" w:type="dxa"/>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default" w:ascii="仿宋" w:hAnsi="仿宋" w:eastAsia="仿宋" w:cs="仿宋"/>
                <w:lang w:val="en-US" w:eastAsia="zh-CN"/>
              </w:rPr>
            </w:pPr>
            <w:r>
              <w:rPr>
                <w:rFonts w:hint="eastAsia" w:ascii="仿宋" w:hAnsi="仿宋" w:eastAsia="仿宋" w:cs="仿宋"/>
                <w:lang w:val="en-US" w:eastAsia="zh-CN"/>
              </w:rPr>
              <w:t>合计</w:t>
            </w:r>
          </w:p>
        </w:tc>
        <w:tc>
          <w:tcPr>
            <w:tcW w:w="2092" w:type="dxa"/>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基本支出</w:t>
            </w:r>
          </w:p>
        </w:tc>
        <w:tc>
          <w:tcPr>
            <w:tcW w:w="2485" w:type="dxa"/>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项目支出</w:t>
            </w:r>
          </w:p>
        </w:tc>
      </w:tr>
      <w:tr>
        <w:tblPrEx>
          <w:tblLayout w:type="fixed"/>
          <w:tblCellMar>
            <w:top w:w="55" w:type="dxa"/>
            <w:left w:w="55" w:type="dxa"/>
            <w:bottom w:w="55" w:type="dxa"/>
            <w:right w:w="55" w:type="dxa"/>
          </w:tblCellMar>
        </w:tblPrEx>
        <w:trPr>
          <w:cantSplit/>
          <w:trHeight w:val="462" w:hRule="atLeast"/>
        </w:trPr>
        <w:tc>
          <w:tcPr>
            <w:tcW w:w="1618" w:type="dxa"/>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p>
        </w:tc>
        <w:tc>
          <w:tcPr>
            <w:tcW w:w="2834" w:type="dxa"/>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lang w:val="en-US" w:eastAsia="zh-CN"/>
              </w:rPr>
            </w:pPr>
            <w:r>
              <w:rPr>
                <w:rFonts w:hint="eastAsia" w:ascii="仿宋" w:hAnsi="仿宋" w:eastAsia="仿宋" w:cs="仿宋"/>
                <w:lang w:val="en-US" w:eastAsia="zh-CN"/>
              </w:rPr>
              <w:t>合计</w:t>
            </w:r>
          </w:p>
        </w:tc>
        <w:tc>
          <w:tcPr>
            <w:tcW w:w="1783"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150.00</w:t>
            </w:r>
          </w:p>
        </w:tc>
        <w:tc>
          <w:tcPr>
            <w:tcW w:w="2092"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p>
        </w:tc>
        <w:tc>
          <w:tcPr>
            <w:tcW w:w="2485"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150.00</w:t>
            </w:r>
          </w:p>
        </w:tc>
      </w:tr>
      <w:tr>
        <w:tblPrEx>
          <w:tblLayout w:type="fixed"/>
          <w:tblCellMar>
            <w:top w:w="55" w:type="dxa"/>
            <w:left w:w="55" w:type="dxa"/>
            <w:bottom w:w="55" w:type="dxa"/>
            <w:right w:w="55" w:type="dxa"/>
          </w:tblCellMar>
        </w:tblPrEx>
        <w:trPr>
          <w:cantSplit/>
          <w:trHeight w:val="250" w:hRule="atLeast"/>
        </w:trPr>
        <w:tc>
          <w:tcPr>
            <w:tcW w:w="1618" w:type="dxa"/>
            <w:tcBorders>
              <w:top w:val="single" w:color="auto" w:sz="4" w:space="0"/>
              <w:left w:val="single" w:color="auto" w:sz="4" w:space="0"/>
              <w:bottom w:val="single" w:color="auto" w:sz="4" w:space="0"/>
              <w:right w:val="single" w:color="auto" w:sz="4" w:space="0"/>
            </w:tcBorders>
            <w:vAlign w:val="center"/>
          </w:tcPr>
          <w:p>
            <w:pPr>
              <w:widowControl w:val="0"/>
              <w:jc w:val="lef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229</w:t>
            </w:r>
          </w:p>
        </w:tc>
        <w:tc>
          <w:tcPr>
            <w:tcW w:w="2834" w:type="dxa"/>
            <w:tcBorders>
              <w:top w:val="single" w:color="auto" w:sz="4" w:space="0"/>
              <w:left w:val="single" w:color="auto" w:sz="4" w:space="0"/>
              <w:bottom w:val="single" w:color="auto" w:sz="4" w:space="0"/>
              <w:right w:val="single" w:color="auto" w:sz="4" w:space="0"/>
            </w:tcBorders>
            <w:vAlign w:val="center"/>
          </w:tcPr>
          <w:p>
            <w:pPr>
              <w:widowControl w:val="0"/>
              <w:jc w:val="lef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其他支出</w:t>
            </w:r>
          </w:p>
        </w:tc>
        <w:tc>
          <w:tcPr>
            <w:tcW w:w="1783"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150.00</w:t>
            </w:r>
          </w:p>
        </w:tc>
        <w:tc>
          <w:tcPr>
            <w:tcW w:w="2092"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p>
        </w:tc>
        <w:tc>
          <w:tcPr>
            <w:tcW w:w="2485"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150.00</w:t>
            </w:r>
          </w:p>
        </w:tc>
      </w:tr>
      <w:tr>
        <w:tblPrEx>
          <w:tblLayout w:type="fixed"/>
          <w:tblCellMar>
            <w:top w:w="55" w:type="dxa"/>
            <w:left w:w="55" w:type="dxa"/>
            <w:bottom w:w="55" w:type="dxa"/>
            <w:right w:w="55" w:type="dxa"/>
          </w:tblCellMar>
        </w:tblPrEx>
        <w:trPr>
          <w:cantSplit/>
          <w:trHeight w:val="250" w:hRule="atLeast"/>
        </w:trPr>
        <w:tc>
          <w:tcPr>
            <w:tcW w:w="1618" w:type="dxa"/>
            <w:tcBorders>
              <w:top w:val="single" w:color="auto" w:sz="4" w:space="0"/>
              <w:left w:val="single" w:color="auto" w:sz="4" w:space="0"/>
              <w:bottom w:val="single" w:color="auto" w:sz="4" w:space="0"/>
              <w:right w:val="single" w:color="auto" w:sz="4" w:space="0"/>
            </w:tcBorders>
            <w:vAlign w:val="center"/>
          </w:tcPr>
          <w:p>
            <w:pPr>
              <w:widowControl w:val="0"/>
              <w:jc w:val="lef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 xml:space="preserve">  22960</w:t>
            </w:r>
          </w:p>
        </w:tc>
        <w:tc>
          <w:tcPr>
            <w:tcW w:w="2834" w:type="dxa"/>
            <w:tcBorders>
              <w:top w:val="single" w:color="auto" w:sz="4" w:space="0"/>
              <w:left w:val="single" w:color="auto" w:sz="4" w:space="0"/>
              <w:bottom w:val="single" w:color="auto" w:sz="4" w:space="0"/>
              <w:right w:val="single" w:color="auto" w:sz="4" w:space="0"/>
            </w:tcBorders>
            <w:vAlign w:val="center"/>
          </w:tcPr>
          <w:p>
            <w:pPr>
              <w:widowControl w:val="0"/>
              <w:jc w:val="lef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彩票公益金安排的支出</w:t>
            </w:r>
          </w:p>
        </w:tc>
        <w:tc>
          <w:tcPr>
            <w:tcW w:w="1783"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150.00</w:t>
            </w:r>
          </w:p>
        </w:tc>
        <w:tc>
          <w:tcPr>
            <w:tcW w:w="2092"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p>
        </w:tc>
        <w:tc>
          <w:tcPr>
            <w:tcW w:w="2485"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150.00</w:t>
            </w:r>
          </w:p>
        </w:tc>
      </w:tr>
      <w:tr>
        <w:tblPrEx>
          <w:tblLayout w:type="fixed"/>
          <w:tblCellMar>
            <w:top w:w="55" w:type="dxa"/>
            <w:left w:w="55" w:type="dxa"/>
            <w:bottom w:w="55" w:type="dxa"/>
            <w:right w:w="55" w:type="dxa"/>
          </w:tblCellMar>
        </w:tblPrEx>
        <w:trPr>
          <w:cantSplit/>
          <w:trHeight w:val="250" w:hRule="atLeast"/>
        </w:trPr>
        <w:tc>
          <w:tcPr>
            <w:tcW w:w="1618" w:type="dxa"/>
            <w:tcBorders>
              <w:top w:val="single" w:color="auto" w:sz="4" w:space="0"/>
              <w:left w:val="single" w:color="auto" w:sz="4" w:space="0"/>
              <w:bottom w:val="single" w:color="auto" w:sz="4" w:space="0"/>
              <w:right w:val="single" w:color="auto" w:sz="4" w:space="0"/>
            </w:tcBorders>
            <w:vAlign w:val="center"/>
          </w:tcPr>
          <w:p>
            <w:pPr>
              <w:widowControl w:val="0"/>
              <w:jc w:val="lef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 xml:space="preserve">    2296002</w:t>
            </w:r>
          </w:p>
        </w:tc>
        <w:tc>
          <w:tcPr>
            <w:tcW w:w="2834" w:type="dxa"/>
            <w:tcBorders>
              <w:top w:val="single" w:color="auto" w:sz="4" w:space="0"/>
              <w:left w:val="single" w:color="auto" w:sz="4" w:space="0"/>
              <w:bottom w:val="single" w:color="auto" w:sz="4" w:space="0"/>
              <w:right w:val="single" w:color="auto" w:sz="4" w:space="0"/>
            </w:tcBorders>
            <w:vAlign w:val="center"/>
          </w:tcPr>
          <w:p>
            <w:pPr>
              <w:widowControl w:val="0"/>
              <w:jc w:val="lef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用于社会福利的彩票公益金支出</w:t>
            </w:r>
          </w:p>
        </w:tc>
        <w:tc>
          <w:tcPr>
            <w:tcW w:w="1783"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150.00</w:t>
            </w:r>
          </w:p>
        </w:tc>
        <w:tc>
          <w:tcPr>
            <w:tcW w:w="2092"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p>
        </w:tc>
        <w:tc>
          <w:tcPr>
            <w:tcW w:w="2485"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150.00</w:t>
            </w:r>
          </w:p>
        </w:tc>
      </w:tr>
    </w:tbl>
    <w:p>
      <w:pPr>
        <w:widowControl w:val="0"/>
        <w:numPr>
          <w:ilvl w:val="0"/>
          <w:numId w:val="0"/>
        </w:numPr>
        <w:suppressAutoHyphens/>
        <w:bidi w:val="0"/>
        <w:spacing w:before="25" w:after="0"/>
        <w:jc w:val="left"/>
        <w:rPr>
          <w:rFonts w:hint="default" w:ascii="仿宋" w:hAnsi="仿宋" w:eastAsia="仿宋" w:cs="仿宋"/>
          <w:b/>
          <w:bCs/>
          <w:sz w:val="22"/>
          <w:szCs w:val="22"/>
          <w:lang w:val="en-US" w:eastAsia="zh-CN"/>
        </w:rPr>
        <w:sectPr>
          <w:footerReference r:id="rId16" w:type="default"/>
          <w:pgSz w:w="11906" w:h="16838"/>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4695" w:type="dxa"/>
        <w:jc w:val="center"/>
        <w:tblInd w:w="0" w:type="dxa"/>
        <w:tblLayout w:type="fixed"/>
        <w:tblCellMar>
          <w:top w:w="0" w:type="dxa"/>
          <w:left w:w="108" w:type="dxa"/>
          <w:bottom w:w="0" w:type="dxa"/>
          <w:right w:w="108" w:type="dxa"/>
        </w:tblCellMar>
      </w:tblPr>
      <w:tblGrid>
        <w:gridCol w:w="1596"/>
        <w:gridCol w:w="3803"/>
        <w:gridCol w:w="3111"/>
        <w:gridCol w:w="3094"/>
        <w:gridCol w:w="3091"/>
      </w:tblGrid>
      <w:tr>
        <w:tblPrEx>
          <w:tblLayout w:type="fixed"/>
          <w:tblCellMar>
            <w:top w:w="0" w:type="dxa"/>
            <w:left w:w="108" w:type="dxa"/>
            <w:bottom w:w="0" w:type="dxa"/>
            <w:right w:w="108" w:type="dxa"/>
          </w:tblCellMar>
        </w:tblPrEx>
        <w:trPr>
          <w:cantSplit/>
          <w:trHeight w:val="447" w:hRule="atLeast"/>
          <w:jc w:val="center"/>
        </w:trPr>
        <w:tc>
          <w:tcPr>
            <w:tcW w:w="14695" w:type="dxa"/>
            <w:gridSpan w:val="5"/>
            <w:tcBorders>
              <w:top w:val="nil"/>
              <w:left w:val="nil"/>
              <w:bottom w:val="nil"/>
              <w:right w:val="nil"/>
            </w:tcBorders>
            <w:shd w:val="clear" w:color="auto" w:fill="auto"/>
            <w:vAlign w:val="center"/>
          </w:tcPr>
          <w:p>
            <w:pPr>
              <w:widowControl/>
              <w:jc w:val="lef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公开11表</w:t>
            </w:r>
          </w:p>
        </w:tc>
      </w:tr>
      <w:tr>
        <w:tblPrEx>
          <w:tblLayout w:type="fixed"/>
          <w:tblCellMar>
            <w:top w:w="0" w:type="dxa"/>
            <w:left w:w="108" w:type="dxa"/>
            <w:bottom w:w="0" w:type="dxa"/>
            <w:right w:w="108" w:type="dxa"/>
          </w:tblCellMar>
        </w:tblPrEx>
        <w:trPr>
          <w:cantSplit/>
          <w:trHeight w:val="960" w:hRule="atLeast"/>
          <w:jc w:val="center"/>
        </w:trPr>
        <w:tc>
          <w:tcPr>
            <w:tcW w:w="14695" w:type="dxa"/>
            <w:gridSpan w:val="5"/>
            <w:tcBorders>
              <w:top w:val="nil"/>
              <w:left w:val="nil"/>
              <w:bottom w:val="nil"/>
              <w:right w:val="nil"/>
            </w:tcBorders>
            <w:shd w:val="clear" w:color="auto" w:fill="auto"/>
            <w:vAlign w:val="center"/>
          </w:tcPr>
          <w:p>
            <w:pPr>
              <w:widowControl/>
              <w:jc w:val="center"/>
              <w:rPr>
                <w:rFonts w:hint="eastAsia" w:ascii="仿宋" w:hAnsi="仿宋" w:eastAsia="仿宋" w:cs="仿宋"/>
                <w:color w:val="auto"/>
                <w:kern w:val="0"/>
                <w:sz w:val="22"/>
                <w:szCs w:val="22"/>
                <w:lang w:val="zh-CN" w:eastAsia="zh-CN" w:bidi="zh-CN"/>
              </w:rPr>
            </w:pPr>
            <w:r>
              <w:rPr>
                <w:rFonts w:hint="eastAsia" w:ascii="仿宋" w:hAnsi="仿宋" w:eastAsia="仿宋" w:cs="仿宋"/>
                <w:b/>
                <w:bCs/>
                <w:color w:val="auto"/>
                <w:kern w:val="0"/>
                <w:sz w:val="44"/>
                <w:szCs w:val="44"/>
                <w:lang w:val="zh-CN" w:eastAsia="zh-CN" w:bidi="zh-CN"/>
              </w:rPr>
              <w:t>国有资本经营预算支出预算表</w:t>
            </w:r>
          </w:p>
        </w:tc>
      </w:tr>
      <w:tr>
        <w:tblPrEx>
          <w:tblLayout w:type="fixed"/>
          <w:tblCellMar>
            <w:top w:w="0" w:type="dxa"/>
            <w:left w:w="108" w:type="dxa"/>
            <w:bottom w:w="0" w:type="dxa"/>
            <w:right w:w="108" w:type="dxa"/>
          </w:tblCellMar>
        </w:tblPrEx>
        <w:trPr>
          <w:cantSplit/>
          <w:trHeight w:val="319" w:hRule="atLeast"/>
          <w:jc w:val="center"/>
        </w:trPr>
        <w:tc>
          <w:tcPr>
            <w:tcW w:w="11604" w:type="dxa"/>
            <w:gridSpan w:val="4"/>
            <w:tcBorders>
              <w:top w:val="nil"/>
              <w:left w:val="nil"/>
              <w:bottom w:val="single" w:color="auto" w:sz="4" w:space="0"/>
              <w:right w:val="nil"/>
            </w:tcBorders>
            <w:shd w:val="clear" w:color="auto" w:fill="auto"/>
            <w:vAlign w:val="center"/>
          </w:tcPr>
          <w:p>
            <w:pPr>
              <w:widowControl/>
              <w:jc w:val="left"/>
              <w:rPr>
                <w:rFonts w:hint="eastAsia" w:ascii="仿宋" w:hAnsi="仿宋" w:eastAsia="仿宋" w:cs="仿宋"/>
                <w:color w:val="auto"/>
                <w:kern w:val="0"/>
                <w:sz w:val="22"/>
                <w:szCs w:val="22"/>
                <w:lang w:val="zh-CN" w:eastAsia="zh-CN" w:bidi="zh-CN"/>
              </w:rPr>
            </w:pPr>
            <w:r>
              <w:rPr>
                <w:rFonts w:hint="eastAsia" w:ascii="仿宋" w:hAnsi="仿宋" w:eastAsia="仿宋" w:cs="仿宋"/>
                <w:color w:val="000000"/>
                <w:sz w:val="22"/>
                <w:szCs w:val="22"/>
                <w:lang w:eastAsia="zh-CN"/>
              </w:rPr>
              <w:t>单位</w:t>
            </w:r>
            <w:r>
              <w:rPr>
                <w:rFonts w:ascii="仿宋" w:hAnsi="仿宋" w:eastAsia="仿宋" w:cs="仿宋"/>
                <w:color w:val="000000"/>
                <w:sz w:val="22"/>
              </w:rPr>
              <w:t>：</w:t>
            </w:r>
            <w:r>
              <w:rPr>
                <w:rFonts w:hint="eastAsia" w:ascii="仿宋" w:hAnsi="仿宋" w:eastAsia="仿宋" w:cs="仿宋"/>
              </w:rPr>
              <w:t>江苏省伤残人康复中心</w:t>
            </w:r>
          </w:p>
        </w:tc>
        <w:tc>
          <w:tcPr>
            <w:tcW w:w="3091" w:type="dxa"/>
            <w:tcBorders>
              <w:top w:val="nil"/>
              <w:left w:val="nil"/>
              <w:bottom w:val="nil"/>
              <w:right w:val="nil"/>
            </w:tcBorders>
            <w:shd w:val="clear" w:color="auto" w:fill="auto"/>
            <w:vAlign w:val="center"/>
          </w:tcPr>
          <w:p>
            <w:pPr>
              <w:widowControl/>
              <w:jc w:val="righ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单位：万元</w:t>
            </w:r>
          </w:p>
        </w:tc>
      </w:tr>
      <w:tr>
        <w:tblPrEx>
          <w:tblLayout w:type="fixed"/>
          <w:tblCellMar>
            <w:top w:w="0" w:type="dxa"/>
            <w:left w:w="108" w:type="dxa"/>
            <w:bottom w:w="0" w:type="dxa"/>
            <w:right w:w="108" w:type="dxa"/>
          </w:tblCellMar>
        </w:tblPrEx>
        <w:trPr>
          <w:cantSplit/>
          <w:trHeight w:val="143" w:hRule="atLeast"/>
          <w:jc w:val="center"/>
        </w:trPr>
        <w:tc>
          <w:tcPr>
            <w:tcW w:w="5399"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项    目</w:t>
            </w:r>
          </w:p>
        </w:tc>
        <w:tc>
          <w:tcPr>
            <w:tcW w:w="3111"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本年支出合计</w:t>
            </w:r>
          </w:p>
        </w:tc>
        <w:tc>
          <w:tcPr>
            <w:tcW w:w="3094"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 xml:space="preserve">基本支出  </w:t>
            </w:r>
          </w:p>
        </w:tc>
        <w:tc>
          <w:tcPr>
            <w:tcW w:w="3091"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项目支出</w:t>
            </w:r>
          </w:p>
        </w:tc>
      </w:tr>
      <w:tr>
        <w:tblPrEx>
          <w:tblLayout w:type="fixed"/>
          <w:tblCellMar>
            <w:top w:w="0" w:type="dxa"/>
            <w:left w:w="108" w:type="dxa"/>
            <w:bottom w:w="0" w:type="dxa"/>
            <w:right w:w="108" w:type="dxa"/>
          </w:tblCellMar>
        </w:tblPrEx>
        <w:trPr>
          <w:cantSplit/>
          <w:trHeight w:val="201" w:hRule="atLeast"/>
          <w:jc w:val="center"/>
        </w:trPr>
        <w:tc>
          <w:tcPr>
            <w:tcW w:w="1596" w:type="dxa"/>
            <w:tcBorders>
              <w:top w:val="nil"/>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功能分类</w:t>
            </w:r>
          </w:p>
          <w:p>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科目编码</w:t>
            </w:r>
          </w:p>
        </w:tc>
        <w:tc>
          <w:tcPr>
            <w:tcW w:w="3803"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科目名称</w:t>
            </w:r>
          </w:p>
        </w:tc>
        <w:tc>
          <w:tcPr>
            <w:tcW w:w="3111"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4" w:lineRule="atLeast"/>
              <w:jc w:val="left"/>
              <w:textAlignment w:val="auto"/>
              <w:rPr>
                <w:rFonts w:hint="eastAsia" w:ascii="仿宋" w:hAnsi="仿宋" w:eastAsia="仿宋" w:cs="仿宋"/>
                <w:color w:val="auto"/>
                <w:kern w:val="0"/>
                <w:sz w:val="22"/>
                <w:szCs w:val="22"/>
                <w:lang w:val="zh-CN" w:eastAsia="zh-CN" w:bidi="zh-CN"/>
              </w:rPr>
            </w:pPr>
          </w:p>
        </w:tc>
        <w:tc>
          <w:tcPr>
            <w:tcW w:w="3094"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4" w:lineRule="atLeast"/>
              <w:jc w:val="left"/>
              <w:textAlignment w:val="auto"/>
              <w:rPr>
                <w:rFonts w:hint="eastAsia" w:ascii="仿宋" w:hAnsi="仿宋" w:eastAsia="仿宋" w:cs="仿宋"/>
                <w:color w:val="auto"/>
                <w:kern w:val="0"/>
                <w:sz w:val="22"/>
                <w:szCs w:val="22"/>
                <w:lang w:val="zh-CN" w:eastAsia="zh-CN" w:bidi="zh-CN"/>
              </w:rPr>
            </w:pPr>
          </w:p>
        </w:tc>
        <w:tc>
          <w:tcPr>
            <w:tcW w:w="3091"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4" w:lineRule="atLeast"/>
              <w:jc w:val="left"/>
              <w:textAlignment w:val="auto"/>
              <w:rPr>
                <w:rFonts w:hint="eastAsia" w:ascii="仿宋" w:hAnsi="仿宋" w:eastAsia="仿宋" w:cs="仿宋"/>
                <w:color w:val="auto"/>
                <w:kern w:val="0"/>
                <w:sz w:val="22"/>
                <w:szCs w:val="22"/>
                <w:lang w:val="zh-CN" w:eastAsia="zh-CN" w:bidi="zh-CN"/>
              </w:rPr>
            </w:pPr>
          </w:p>
        </w:tc>
      </w:tr>
      <w:tr>
        <w:tblPrEx>
          <w:tblLayout w:type="fixed"/>
          <w:tblCellMar>
            <w:top w:w="0" w:type="dxa"/>
            <w:left w:w="108" w:type="dxa"/>
            <w:bottom w:w="0" w:type="dxa"/>
            <w:right w:w="108" w:type="dxa"/>
          </w:tblCellMar>
        </w:tblPrEx>
        <w:trPr>
          <w:cantSplit/>
          <w:trHeight w:val="90" w:hRule="atLeast"/>
          <w:jc w:val="center"/>
        </w:trPr>
        <w:tc>
          <w:tcPr>
            <w:tcW w:w="5399"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栏次</w:t>
            </w:r>
          </w:p>
        </w:tc>
        <w:tc>
          <w:tcPr>
            <w:tcW w:w="311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1</w:t>
            </w:r>
          </w:p>
        </w:tc>
        <w:tc>
          <w:tcPr>
            <w:tcW w:w="309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2</w:t>
            </w:r>
          </w:p>
        </w:tc>
        <w:tc>
          <w:tcPr>
            <w:tcW w:w="309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3</w:t>
            </w:r>
          </w:p>
        </w:tc>
      </w:tr>
      <w:tr>
        <w:tblPrEx>
          <w:tblLayout w:type="fixed"/>
          <w:tblCellMar>
            <w:top w:w="0" w:type="dxa"/>
            <w:left w:w="108" w:type="dxa"/>
            <w:bottom w:w="0" w:type="dxa"/>
            <w:right w:w="108" w:type="dxa"/>
          </w:tblCellMar>
        </w:tblPrEx>
        <w:trPr>
          <w:cantSplit/>
          <w:trHeight w:val="246" w:hRule="atLeast"/>
          <w:jc w:val="center"/>
        </w:trPr>
        <w:tc>
          <w:tcPr>
            <w:tcW w:w="5399"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合计</w:t>
            </w:r>
          </w:p>
        </w:tc>
        <w:tc>
          <w:tcPr>
            <w:tcW w:w="311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right"/>
              <w:textAlignment w:val="auto"/>
              <w:rPr>
                <w:rFonts w:hint="eastAsia" w:ascii="仿宋" w:hAnsi="仿宋" w:eastAsia="仿宋" w:cs="仿宋"/>
                <w:color w:val="auto"/>
                <w:kern w:val="0"/>
                <w:sz w:val="22"/>
                <w:szCs w:val="22"/>
                <w:lang w:val="zh-CN" w:eastAsia="zh-CN" w:bidi="zh-CN"/>
              </w:rPr>
            </w:pPr>
          </w:p>
        </w:tc>
        <w:tc>
          <w:tcPr>
            <w:tcW w:w="309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right"/>
              <w:textAlignment w:val="auto"/>
              <w:rPr>
                <w:rFonts w:hint="eastAsia" w:ascii="仿宋" w:hAnsi="仿宋" w:eastAsia="仿宋" w:cs="仿宋"/>
                <w:color w:val="auto"/>
                <w:kern w:val="0"/>
                <w:sz w:val="22"/>
                <w:szCs w:val="22"/>
                <w:lang w:val="zh-CN" w:eastAsia="zh-CN" w:bidi="zh-CN"/>
              </w:rPr>
            </w:pPr>
          </w:p>
        </w:tc>
        <w:tc>
          <w:tcPr>
            <w:tcW w:w="309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right"/>
              <w:textAlignment w:val="auto"/>
              <w:rPr>
                <w:rFonts w:hint="eastAsia" w:ascii="仿宋" w:hAnsi="仿宋" w:eastAsia="仿宋" w:cs="仿宋"/>
                <w:color w:val="auto"/>
                <w:kern w:val="0"/>
                <w:sz w:val="22"/>
                <w:szCs w:val="22"/>
                <w:lang w:val="zh-CN" w:eastAsia="zh-CN" w:bidi="zh-CN"/>
              </w:rPr>
            </w:pPr>
          </w:p>
        </w:tc>
      </w:tr>
      <w:tr>
        <w:tblPrEx>
          <w:tblLayout w:type="fixed"/>
          <w:tblCellMar>
            <w:top w:w="0" w:type="dxa"/>
            <w:left w:w="108" w:type="dxa"/>
            <w:bottom w:w="0" w:type="dxa"/>
            <w:right w:w="108" w:type="dxa"/>
          </w:tblCellMar>
        </w:tblPrEx>
        <w:trPr>
          <w:cantSplit/>
          <w:trHeight w:val="90" w:hRule="atLeast"/>
          <w:jc w:val="center"/>
        </w:trPr>
        <w:tc>
          <w:tcPr>
            <w:tcW w:w="159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left"/>
              <w:textAlignment w:val="auto"/>
              <w:rPr>
                <w:rFonts w:hint="eastAsia" w:ascii="仿宋" w:hAnsi="仿宋" w:eastAsia="仿宋" w:cs="仿宋"/>
                <w:sz w:val="22"/>
                <w:szCs w:val="22"/>
              </w:rPr>
            </w:pPr>
          </w:p>
        </w:tc>
        <w:tc>
          <w:tcPr>
            <w:tcW w:w="3803"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left"/>
              <w:textAlignment w:val="auto"/>
              <w:rPr>
                <w:rFonts w:hint="eastAsia" w:ascii="仿宋" w:hAnsi="仿宋" w:eastAsia="仿宋" w:cs="仿宋"/>
                <w:sz w:val="22"/>
                <w:szCs w:val="22"/>
              </w:rPr>
            </w:pPr>
          </w:p>
        </w:tc>
        <w:tc>
          <w:tcPr>
            <w:tcW w:w="311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right"/>
              <w:textAlignment w:val="auto"/>
              <w:rPr>
                <w:rFonts w:hint="eastAsia" w:ascii="仿宋" w:hAnsi="仿宋" w:eastAsia="仿宋" w:cs="仿宋"/>
                <w:color w:val="auto"/>
                <w:kern w:val="0"/>
                <w:sz w:val="22"/>
                <w:szCs w:val="22"/>
                <w:lang w:val="zh-CN" w:eastAsia="zh-CN" w:bidi="zh-CN"/>
              </w:rPr>
            </w:pPr>
          </w:p>
        </w:tc>
        <w:tc>
          <w:tcPr>
            <w:tcW w:w="309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right"/>
              <w:textAlignment w:val="auto"/>
              <w:rPr>
                <w:rFonts w:hint="eastAsia" w:ascii="仿宋" w:hAnsi="仿宋" w:eastAsia="仿宋" w:cs="仿宋"/>
                <w:color w:val="auto"/>
                <w:kern w:val="0"/>
                <w:sz w:val="22"/>
                <w:szCs w:val="22"/>
                <w:lang w:val="zh-CN" w:eastAsia="zh-CN" w:bidi="zh-CN"/>
              </w:rPr>
            </w:pPr>
          </w:p>
        </w:tc>
        <w:tc>
          <w:tcPr>
            <w:tcW w:w="309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right"/>
              <w:textAlignment w:val="auto"/>
              <w:rPr>
                <w:rFonts w:hint="eastAsia" w:ascii="仿宋" w:hAnsi="仿宋" w:eastAsia="仿宋" w:cs="仿宋"/>
                <w:color w:val="auto"/>
                <w:kern w:val="0"/>
                <w:sz w:val="22"/>
                <w:szCs w:val="22"/>
                <w:lang w:val="zh-CN" w:eastAsia="zh-CN" w:bidi="zh-CN"/>
              </w:rPr>
            </w:pPr>
          </w:p>
        </w:tc>
      </w:tr>
      <w:tr>
        <w:tblPrEx>
          <w:tblLayout w:type="fixed"/>
          <w:tblCellMar>
            <w:top w:w="0" w:type="dxa"/>
            <w:left w:w="108" w:type="dxa"/>
            <w:bottom w:w="0" w:type="dxa"/>
            <w:right w:w="108" w:type="dxa"/>
          </w:tblCellMar>
        </w:tblPrEx>
        <w:trPr>
          <w:cantSplit/>
          <w:trHeight w:val="90" w:hRule="atLeast"/>
          <w:jc w:val="center"/>
        </w:trPr>
        <w:tc>
          <w:tcPr>
            <w:tcW w:w="159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left"/>
              <w:textAlignment w:val="auto"/>
              <w:rPr>
                <w:rFonts w:hint="eastAsia" w:ascii="仿宋" w:hAnsi="仿宋" w:eastAsia="仿宋" w:cs="仿宋"/>
                <w:sz w:val="22"/>
                <w:szCs w:val="22"/>
              </w:rPr>
            </w:pPr>
          </w:p>
        </w:tc>
        <w:tc>
          <w:tcPr>
            <w:tcW w:w="3803"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left"/>
              <w:textAlignment w:val="auto"/>
              <w:rPr>
                <w:rFonts w:hint="eastAsia" w:ascii="仿宋" w:hAnsi="仿宋" w:eastAsia="仿宋" w:cs="仿宋"/>
                <w:sz w:val="22"/>
                <w:szCs w:val="22"/>
              </w:rPr>
            </w:pPr>
          </w:p>
        </w:tc>
        <w:tc>
          <w:tcPr>
            <w:tcW w:w="311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right"/>
              <w:textAlignment w:val="auto"/>
              <w:rPr>
                <w:rFonts w:hint="eastAsia" w:ascii="仿宋" w:hAnsi="仿宋" w:eastAsia="仿宋" w:cs="仿宋"/>
                <w:color w:val="auto"/>
                <w:kern w:val="0"/>
                <w:sz w:val="22"/>
                <w:szCs w:val="22"/>
                <w:lang w:val="zh-CN" w:eastAsia="zh-CN" w:bidi="zh-CN"/>
              </w:rPr>
            </w:pPr>
          </w:p>
        </w:tc>
        <w:tc>
          <w:tcPr>
            <w:tcW w:w="309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right"/>
              <w:textAlignment w:val="auto"/>
              <w:rPr>
                <w:rFonts w:hint="eastAsia" w:ascii="仿宋" w:hAnsi="仿宋" w:eastAsia="仿宋" w:cs="仿宋"/>
                <w:color w:val="auto"/>
                <w:kern w:val="0"/>
                <w:sz w:val="22"/>
                <w:szCs w:val="22"/>
                <w:lang w:val="zh-CN" w:eastAsia="zh-CN" w:bidi="zh-CN"/>
              </w:rPr>
            </w:pPr>
          </w:p>
        </w:tc>
        <w:tc>
          <w:tcPr>
            <w:tcW w:w="309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right"/>
              <w:textAlignment w:val="auto"/>
              <w:rPr>
                <w:rFonts w:hint="eastAsia" w:ascii="仿宋" w:hAnsi="仿宋" w:eastAsia="仿宋" w:cs="仿宋"/>
                <w:color w:val="auto"/>
                <w:kern w:val="0"/>
                <w:sz w:val="22"/>
                <w:szCs w:val="22"/>
                <w:lang w:val="zh-CN" w:eastAsia="zh-CN" w:bidi="zh-CN"/>
              </w:rPr>
            </w:pPr>
          </w:p>
        </w:tc>
      </w:tr>
    </w:tbl>
    <w:p>
      <w:pPr>
        <w:numPr>
          <w:ilvl w:val="0"/>
          <w:numId w:val="0"/>
        </w:numPr>
        <w:spacing w:before="25" w:after="0"/>
        <w:ind w:firstLine="442" w:firstLineChars="200"/>
        <w:rPr>
          <w:rFonts w:hint="default" w:ascii="仿宋" w:hAnsi="仿宋" w:eastAsia="仿宋" w:cs="仿宋"/>
          <w:b/>
          <w:bCs/>
          <w:sz w:val="22"/>
          <w:szCs w:val="22"/>
          <w:lang w:val="en-US" w:eastAsia="zh-CN"/>
        </w:rPr>
      </w:pPr>
      <w:r>
        <w:rPr>
          <w:rFonts w:ascii="仿宋" w:hAnsi="仿宋" w:eastAsia="仿宋" w:cs="仿宋"/>
          <w:b/>
          <w:sz w:val="22"/>
        </w:rPr>
        <w:t>注：本单位无</w:t>
      </w:r>
      <w:r>
        <w:rPr>
          <w:rFonts w:hint="eastAsia" w:ascii="仿宋" w:hAnsi="仿宋" w:eastAsia="仿宋" w:cs="仿宋"/>
          <w:b/>
          <w:bCs/>
          <w:sz w:val="22"/>
          <w:szCs w:val="22"/>
          <w:lang w:val="zh-CN" w:eastAsia="zh-CN"/>
        </w:rPr>
        <w:t>国有资本经营预算支出</w:t>
      </w:r>
      <w:r>
        <w:rPr>
          <w:rFonts w:hint="eastAsia" w:ascii="仿宋" w:hAnsi="仿宋" w:eastAsia="仿宋" w:cs="仿宋"/>
          <w:b/>
          <w:bCs/>
          <w:sz w:val="22"/>
          <w:szCs w:val="22"/>
          <w:lang w:val="en-US" w:eastAsia="zh-CN"/>
        </w:rPr>
        <w:t>，故本表无数据。</w:t>
      </w:r>
    </w:p>
    <w:p>
      <w:pPr>
        <w:widowControl w:val="0"/>
        <w:numPr>
          <w:ilvl w:val="0"/>
          <w:numId w:val="0"/>
        </w:numPr>
        <w:suppressAutoHyphens/>
        <w:bidi w:val="0"/>
        <w:spacing w:before="25" w:after="0"/>
        <w:jc w:val="left"/>
        <w:rPr>
          <w:rFonts w:hint="default" w:ascii="仿宋" w:hAnsi="仿宋" w:eastAsia="仿宋" w:cs="仿宋"/>
          <w:b/>
          <w:bCs/>
          <w:sz w:val="22"/>
          <w:szCs w:val="22"/>
          <w:lang w:val="en-US" w:eastAsia="zh-CN"/>
        </w:rPr>
        <w:sectPr>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0235" w:type="dxa"/>
        <w:tblInd w:w="-403" w:type="dxa"/>
        <w:tblLayout w:type="fixed"/>
        <w:tblCellMar>
          <w:top w:w="55" w:type="dxa"/>
          <w:left w:w="55" w:type="dxa"/>
          <w:bottom w:w="55" w:type="dxa"/>
          <w:right w:w="55" w:type="dxa"/>
        </w:tblCellMar>
      </w:tblPr>
      <w:tblGrid>
        <w:gridCol w:w="3088"/>
        <w:gridCol w:w="2876"/>
        <w:gridCol w:w="1920"/>
        <w:gridCol w:w="2351"/>
      </w:tblGrid>
      <w:tr>
        <w:tblPrEx>
          <w:tblLayout w:type="fixed"/>
          <w:tblCellMar>
            <w:top w:w="55" w:type="dxa"/>
            <w:left w:w="55" w:type="dxa"/>
            <w:bottom w:w="55" w:type="dxa"/>
            <w:right w:w="55" w:type="dxa"/>
          </w:tblCellMar>
        </w:tblPrEx>
        <w:trPr>
          <w:cantSplit/>
          <w:trHeight w:val="319" w:hRule="atLeast"/>
        </w:trPr>
        <w:tc>
          <w:tcPr>
            <w:tcW w:w="10235" w:type="dxa"/>
            <w:gridSpan w:val="4"/>
          </w:tcPr>
          <w:p>
            <w:pPr>
              <w:pStyle w:val="22"/>
              <w:widowControl w:val="0"/>
              <w:tabs>
                <w:tab w:val="left" w:pos="610"/>
              </w:tabs>
              <w:spacing w:before="28" w:after="0"/>
              <w:ind w:left="8" w:firstLine="0"/>
              <w:jc w:val="left"/>
              <w:rPr>
                <w:rFonts w:hint="eastAsia" w:ascii="仿宋" w:hAnsi="仿宋" w:eastAsia="仿宋" w:cs="仿宋"/>
                <w:b/>
                <w:bCs/>
                <w:sz w:val="44"/>
                <w:szCs w:val="44"/>
              </w:rPr>
            </w:pPr>
            <w:r>
              <w:rPr>
                <w:rFonts w:hint="eastAsia" w:ascii="仿宋" w:hAnsi="仿宋" w:eastAsia="仿宋" w:cs="仿宋"/>
              </w:rPr>
              <w:t>公开1</w:t>
            </w:r>
            <w:r>
              <w:rPr>
                <w:rFonts w:hint="eastAsia" w:ascii="仿宋" w:hAnsi="仿宋" w:eastAsia="仿宋" w:cs="仿宋"/>
                <w:lang w:val="en-US" w:eastAsia="zh-CN"/>
              </w:rPr>
              <w:t>2</w:t>
            </w:r>
            <w:r>
              <w:rPr>
                <w:rFonts w:hint="eastAsia" w:ascii="仿宋" w:hAnsi="仿宋" w:eastAsia="仿宋" w:cs="仿宋"/>
              </w:rPr>
              <w:t>表</w:t>
            </w:r>
          </w:p>
        </w:tc>
      </w:tr>
      <w:tr>
        <w:tblPrEx>
          <w:tblLayout w:type="fixed"/>
          <w:tblCellMar>
            <w:top w:w="55" w:type="dxa"/>
            <w:left w:w="55" w:type="dxa"/>
            <w:bottom w:w="55" w:type="dxa"/>
            <w:right w:w="55" w:type="dxa"/>
          </w:tblCellMar>
        </w:tblPrEx>
        <w:trPr>
          <w:cantSplit/>
          <w:trHeight w:val="90" w:hRule="atLeast"/>
        </w:trPr>
        <w:tc>
          <w:tcPr>
            <w:tcW w:w="10235" w:type="dxa"/>
            <w:gridSpan w:val="4"/>
          </w:tcPr>
          <w:p>
            <w:pPr>
              <w:pStyle w:val="22"/>
              <w:widowControl w:val="0"/>
              <w:jc w:val="center"/>
              <w:rPr>
                <w:rFonts w:hint="eastAsia" w:ascii="仿宋" w:hAnsi="仿宋" w:eastAsia="仿宋" w:cs="仿宋"/>
              </w:rPr>
            </w:pPr>
            <w:r>
              <w:rPr>
                <w:rFonts w:hint="eastAsia" w:ascii="仿宋" w:hAnsi="仿宋" w:eastAsia="仿宋" w:cs="仿宋"/>
                <w:b/>
                <w:bCs/>
                <w:sz w:val="44"/>
                <w:szCs w:val="44"/>
              </w:rPr>
              <w:t>一般公共预算机关运行经费支出预算表</w:t>
            </w:r>
          </w:p>
        </w:tc>
      </w:tr>
      <w:tr>
        <w:tblPrEx>
          <w:tblLayout w:type="fixed"/>
          <w:tblCellMar>
            <w:top w:w="55" w:type="dxa"/>
            <w:left w:w="55" w:type="dxa"/>
            <w:bottom w:w="55" w:type="dxa"/>
            <w:right w:w="55" w:type="dxa"/>
          </w:tblCellMar>
        </w:tblPrEx>
        <w:trPr>
          <w:cantSplit/>
          <w:trHeight w:val="90" w:hRule="atLeast"/>
        </w:trPr>
        <w:tc>
          <w:tcPr>
            <w:tcW w:w="7884" w:type="dxa"/>
            <w:gridSpan w:val="3"/>
            <w:tcBorders>
              <w:bottom w:val="single" w:color="auto" w:sz="4" w:space="0"/>
            </w:tcBorders>
            <w:vAlign w:val="center"/>
          </w:tcPr>
          <w:p>
            <w:pPr>
              <w:pStyle w:val="22"/>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w:t>
            </w:r>
            <w:r>
              <w:rPr>
                <w:rFonts w:hint="eastAsia" w:ascii="仿宋" w:hAnsi="仿宋" w:eastAsia="仿宋" w:cs="仿宋"/>
              </w:rPr>
              <w:t>江苏省伤残人康复中心</w:t>
            </w:r>
          </w:p>
        </w:tc>
        <w:tc>
          <w:tcPr>
            <w:tcW w:w="2351" w:type="dxa"/>
            <w:tcBorders>
              <w:bottom w:val="single" w:color="auto" w:sz="4" w:space="0"/>
            </w:tcBorders>
            <w:vAlign w:val="center"/>
          </w:tcPr>
          <w:p>
            <w:pPr>
              <w:pStyle w:val="22"/>
              <w:widowControl w:val="0"/>
              <w:jc w:val="right"/>
              <w:rPr>
                <w:rFonts w:hint="eastAsia" w:ascii="仿宋" w:hAnsi="仿宋" w:eastAsia="仿宋" w:cs="仿宋"/>
                <w:sz w:val="27"/>
              </w:rPr>
            </w:pPr>
            <w:r>
              <w:rPr>
                <w:rFonts w:hint="eastAsia" w:ascii="仿宋" w:hAnsi="仿宋" w:eastAsia="仿宋" w:cs="仿宋"/>
                <w:lang w:eastAsia="zh-CN"/>
              </w:rPr>
              <w:t>单位</w:t>
            </w:r>
            <w:r>
              <w:rPr>
                <w:rFonts w:hint="eastAsia" w:ascii="仿宋" w:hAnsi="仿宋" w:eastAsia="仿宋" w:cs="仿宋"/>
              </w:rPr>
              <w:t>：万元</w:t>
            </w:r>
          </w:p>
        </w:tc>
      </w:tr>
      <w:tr>
        <w:tblPrEx>
          <w:tblLayout w:type="fixed"/>
          <w:tblCellMar>
            <w:top w:w="55" w:type="dxa"/>
            <w:left w:w="55" w:type="dxa"/>
            <w:bottom w:w="55" w:type="dxa"/>
            <w:right w:w="55" w:type="dxa"/>
          </w:tblCellMar>
        </w:tblPrEx>
        <w:trPr>
          <w:cantSplit/>
          <w:trHeight w:val="163" w:hRule="atLeast"/>
        </w:trPr>
        <w:tc>
          <w:tcPr>
            <w:tcW w:w="3088" w:type="dxa"/>
            <w:tcBorders>
              <w:top w:val="single" w:color="auto" w:sz="4" w:space="0"/>
              <w:left w:val="single" w:color="auto" w:sz="4" w:space="0"/>
              <w:bottom w:val="single" w:color="auto"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科目编码</w:t>
            </w:r>
          </w:p>
        </w:tc>
        <w:tc>
          <w:tcPr>
            <w:tcW w:w="2876"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科目名称</w:t>
            </w:r>
          </w:p>
        </w:tc>
        <w:tc>
          <w:tcPr>
            <w:tcW w:w="4271" w:type="dxa"/>
            <w:gridSpan w:val="2"/>
            <w:tcBorders>
              <w:top w:val="single" w:color="auto" w:sz="4" w:space="0"/>
              <w:left w:val="single" w:color="000000" w:sz="4" w:space="0"/>
              <w:bottom w:val="single" w:color="auto" w:sz="4" w:space="0"/>
              <w:right w:val="single" w:color="auto" w:sz="4" w:space="0"/>
            </w:tcBorders>
          </w:tcPr>
          <w:p>
            <w:pPr>
              <w:widowControl w:val="0"/>
              <w:jc w:val="center"/>
              <w:rPr>
                <w:rFonts w:hint="eastAsia" w:ascii="仿宋" w:hAnsi="仿宋" w:eastAsia="仿宋" w:cs="仿宋"/>
                <w:sz w:val="22"/>
                <w:szCs w:val="22"/>
              </w:rPr>
            </w:pPr>
            <w:r>
              <w:rPr>
                <w:rFonts w:hint="eastAsia" w:ascii="仿宋" w:hAnsi="仿宋" w:eastAsia="仿宋" w:cs="仿宋"/>
                <w:sz w:val="22"/>
                <w:szCs w:val="22"/>
              </w:rPr>
              <w:t>机关运行经费支出</w:t>
            </w:r>
          </w:p>
        </w:tc>
      </w:tr>
      <w:tr>
        <w:tblPrEx>
          <w:tblLayout w:type="fixed"/>
          <w:tblCellMar>
            <w:top w:w="55" w:type="dxa"/>
            <w:left w:w="55" w:type="dxa"/>
            <w:bottom w:w="55" w:type="dxa"/>
            <w:right w:w="55" w:type="dxa"/>
          </w:tblCellMar>
        </w:tblPrEx>
        <w:trPr>
          <w:cantSplit/>
          <w:trHeight w:val="90" w:hRule="atLeast"/>
        </w:trPr>
        <w:tc>
          <w:tcPr>
            <w:tcW w:w="5964" w:type="dxa"/>
            <w:gridSpan w:val="2"/>
            <w:tcBorders>
              <w:top w:val="single" w:color="000000" w:sz="4" w:space="0"/>
              <w:left w:val="single" w:color="auto" w:sz="4" w:space="0"/>
              <w:bottom w:val="single" w:color="auto" w:sz="4" w:space="0"/>
              <w:right w:val="single" w:color="000000" w:sz="4" w:space="0"/>
            </w:tcBorders>
            <w:vAlign w:val="top"/>
          </w:tcPr>
          <w:p>
            <w:pPr>
              <w:pStyle w:val="22"/>
              <w:widowControl w:val="0"/>
              <w:jc w:val="center"/>
              <w:rPr>
                <w:rFonts w:hint="default" w:ascii="仿宋" w:hAnsi="仿宋" w:eastAsia="仿宋" w:cs="仿宋"/>
                <w:sz w:val="22"/>
                <w:szCs w:val="22"/>
                <w:lang w:val="en-US" w:eastAsia="zh-CN"/>
              </w:rPr>
            </w:pPr>
            <w:r>
              <w:rPr>
                <w:rFonts w:hint="eastAsia" w:ascii="仿宋" w:hAnsi="仿宋" w:eastAsia="仿宋" w:cs="仿宋"/>
                <w:sz w:val="22"/>
                <w:szCs w:val="22"/>
                <w:lang w:val="en-US" w:eastAsia="zh-CN"/>
              </w:rPr>
              <w:t>合计</w:t>
            </w:r>
          </w:p>
        </w:tc>
        <w:tc>
          <w:tcPr>
            <w:tcW w:w="4271" w:type="dxa"/>
            <w:gridSpan w:val="2"/>
            <w:tcBorders>
              <w:top w:val="single" w:color="000000"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31" w:hRule="atLeast"/>
        </w:trPr>
        <w:tc>
          <w:tcPr>
            <w:tcW w:w="3088" w:type="dxa"/>
            <w:tcBorders>
              <w:top w:val="single" w:color="000000" w:sz="4" w:space="0"/>
              <w:left w:val="single" w:color="auto" w:sz="4" w:space="0"/>
              <w:bottom w:val="single" w:color="auto" w:sz="4" w:space="0"/>
              <w:right w:val="single" w:color="000000" w:sz="4" w:space="0"/>
            </w:tcBorders>
            <w:vAlign w:val="top"/>
          </w:tcPr>
          <w:p>
            <w:pPr>
              <w:pStyle w:val="22"/>
              <w:widowControl w:val="0"/>
              <w:jc w:val="left"/>
              <w:rPr>
                <w:rFonts w:hint="eastAsia" w:ascii="仿宋" w:hAnsi="仿宋" w:eastAsia="仿宋" w:cs="仿宋"/>
                <w:sz w:val="22"/>
                <w:szCs w:val="22"/>
              </w:rPr>
            </w:pPr>
          </w:p>
        </w:tc>
        <w:tc>
          <w:tcPr>
            <w:tcW w:w="2876" w:type="dxa"/>
            <w:tcBorders>
              <w:top w:val="single" w:color="000000" w:sz="4" w:space="0"/>
              <w:left w:val="single" w:color="000000" w:sz="4" w:space="0"/>
              <w:bottom w:val="single" w:color="auto" w:sz="4" w:space="0"/>
              <w:right w:val="single" w:color="000000" w:sz="4" w:space="0"/>
            </w:tcBorders>
          </w:tcPr>
          <w:p>
            <w:pPr>
              <w:pStyle w:val="22"/>
              <w:widowControl w:val="0"/>
              <w:jc w:val="left"/>
              <w:rPr>
                <w:rFonts w:hint="eastAsia" w:ascii="仿宋" w:hAnsi="仿宋" w:eastAsia="仿宋" w:cs="仿宋"/>
                <w:sz w:val="22"/>
                <w:szCs w:val="22"/>
              </w:rPr>
            </w:pPr>
          </w:p>
        </w:tc>
        <w:tc>
          <w:tcPr>
            <w:tcW w:w="4271" w:type="dxa"/>
            <w:gridSpan w:val="2"/>
            <w:tcBorders>
              <w:top w:val="single" w:color="000000"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31" w:hRule="atLeast"/>
        </w:trPr>
        <w:tc>
          <w:tcPr>
            <w:tcW w:w="3088" w:type="dxa"/>
            <w:tcBorders>
              <w:top w:val="single" w:color="000000" w:sz="4" w:space="0"/>
              <w:left w:val="single" w:color="auto" w:sz="4" w:space="0"/>
              <w:bottom w:val="single" w:color="auto" w:sz="4" w:space="0"/>
              <w:right w:val="single" w:color="000000" w:sz="4" w:space="0"/>
            </w:tcBorders>
            <w:vAlign w:val="top"/>
          </w:tcPr>
          <w:p>
            <w:pPr>
              <w:pStyle w:val="22"/>
              <w:widowControl w:val="0"/>
              <w:jc w:val="left"/>
              <w:rPr>
                <w:rFonts w:hint="eastAsia" w:ascii="仿宋" w:hAnsi="仿宋" w:eastAsia="仿宋" w:cs="仿宋"/>
                <w:sz w:val="22"/>
                <w:szCs w:val="22"/>
              </w:rPr>
            </w:pPr>
          </w:p>
        </w:tc>
        <w:tc>
          <w:tcPr>
            <w:tcW w:w="2876" w:type="dxa"/>
            <w:tcBorders>
              <w:top w:val="single" w:color="000000" w:sz="4" w:space="0"/>
              <w:left w:val="single" w:color="000000" w:sz="4" w:space="0"/>
              <w:bottom w:val="single" w:color="auto" w:sz="4" w:space="0"/>
              <w:right w:val="single" w:color="000000" w:sz="4" w:space="0"/>
            </w:tcBorders>
          </w:tcPr>
          <w:p>
            <w:pPr>
              <w:pStyle w:val="22"/>
              <w:widowControl w:val="0"/>
              <w:jc w:val="left"/>
              <w:rPr>
                <w:rFonts w:hint="eastAsia" w:ascii="仿宋" w:hAnsi="仿宋" w:eastAsia="仿宋" w:cs="仿宋"/>
                <w:sz w:val="22"/>
                <w:szCs w:val="22"/>
              </w:rPr>
            </w:pPr>
          </w:p>
        </w:tc>
        <w:tc>
          <w:tcPr>
            <w:tcW w:w="4271" w:type="dxa"/>
            <w:gridSpan w:val="2"/>
            <w:tcBorders>
              <w:top w:val="single" w:color="000000"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sz w:val="22"/>
                <w:szCs w:val="22"/>
              </w:rPr>
            </w:pPr>
          </w:p>
        </w:tc>
      </w:tr>
    </w:tbl>
    <w:p>
      <w:pPr>
        <w:numPr>
          <w:ilvl w:val="0"/>
          <w:numId w:val="0"/>
        </w:numPr>
        <w:tabs>
          <w:tab w:val="left" w:pos="-440"/>
        </w:tabs>
        <w:spacing w:before="25" w:after="0"/>
        <w:ind w:left="-440" w:leftChars="0" w:right="-220" w:rightChars="-100" w:firstLine="0" w:firstLineChars="0"/>
        <w:rPr>
          <w:rFonts w:hint="default" w:ascii="仿宋" w:hAnsi="仿宋" w:eastAsia="仿宋" w:cs="仿宋"/>
          <w:b/>
          <w:bCs/>
          <w:sz w:val="22"/>
          <w:szCs w:val="22"/>
          <w:lang w:val="en-US" w:eastAsia="zh-CN"/>
        </w:rPr>
      </w:pPr>
      <w:r>
        <w:rPr>
          <w:rFonts w:hint="eastAsia" w:ascii="仿宋" w:hAnsi="仿宋" w:eastAsia="仿宋" w:cs="仿宋"/>
          <w:b/>
          <w:bCs/>
          <w:sz w:val="22"/>
          <w:szCs w:val="22"/>
          <w:lang w:val="en-US" w:eastAsia="zh-CN"/>
        </w:rPr>
        <w:t>注：1.</w:t>
      </w:r>
      <w:r>
        <w:rPr>
          <w:rFonts w:hint="eastAsia" w:ascii="仿宋" w:hAnsi="仿宋" w:eastAsia="仿宋" w:cs="仿宋"/>
          <w:b/>
          <w:bCs/>
          <w:sz w:val="22"/>
          <w:szCs w:val="22"/>
        </w:rPr>
        <w:t>“机关运行经费”指行政单位（含参照公务员法管理的事业单位）使用一般公共预算安排的基本支出中的日常公用经费支出，包括办公及印刷费、邮电费、差旅费、会议费、福利费、日常维修费、专用材料及一般设备购置费、办公用房水电费、办公用房取暖费、办公用房物业管理费、公务用车运行维护费及其他费用等。</w:t>
      </w:r>
    </w:p>
    <w:p>
      <w:pPr>
        <w:numPr>
          <w:ilvl w:val="0"/>
          <w:numId w:val="0"/>
        </w:numPr>
        <w:tabs>
          <w:tab w:val="left" w:pos="-440"/>
        </w:tabs>
        <w:spacing w:before="25" w:after="0"/>
        <w:ind w:left="-440" w:leftChars="0" w:firstLine="0" w:firstLineChars="0"/>
        <w:rPr>
          <w:rFonts w:hint="eastAsia" w:ascii="仿宋" w:hAnsi="仿宋" w:eastAsia="仿宋" w:cs="仿宋"/>
          <w:b/>
          <w:bCs/>
          <w:sz w:val="22"/>
          <w:szCs w:val="22"/>
        </w:rPr>
      </w:pPr>
      <w:r>
        <w:rPr>
          <w:rFonts w:hint="eastAsia" w:ascii="仿宋" w:hAnsi="仿宋" w:eastAsia="仿宋" w:cs="仿宋"/>
          <w:b/>
          <w:bCs/>
          <w:sz w:val="22"/>
          <w:szCs w:val="22"/>
          <w:lang w:val="en-US" w:eastAsia="zh-CN"/>
        </w:rPr>
        <w:t>2.</w:t>
      </w:r>
      <w:r>
        <w:rPr>
          <w:rFonts w:hint="eastAsia" w:ascii="仿宋" w:hAnsi="仿宋" w:eastAsia="仿宋" w:cs="仿宋"/>
          <w:b/>
          <w:bCs/>
          <w:sz w:val="22"/>
          <w:szCs w:val="22"/>
          <w:lang w:eastAsia="zh-CN"/>
        </w:rPr>
        <w:t>本</w:t>
      </w:r>
      <w:r>
        <w:rPr>
          <w:rFonts w:ascii="仿宋" w:hAnsi="仿宋" w:eastAsia="仿宋" w:cs="仿宋"/>
          <w:b/>
          <w:sz w:val="22"/>
        </w:rPr>
        <w:t>单位无一般公共预算机关运行经费支出，故本表无数据。</w:t>
      </w:r>
    </w:p>
    <w:p>
      <w:pPr>
        <w:widowControl w:val="0"/>
        <w:suppressAutoHyphens/>
        <w:bidi w:val="0"/>
        <w:spacing w:before="78" w:after="0" w:line="290" w:lineRule="auto"/>
        <w:ind w:left="227" w:right="57" w:firstLine="0"/>
        <w:jc w:val="both"/>
        <w:rPr>
          <w:rFonts w:hint="eastAsia" w:ascii="仿宋" w:hAnsi="仿宋" w:eastAsia="仿宋" w:cs="仿宋"/>
          <w:b/>
          <w:bCs/>
          <w:sz w:val="22"/>
          <w:szCs w:val="22"/>
        </w:rPr>
        <w:sectPr>
          <w:footerReference r:id="rId17" w:type="default"/>
          <w:pgSz w:w="11906" w:h="16838"/>
          <w:pgMar w:top="1100" w:right="906" w:bottom="770" w:left="13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567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
      <w:tblGrid>
        <w:gridCol w:w="1512"/>
        <w:gridCol w:w="2502"/>
        <w:gridCol w:w="1440"/>
        <w:gridCol w:w="2280"/>
        <w:gridCol w:w="1776"/>
        <w:gridCol w:w="1105"/>
        <w:gridCol w:w="1121"/>
        <w:gridCol w:w="1192"/>
        <w:gridCol w:w="1200"/>
        <w:gridCol w:w="154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Ex>
        <w:trPr>
          <w:cantSplit/>
        </w:trPr>
        <w:tc>
          <w:tcPr>
            <w:tcW w:w="15676" w:type="dxa"/>
            <w:gridSpan w:val="10"/>
            <w:tcBorders>
              <w:top w:val="nil"/>
              <w:left w:val="nil"/>
              <w:bottom w:val="nil"/>
              <w:right w:val="nil"/>
            </w:tcBorders>
            <w:shd w:val="clear" w:color="auto" w:fill="FFFFFF"/>
            <w:tcMar>
              <w:top w:w="0" w:type="dxa"/>
              <w:left w:w="0" w:type="dxa"/>
              <w:bottom w:w="0" w:type="dxa"/>
              <w:right w:w="0" w:type="dxa"/>
            </w:tcMar>
            <w:vAlign w:val="center"/>
          </w:tcPr>
          <w:p>
            <w:pPr>
              <w:pStyle w:val="22"/>
              <w:widowControl w:val="0"/>
              <w:jc w:val="left"/>
              <w:rPr>
                <w:rFonts w:hint="eastAsia" w:ascii="仿宋" w:hAnsi="仿宋" w:eastAsia="仿宋" w:cs="仿宋"/>
                <w:b/>
                <w:bCs/>
                <w:color w:val="auto"/>
                <w:kern w:val="0"/>
                <w:sz w:val="44"/>
                <w:szCs w:val="44"/>
                <w:lang w:val="en-US" w:eastAsia="zh-CN" w:bidi="zh-CN"/>
              </w:rPr>
            </w:pPr>
            <w:r>
              <w:rPr>
                <w:rFonts w:hint="eastAsia" w:ascii="仿宋" w:hAnsi="仿宋" w:eastAsia="仿宋" w:cs="仿宋"/>
              </w:rPr>
              <w:t>公开1</w:t>
            </w:r>
            <w:r>
              <w:rPr>
                <w:rFonts w:hint="eastAsia" w:ascii="仿宋" w:hAnsi="仿宋" w:eastAsia="仿宋" w:cs="仿宋"/>
                <w:lang w:val="en-US" w:eastAsia="zh-CN"/>
              </w:rPr>
              <w:t>3</w:t>
            </w:r>
            <w:r>
              <w:rPr>
                <w:rFonts w:hint="eastAsia" w:ascii="仿宋" w:hAnsi="仿宋" w:eastAsia="仿宋" w:cs="仿宋"/>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cantSplit/>
        </w:trPr>
        <w:tc>
          <w:tcPr>
            <w:tcW w:w="15676" w:type="dxa"/>
            <w:gridSpan w:val="10"/>
            <w:tcBorders>
              <w:top w:val="nil"/>
              <w:left w:val="nil"/>
              <w:bottom w:val="nil"/>
              <w:right w:val="nil"/>
            </w:tcBorders>
            <w:shd w:val="clear" w:color="auto" w:fill="FFFFFF"/>
            <w:tcMar>
              <w:top w:w="0" w:type="dxa"/>
              <w:left w:w="0" w:type="dxa"/>
              <w:bottom w:w="0" w:type="dxa"/>
              <w:right w:w="0" w:type="dxa"/>
            </w:tcMar>
            <w:vAlign w:val="center"/>
          </w:tcPr>
          <w:p>
            <w:pPr>
              <w:pStyle w:val="22"/>
              <w:widowControl w:val="0"/>
              <w:jc w:val="center"/>
              <w:rPr>
                <w:rFonts w:hint="eastAsia" w:ascii="仿宋" w:hAnsi="仿宋" w:eastAsia="仿宋" w:cs="仿宋"/>
                <w:lang w:val="en-US" w:eastAsia="zh-CN"/>
              </w:rPr>
            </w:pPr>
            <w:r>
              <w:rPr>
                <w:rFonts w:hint="eastAsia" w:ascii="仿宋" w:hAnsi="仿宋" w:eastAsia="仿宋" w:cs="仿宋"/>
                <w:b/>
                <w:bCs/>
                <w:color w:val="auto"/>
                <w:kern w:val="0"/>
                <w:sz w:val="44"/>
                <w:szCs w:val="44"/>
                <w:lang w:val="en-US" w:eastAsia="zh-CN" w:bidi="zh-CN"/>
              </w:rPr>
              <w:t>政府采购支出表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cantSplit/>
        </w:trPr>
        <w:tc>
          <w:tcPr>
            <w:tcW w:w="9510" w:type="dxa"/>
            <w:gridSpan w:val="5"/>
            <w:tcBorders>
              <w:top w:val="nil"/>
              <w:left w:val="nil"/>
              <w:bottom w:val="single" w:color="auto" w:sz="4" w:space="0"/>
              <w:right w:val="nil"/>
            </w:tcBorders>
            <w:shd w:val="clear" w:color="auto" w:fill="FFFFFF"/>
            <w:tcMar>
              <w:top w:w="0" w:type="dxa"/>
              <w:left w:w="0" w:type="dxa"/>
              <w:bottom w:w="0" w:type="dxa"/>
              <w:right w:w="0" w:type="dxa"/>
            </w:tcMar>
            <w:vAlign w:val="center"/>
          </w:tcPr>
          <w:p>
            <w:pPr>
              <w:pStyle w:val="22"/>
              <w:widowControl w:val="0"/>
              <w:spacing w:line="240" w:lineRule="auto"/>
              <w:jc w:val="left"/>
              <w:rPr>
                <w:rFonts w:hint="eastAsia" w:ascii="仿宋" w:hAnsi="仿宋" w:eastAsia="仿宋" w:cs="仿宋"/>
                <w:lang w:val="en-US" w:eastAsia="zh-CN"/>
              </w:rPr>
            </w:pPr>
            <w:r>
              <w:rPr>
                <w:rFonts w:hint="eastAsia" w:ascii="仿宋" w:hAnsi="仿宋" w:eastAsia="仿宋" w:cs="仿宋"/>
                <w:color w:val="000000"/>
                <w:sz w:val="22"/>
                <w:szCs w:val="22"/>
                <w:lang w:eastAsia="zh-CN"/>
              </w:rPr>
              <w:t>单位</w:t>
            </w:r>
            <w:r>
              <w:rPr>
                <w:rFonts w:ascii="仿宋" w:hAnsi="仿宋" w:eastAsia="仿宋" w:cs="仿宋"/>
                <w:color w:val="000000"/>
                <w:sz w:val="22"/>
              </w:rPr>
              <w:t>：</w:t>
            </w:r>
            <w:r>
              <w:rPr>
                <w:rFonts w:hint="eastAsia" w:ascii="仿宋" w:hAnsi="仿宋" w:eastAsia="仿宋" w:cs="仿宋"/>
              </w:rPr>
              <w:t>江苏省伤残人康复中心</w:t>
            </w:r>
          </w:p>
        </w:tc>
        <w:tc>
          <w:tcPr>
            <w:tcW w:w="4618" w:type="dxa"/>
            <w:gridSpan w:val="4"/>
            <w:tcBorders>
              <w:top w:val="nil"/>
              <w:left w:val="nil"/>
              <w:bottom w:val="single" w:color="auto" w:sz="4" w:space="0"/>
              <w:right w:val="nil"/>
            </w:tcBorders>
            <w:shd w:val="clear" w:color="auto" w:fill="FFFFFF"/>
            <w:tcMar>
              <w:top w:w="0" w:type="dxa"/>
              <w:left w:w="0" w:type="dxa"/>
              <w:bottom w:w="0" w:type="dxa"/>
              <w:right w:w="0" w:type="dxa"/>
            </w:tcMar>
            <w:vAlign w:val="center"/>
          </w:tcPr>
          <w:p>
            <w:pPr>
              <w:pStyle w:val="22"/>
              <w:widowControl w:val="0"/>
              <w:spacing w:line="240" w:lineRule="auto"/>
              <w:jc w:val="left"/>
              <w:rPr>
                <w:rFonts w:hint="eastAsia" w:ascii="仿宋" w:hAnsi="仿宋" w:eastAsia="仿宋" w:cs="仿宋"/>
                <w:lang w:val="en-US" w:eastAsia="zh-CN"/>
              </w:rPr>
            </w:pPr>
          </w:p>
        </w:tc>
        <w:tc>
          <w:tcPr>
            <w:tcW w:w="1548" w:type="dxa"/>
            <w:tcBorders>
              <w:top w:val="nil"/>
              <w:left w:val="nil"/>
              <w:bottom w:val="single" w:color="auto" w:sz="4" w:space="0"/>
              <w:right w:val="nil"/>
            </w:tcBorders>
            <w:shd w:val="clear" w:color="auto" w:fill="FFFFFF"/>
            <w:tcMar>
              <w:top w:w="0" w:type="dxa"/>
              <w:left w:w="0" w:type="dxa"/>
              <w:bottom w:w="0" w:type="dxa"/>
              <w:right w:w="0" w:type="dxa"/>
            </w:tcMar>
            <w:vAlign w:val="center"/>
          </w:tcPr>
          <w:p>
            <w:pPr>
              <w:pStyle w:val="22"/>
              <w:widowControl w:val="0"/>
              <w:spacing w:line="240" w:lineRule="auto"/>
              <w:jc w:val="right"/>
              <w:rPr>
                <w:rFonts w:hint="eastAsia" w:ascii="仿宋" w:hAnsi="仿宋" w:eastAsia="仿宋" w:cs="仿宋"/>
                <w:lang w:val="en-US" w:eastAsia="zh-CN"/>
              </w:rPr>
            </w:pPr>
            <w:r>
              <w:rPr>
                <w:rFonts w:hint="eastAsia" w:ascii="仿宋" w:hAnsi="仿宋" w:eastAsia="仿宋" w:cs="仿宋"/>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cantSplit/>
        </w:trPr>
        <w:tc>
          <w:tcPr>
            <w:tcW w:w="1512" w:type="dxa"/>
            <w:vMerge w:val="restart"/>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rPr>
            </w:pPr>
            <w:r>
              <w:rPr>
                <w:rFonts w:hint="eastAsia" w:ascii="仿宋" w:hAnsi="仿宋" w:eastAsia="仿宋" w:cs="仿宋"/>
                <w:lang w:val="en-US" w:eastAsia="zh-CN"/>
              </w:rPr>
              <w:t>采购品目大类</w:t>
            </w:r>
          </w:p>
        </w:tc>
        <w:tc>
          <w:tcPr>
            <w:tcW w:w="2502" w:type="dxa"/>
            <w:vMerge w:val="restart"/>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rPr>
            </w:pPr>
            <w:r>
              <w:rPr>
                <w:rFonts w:hint="eastAsia" w:ascii="仿宋" w:hAnsi="仿宋" w:eastAsia="仿宋" w:cs="仿宋"/>
                <w:lang w:val="en-US" w:eastAsia="zh-CN"/>
              </w:rPr>
              <w:t>专项名称</w:t>
            </w:r>
          </w:p>
        </w:tc>
        <w:tc>
          <w:tcPr>
            <w:tcW w:w="1440" w:type="dxa"/>
            <w:vMerge w:val="restart"/>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rPr>
            </w:pPr>
            <w:r>
              <w:rPr>
                <w:rFonts w:hint="eastAsia" w:ascii="仿宋" w:hAnsi="仿宋" w:eastAsia="仿宋" w:cs="仿宋"/>
                <w:lang w:val="en-US" w:eastAsia="zh-CN"/>
              </w:rPr>
              <w:t>经济科目</w:t>
            </w:r>
          </w:p>
        </w:tc>
        <w:tc>
          <w:tcPr>
            <w:tcW w:w="2280" w:type="dxa"/>
            <w:vMerge w:val="restart"/>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rPr>
            </w:pPr>
            <w:r>
              <w:rPr>
                <w:rFonts w:hint="eastAsia" w:ascii="仿宋" w:hAnsi="仿宋" w:eastAsia="仿宋" w:cs="仿宋"/>
                <w:lang w:val="en-US" w:eastAsia="zh-CN"/>
              </w:rPr>
              <w:t>采购品目名称</w:t>
            </w:r>
          </w:p>
        </w:tc>
        <w:tc>
          <w:tcPr>
            <w:tcW w:w="1776" w:type="dxa"/>
            <w:vMerge w:val="restart"/>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rPr>
            </w:pPr>
            <w:r>
              <w:rPr>
                <w:rFonts w:hint="eastAsia" w:ascii="仿宋" w:hAnsi="仿宋" w:eastAsia="仿宋" w:cs="仿宋"/>
                <w:lang w:val="en-US" w:eastAsia="zh-CN"/>
              </w:rPr>
              <w:t>采购组织形式</w:t>
            </w:r>
          </w:p>
        </w:tc>
        <w:tc>
          <w:tcPr>
            <w:tcW w:w="4618" w:type="dxa"/>
            <w:gridSpan w:val="4"/>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rPr>
            </w:pPr>
            <w:r>
              <w:rPr>
                <w:rFonts w:hint="eastAsia" w:ascii="仿宋" w:hAnsi="仿宋" w:eastAsia="仿宋" w:cs="仿宋"/>
                <w:lang w:val="en-US" w:eastAsia="zh-CN"/>
              </w:rPr>
              <w:t>资金来源</w:t>
            </w:r>
          </w:p>
        </w:tc>
        <w:tc>
          <w:tcPr>
            <w:tcW w:w="1548" w:type="dxa"/>
            <w:vMerge w:val="restart"/>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rPr>
            </w:pPr>
            <w:r>
              <w:rPr>
                <w:rFonts w:hint="eastAsia" w:ascii="仿宋" w:hAnsi="仿宋" w:eastAsia="仿宋" w:cs="仿宋"/>
                <w:lang w:val="en-US" w:eastAsia="zh-CN"/>
              </w:rPr>
              <w:t>总计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cantSplit/>
          <w:trHeight w:val="258" w:hRule="atLeast"/>
        </w:trPr>
        <w:tc>
          <w:tcPr>
            <w:tcW w:w="1512" w:type="dxa"/>
            <w:vMerge w:val="continue"/>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rPr>
            </w:pPr>
          </w:p>
        </w:tc>
        <w:tc>
          <w:tcPr>
            <w:tcW w:w="2502" w:type="dxa"/>
            <w:vMerge w:val="continue"/>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rPr>
            </w:pPr>
          </w:p>
        </w:tc>
        <w:tc>
          <w:tcPr>
            <w:tcW w:w="1440" w:type="dxa"/>
            <w:vMerge w:val="continue"/>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rPr>
            </w:pPr>
          </w:p>
        </w:tc>
        <w:tc>
          <w:tcPr>
            <w:tcW w:w="2280" w:type="dxa"/>
            <w:vMerge w:val="continue"/>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rPr>
            </w:pPr>
          </w:p>
        </w:tc>
        <w:tc>
          <w:tcPr>
            <w:tcW w:w="1776" w:type="dxa"/>
            <w:vMerge w:val="continue"/>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rPr>
            </w:pPr>
          </w:p>
        </w:tc>
        <w:tc>
          <w:tcPr>
            <w:tcW w:w="110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default" w:ascii="仿宋" w:hAnsi="仿宋" w:eastAsia="仿宋" w:cs="仿宋"/>
                <w:lang w:val="en-US"/>
              </w:rPr>
            </w:pPr>
            <w:r>
              <w:rPr>
                <w:rFonts w:hint="eastAsia" w:ascii="仿宋" w:hAnsi="仿宋" w:eastAsia="仿宋" w:cs="仿宋"/>
                <w:lang w:val="en-US" w:eastAsia="zh-CN"/>
              </w:rPr>
              <w:t>一般公共预算资金</w:t>
            </w:r>
          </w:p>
        </w:tc>
        <w:tc>
          <w:tcPr>
            <w:tcW w:w="112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rPr>
            </w:pPr>
            <w:r>
              <w:rPr>
                <w:rFonts w:hint="eastAsia" w:ascii="仿宋" w:hAnsi="仿宋" w:eastAsia="仿宋" w:cs="仿宋"/>
                <w:lang w:val="en-US" w:eastAsia="zh-CN"/>
              </w:rPr>
              <w:t>政府性基金</w:t>
            </w:r>
          </w:p>
        </w:tc>
        <w:tc>
          <w:tcPr>
            <w:tcW w:w="119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rPr>
            </w:pPr>
            <w:r>
              <w:rPr>
                <w:rFonts w:hint="eastAsia" w:ascii="仿宋" w:hAnsi="仿宋" w:eastAsia="仿宋" w:cs="仿宋"/>
                <w:lang w:val="en-US" w:eastAsia="zh-CN"/>
              </w:rPr>
              <w:t>其他资金</w:t>
            </w:r>
          </w:p>
        </w:tc>
        <w:tc>
          <w:tcPr>
            <w:tcW w:w="120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rPr>
            </w:pPr>
            <w:r>
              <w:rPr>
                <w:rFonts w:hint="eastAsia" w:ascii="仿宋" w:hAnsi="仿宋" w:eastAsia="仿宋" w:cs="仿宋"/>
                <w:lang w:val="en-US" w:eastAsia="zh-CN"/>
              </w:rPr>
              <w:t>上年结转和结余资金</w:t>
            </w:r>
          </w:p>
        </w:tc>
        <w:tc>
          <w:tcPr>
            <w:tcW w:w="1548" w:type="dxa"/>
            <w:vMerge w:val="continue"/>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Ex>
        <w:trPr>
          <w:cantSplit/>
          <w:trHeight w:val="90" w:hRule="atLeast"/>
        </w:trPr>
        <w:tc>
          <w:tcPr>
            <w:tcW w:w="151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rPr>
            </w:pPr>
            <w:r>
              <w:rPr>
                <w:rFonts w:hint="eastAsia" w:ascii="仿宋" w:hAnsi="仿宋" w:eastAsia="仿宋" w:cs="仿宋"/>
                <w:lang w:val="en-US" w:eastAsia="zh-CN"/>
              </w:rPr>
              <w:t>合计</w:t>
            </w:r>
          </w:p>
        </w:tc>
        <w:tc>
          <w:tcPr>
            <w:tcW w:w="250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rPr>
            </w:pPr>
          </w:p>
        </w:tc>
        <w:tc>
          <w:tcPr>
            <w:tcW w:w="144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rPr>
            </w:pPr>
          </w:p>
        </w:tc>
        <w:tc>
          <w:tcPr>
            <w:tcW w:w="22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rPr>
            </w:pPr>
          </w:p>
        </w:tc>
        <w:tc>
          <w:tcPr>
            <w:tcW w:w="177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rPr>
            </w:pPr>
          </w:p>
        </w:tc>
        <w:tc>
          <w:tcPr>
            <w:tcW w:w="110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100.00</w:t>
            </w:r>
          </w:p>
        </w:tc>
        <w:tc>
          <w:tcPr>
            <w:tcW w:w="112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150.00</w:t>
            </w:r>
          </w:p>
        </w:tc>
        <w:tc>
          <w:tcPr>
            <w:tcW w:w="119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p>
        </w:tc>
        <w:tc>
          <w:tcPr>
            <w:tcW w:w="120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p>
        </w:tc>
        <w:tc>
          <w:tcPr>
            <w:tcW w:w="1548"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default"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250.00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cantSplit/>
          <w:trHeight w:val="90" w:hRule="atLeast"/>
        </w:trPr>
        <w:tc>
          <w:tcPr>
            <w:tcW w:w="151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货物</w:t>
            </w:r>
          </w:p>
        </w:tc>
        <w:tc>
          <w:tcPr>
            <w:tcW w:w="250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default" w:ascii="仿宋" w:hAnsi="仿宋" w:eastAsia="仿宋" w:cs="仿宋"/>
                <w:color w:val="auto"/>
                <w:kern w:val="0"/>
                <w:sz w:val="22"/>
                <w:szCs w:val="22"/>
                <w:lang w:val="en-US" w:eastAsia="zh-CN" w:bidi="zh-CN"/>
              </w:rPr>
            </w:pPr>
          </w:p>
        </w:tc>
        <w:tc>
          <w:tcPr>
            <w:tcW w:w="144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p>
        </w:tc>
        <w:tc>
          <w:tcPr>
            <w:tcW w:w="22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p>
        </w:tc>
        <w:tc>
          <w:tcPr>
            <w:tcW w:w="177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p>
        </w:tc>
        <w:tc>
          <w:tcPr>
            <w:tcW w:w="110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100.00</w:t>
            </w:r>
          </w:p>
        </w:tc>
        <w:tc>
          <w:tcPr>
            <w:tcW w:w="112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p>
        </w:tc>
        <w:tc>
          <w:tcPr>
            <w:tcW w:w="119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p>
        </w:tc>
        <w:tc>
          <w:tcPr>
            <w:tcW w:w="120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p>
        </w:tc>
        <w:tc>
          <w:tcPr>
            <w:tcW w:w="1548"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cantSplit/>
          <w:trHeight w:val="90" w:hRule="atLeast"/>
        </w:trPr>
        <w:tc>
          <w:tcPr>
            <w:tcW w:w="151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江苏省伤残人康复中心</w:t>
            </w:r>
          </w:p>
        </w:tc>
        <w:tc>
          <w:tcPr>
            <w:tcW w:w="250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default" w:ascii="仿宋" w:hAnsi="仿宋" w:eastAsia="仿宋" w:cs="仿宋"/>
                <w:color w:val="auto"/>
                <w:kern w:val="0"/>
                <w:sz w:val="22"/>
                <w:szCs w:val="22"/>
                <w:lang w:val="en-US" w:eastAsia="zh-CN" w:bidi="zh-CN"/>
              </w:rPr>
            </w:pPr>
          </w:p>
        </w:tc>
        <w:tc>
          <w:tcPr>
            <w:tcW w:w="144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p>
        </w:tc>
        <w:tc>
          <w:tcPr>
            <w:tcW w:w="22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p>
        </w:tc>
        <w:tc>
          <w:tcPr>
            <w:tcW w:w="177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p>
        </w:tc>
        <w:tc>
          <w:tcPr>
            <w:tcW w:w="110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100.00</w:t>
            </w:r>
          </w:p>
        </w:tc>
        <w:tc>
          <w:tcPr>
            <w:tcW w:w="112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p>
        </w:tc>
        <w:tc>
          <w:tcPr>
            <w:tcW w:w="119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p>
        </w:tc>
        <w:tc>
          <w:tcPr>
            <w:tcW w:w="120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p>
        </w:tc>
        <w:tc>
          <w:tcPr>
            <w:tcW w:w="1548"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cantSplit/>
          <w:trHeight w:val="90" w:hRule="atLeast"/>
        </w:trPr>
        <w:tc>
          <w:tcPr>
            <w:tcW w:w="151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p>
        </w:tc>
        <w:tc>
          <w:tcPr>
            <w:tcW w:w="250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default"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假肢普通、专用设备购置</w:t>
            </w:r>
          </w:p>
        </w:tc>
        <w:tc>
          <w:tcPr>
            <w:tcW w:w="144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专用设备购置</w:t>
            </w:r>
          </w:p>
        </w:tc>
        <w:tc>
          <w:tcPr>
            <w:tcW w:w="22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其他电气设备</w:t>
            </w:r>
          </w:p>
        </w:tc>
        <w:tc>
          <w:tcPr>
            <w:tcW w:w="177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分散采购</w:t>
            </w:r>
          </w:p>
        </w:tc>
        <w:tc>
          <w:tcPr>
            <w:tcW w:w="110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100.00</w:t>
            </w:r>
          </w:p>
        </w:tc>
        <w:tc>
          <w:tcPr>
            <w:tcW w:w="112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p>
        </w:tc>
        <w:tc>
          <w:tcPr>
            <w:tcW w:w="119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p>
        </w:tc>
        <w:tc>
          <w:tcPr>
            <w:tcW w:w="120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p>
        </w:tc>
        <w:tc>
          <w:tcPr>
            <w:tcW w:w="1548"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cantSplit/>
          <w:trHeight w:val="90" w:hRule="atLeast"/>
        </w:trPr>
        <w:tc>
          <w:tcPr>
            <w:tcW w:w="151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工程</w:t>
            </w:r>
          </w:p>
        </w:tc>
        <w:tc>
          <w:tcPr>
            <w:tcW w:w="250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default" w:ascii="仿宋" w:hAnsi="仿宋" w:eastAsia="仿宋" w:cs="仿宋"/>
                <w:color w:val="auto"/>
                <w:kern w:val="0"/>
                <w:sz w:val="22"/>
                <w:szCs w:val="22"/>
                <w:lang w:val="en-US" w:eastAsia="zh-CN" w:bidi="zh-CN"/>
              </w:rPr>
            </w:pPr>
          </w:p>
        </w:tc>
        <w:tc>
          <w:tcPr>
            <w:tcW w:w="144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p>
        </w:tc>
        <w:tc>
          <w:tcPr>
            <w:tcW w:w="22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p>
        </w:tc>
        <w:tc>
          <w:tcPr>
            <w:tcW w:w="177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p>
        </w:tc>
        <w:tc>
          <w:tcPr>
            <w:tcW w:w="110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p>
        </w:tc>
        <w:tc>
          <w:tcPr>
            <w:tcW w:w="112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150.00</w:t>
            </w:r>
          </w:p>
        </w:tc>
        <w:tc>
          <w:tcPr>
            <w:tcW w:w="119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p>
        </w:tc>
        <w:tc>
          <w:tcPr>
            <w:tcW w:w="120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p>
        </w:tc>
        <w:tc>
          <w:tcPr>
            <w:tcW w:w="1548"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150.00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Ex>
        <w:trPr>
          <w:cantSplit/>
          <w:trHeight w:val="90" w:hRule="atLeast"/>
        </w:trPr>
        <w:tc>
          <w:tcPr>
            <w:tcW w:w="151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江苏省伤残人康复中心</w:t>
            </w:r>
          </w:p>
        </w:tc>
        <w:tc>
          <w:tcPr>
            <w:tcW w:w="250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default" w:ascii="仿宋" w:hAnsi="仿宋" w:eastAsia="仿宋" w:cs="仿宋"/>
                <w:color w:val="auto"/>
                <w:kern w:val="0"/>
                <w:sz w:val="22"/>
                <w:szCs w:val="22"/>
                <w:lang w:val="en-US" w:eastAsia="zh-CN" w:bidi="zh-CN"/>
              </w:rPr>
            </w:pPr>
          </w:p>
        </w:tc>
        <w:tc>
          <w:tcPr>
            <w:tcW w:w="144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p>
        </w:tc>
        <w:tc>
          <w:tcPr>
            <w:tcW w:w="22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p>
        </w:tc>
        <w:tc>
          <w:tcPr>
            <w:tcW w:w="177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p>
        </w:tc>
        <w:tc>
          <w:tcPr>
            <w:tcW w:w="110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p>
        </w:tc>
        <w:tc>
          <w:tcPr>
            <w:tcW w:w="112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150.00</w:t>
            </w:r>
          </w:p>
        </w:tc>
        <w:tc>
          <w:tcPr>
            <w:tcW w:w="119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p>
        </w:tc>
        <w:tc>
          <w:tcPr>
            <w:tcW w:w="120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p>
        </w:tc>
        <w:tc>
          <w:tcPr>
            <w:tcW w:w="1548"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150.00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cantSplit/>
          <w:trHeight w:val="90" w:hRule="atLeast"/>
        </w:trPr>
        <w:tc>
          <w:tcPr>
            <w:tcW w:w="151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p>
        </w:tc>
        <w:tc>
          <w:tcPr>
            <w:tcW w:w="250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default"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消防隐患改造工程</w:t>
            </w:r>
          </w:p>
        </w:tc>
        <w:tc>
          <w:tcPr>
            <w:tcW w:w="144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大型修缮</w:t>
            </w:r>
          </w:p>
        </w:tc>
        <w:tc>
          <w:tcPr>
            <w:tcW w:w="22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消防工程和安防工程</w:t>
            </w:r>
          </w:p>
        </w:tc>
        <w:tc>
          <w:tcPr>
            <w:tcW w:w="177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分散采购</w:t>
            </w:r>
          </w:p>
        </w:tc>
        <w:tc>
          <w:tcPr>
            <w:tcW w:w="110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p>
        </w:tc>
        <w:tc>
          <w:tcPr>
            <w:tcW w:w="112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150.00</w:t>
            </w:r>
          </w:p>
        </w:tc>
        <w:tc>
          <w:tcPr>
            <w:tcW w:w="119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p>
        </w:tc>
        <w:tc>
          <w:tcPr>
            <w:tcW w:w="120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p>
        </w:tc>
        <w:tc>
          <w:tcPr>
            <w:tcW w:w="1548"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150.00</w:t>
            </w:r>
          </w:p>
        </w:tc>
      </w:tr>
    </w:tbl>
    <w:p>
      <w:pPr>
        <w:bidi w:val="0"/>
        <w:rPr>
          <w:rFonts w:hint="eastAsia" w:ascii="仿宋" w:hAnsi="仿宋" w:eastAsia="仿宋" w:cs="仿宋"/>
          <w:b/>
          <w:bCs/>
          <w:sz w:val="22"/>
          <w:szCs w:val="22"/>
        </w:rPr>
        <w:sectPr>
          <w:footerReference r:id="rId18" w:type="default"/>
          <w:pgSz w:w="16838" w:h="11906" w:orient="landscape"/>
          <w:pgMar w:top="1320" w:right="567" w:bottom="1320" w:left="567"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p>
      <w:pPr>
        <w:pStyle w:val="5"/>
        <w:tabs>
          <w:tab w:val="left" w:pos="3077"/>
        </w:tabs>
        <w:spacing w:line="616" w:lineRule="exact"/>
        <w:jc w:val="center"/>
        <w:rPr>
          <w:rFonts w:hint="eastAsia"/>
        </w:rPr>
      </w:pPr>
      <w:r>
        <w:rPr>
          <w:rFonts w:hint="eastAsia" w:ascii="仿宋" w:hAnsi="仿宋" w:eastAsia="仿宋" w:cs="仿宋"/>
          <w:b/>
          <w:bCs/>
          <w:sz w:val="44"/>
          <w:szCs w:val="44"/>
        </w:rPr>
        <w:t>第三部分</w:t>
      </w:r>
      <w:r>
        <w:rPr>
          <w:rFonts w:hint="eastAsia" w:ascii="仿宋" w:hAnsi="仿宋" w:eastAsia="仿宋" w:cs="仿宋"/>
          <w:b/>
          <w:bCs/>
          <w:sz w:val="44"/>
          <w:szCs w:val="44"/>
          <w:lang w:val="en-US" w:eastAsia="zh-CN"/>
        </w:rPr>
        <w:t xml:space="preserve"> </w:t>
      </w:r>
      <w:r>
        <w:rPr>
          <w:rFonts w:hint="eastAsia" w:ascii="仿宋" w:hAnsi="仿宋" w:eastAsia="仿宋" w:cs="仿宋"/>
          <w:b/>
          <w:bCs/>
          <w:sz w:val="44"/>
          <w:szCs w:val="44"/>
          <w:lang w:eastAsia="zh-CN"/>
        </w:rPr>
        <w:t>2023</w:t>
      </w:r>
      <w:r>
        <w:rPr>
          <w:rFonts w:hint="eastAsia" w:ascii="仿宋" w:hAnsi="仿宋" w:eastAsia="仿宋" w:cs="仿宋"/>
          <w:b/>
          <w:bCs/>
          <w:sz w:val="44"/>
          <w:szCs w:val="44"/>
        </w:rPr>
        <w:t>年度</w:t>
      </w:r>
      <w:r>
        <w:rPr>
          <w:rFonts w:ascii="仿宋" w:hAnsi="仿宋" w:eastAsia="仿宋" w:cs="仿宋"/>
          <w:b/>
          <w:sz w:val="44"/>
        </w:rPr>
        <w:t>单位</w:t>
      </w:r>
      <w:r>
        <w:rPr>
          <w:rFonts w:hint="eastAsia" w:ascii="仿宋" w:hAnsi="仿宋" w:eastAsia="仿宋" w:cs="仿宋"/>
          <w:b/>
          <w:bCs/>
          <w:sz w:val="44"/>
          <w:szCs w:val="44"/>
          <w:lang w:eastAsia="zh-CN"/>
        </w:rPr>
        <w:t>预算</w:t>
      </w:r>
      <w:r>
        <w:rPr>
          <w:rFonts w:hint="eastAsia" w:ascii="仿宋" w:hAnsi="仿宋" w:eastAsia="仿宋" w:cs="仿宋"/>
          <w:b/>
          <w:bCs/>
          <w:sz w:val="44"/>
          <w:szCs w:val="44"/>
        </w:rPr>
        <w:t>情况说明</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1" w:after="0" w:line="360" w:lineRule="auto"/>
        <w:ind w:left="348" w:right="420" w:firstLine="640"/>
        <w:jc w:val="both"/>
        <w:textAlignment w:val="auto"/>
        <w:rPr>
          <w:rFonts w:hint="eastAsia" w:ascii="仿宋" w:hAnsi="仿宋" w:eastAsia="仿宋" w:cs="仿宋"/>
          <w:lang w:val="en-US" w:eastAsia="zh-CN"/>
        </w:rPr>
      </w:pP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一、收支预算总体情况说明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江苏省伤残人康复中心2023年度收入、支出预算总计3,870.24万元，与上年相比收、支预算总计各增加14.73万元，增长0.38%。</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（一）收入预算总计3,870.24万元。包括：</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1．本年收入合计3,870.24万元。</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（1）一般公共预算拨款收入1,847.28万元，与上年预算数相同。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（2）政府性基金预算拨款收入150万元，与上年相比增加150万元（去年预算数为0万元，无法计算增减比率）。主要原因是本年度中心新增政府性基金-消防改造工程项目150万元。</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（3）国有资本经营预算拨款收入0万元，与上年预算数相同。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（4）财政专户管理资金收入0万元，与上年预算数相同。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（5）事业收入0万元，与上年预算数相同。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（6）事业单位经营收入1,872.96万元，与上年相比减少135.27万元，减少6.74%。主要原因是近年来，受新冠疫情影响，康复辅具经营收入有所下降。</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（7）上级补助收入0万元，与上年预算数相同。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（8）附属单位上缴收入0万元，与上年预算数相同。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（9）其他收入0万元，与上年预算数相同。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2．上年结转结余为0万元。与上年预算数相同。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（二）支出预算总计3,870.24万元。包括：</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1．本年支出合计3,870.24万元。</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社会保障和就业支出（类）支出3,096.73万元，主要用于本单位的基本支出2196.73万元，项目支出900万元。与上年相比减少106.52万元，减少3.33%。主要原因是本年度经营收入预算减少，其对应商品服务支出预算相应减少，故今年社会保障和就业支出比去年减少。</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（2）住房保障支出（类）支出623.51万元，主要用于职工住房改革支出。与上年相比减少28.75万元，减少4.41%。主要原因是本年度在职职工转入退休，职工住房改革支出相应减少。</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（3）其他支出（类）支出150万元，主要用于中心消防改造工程项目支出。与上年相比增加150万元（去年预算数为0万元，无法计算增减比率）。主要原因是本年度中心新增消防改造工程项目150万元。</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2．年终结转结余为0万元。</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二、收入预算情况说明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江苏省伤残人康复中心2023年收入预算合计3,870.24万元，包括本年收入3,870.24万元，上年结转结余0万元。</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本年一般公共预算收入1,847.28万元，占47.73%；</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本年政府性基金预算收入150万元，占3.88%；</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本年国有资本经营预算收入0万元，占0%；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本年财政专户管理资金0万元，占0%；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本年事业收入0万元，占0%；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本年事业单位经营收入1,872.96万元，占48.39%；</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本年上级补助收入0万元，占0%；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本年附属单位上缴收入0万元，占0%；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本年其他收入0万元，占0%；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上年结转结余的一般公共预算收入0万元，占0%；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上年结转结余的政府性基金预算收入0万元，占0%；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上年结转结余的国有资本经营预算收入0万元，占0%；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上年结转结余的财政专户管理资金0万元，占0%；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上年结转结余的单位资金0万元，占0%。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3" w:leftChars="0" w:right="420" w:firstLine="3" w:firstLineChars="0"/>
        <w:jc w:val="center"/>
        <w:textAlignment w:val="auto"/>
        <w:rPr>
          <w:rFonts w:hint="eastAsia" w:ascii="仿宋" w:hAnsi="仿宋" w:eastAsia="仿宋" w:cs="仿宋"/>
          <w:lang w:val="en-US" w:eastAsia="zh-CN"/>
        </w:rPr>
      </w:pPr>
      <w:r>
        <w:rPr>
          <w:rFonts w:hint="eastAsia" w:ascii="仿宋" w:hAnsi="仿宋" w:eastAsia="仿宋" w:cs="仿宋"/>
          <w:lang w:val="en-US" w:eastAsia="zh-CN"/>
        </w:rPr>
        <w:drawing>
          <wp:inline distT="0" distB="0" distL="0" distR="0">
            <wp:extent cx="6134100" cy="3429000"/>
            <wp:effectExtent l="0" t="0" r="0" b="0"/>
            <wp:docPr id="1" name="Drawing 1" descr="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rawing 1" descr="Generated"/>
                    <pic:cNvPicPr>
                      <a:picLocks noChangeAspect="1"/>
                    </pic:cNvPicPr>
                  </pic:nvPicPr>
                  <pic:blipFill>
                    <a:blip r:embed="rId20"/>
                    <a:stretch>
                      <a:fillRect/>
                    </a:stretch>
                  </pic:blipFill>
                  <pic:spPr>
                    <a:xfrm>
                      <a:off x="0" y="0"/>
                      <a:ext cx="6134100" cy="3429000"/>
                    </a:xfrm>
                    <a:prstGeom prst="rect">
                      <a:avLst/>
                    </a:prstGeom>
                  </pic:spPr>
                </pic:pic>
              </a:graphicData>
            </a:graphic>
          </wp:inline>
        </w:drawing>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三、支出预算情况说明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江苏省伤残人康复中心2023年支出预算合计3,870.24万元，其中：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基本支出2,820.24万元，占72.87%；</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项目支出1,050万元，占27.13%；</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事业单位经营支出0万元，占0%；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上缴上级支出0万元，占0%；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对附属单位补助支出0万元，占0%。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3" w:leftChars="0" w:right="420" w:firstLine="3" w:firstLineChars="0"/>
        <w:jc w:val="center"/>
        <w:textAlignment w:val="auto"/>
        <w:rPr>
          <w:rFonts w:hint="eastAsia" w:ascii="仿宋" w:hAnsi="仿宋" w:eastAsia="仿宋" w:cs="仿宋"/>
          <w:lang w:val="en-US" w:eastAsia="zh-CN"/>
        </w:rPr>
      </w:pPr>
      <w:r>
        <w:rPr>
          <w:rFonts w:hint="eastAsia" w:ascii="仿宋" w:hAnsi="仿宋" w:eastAsia="仿宋" w:cs="仿宋"/>
          <w:lang w:val="en-US" w:eastAsia="zh-CN"/>
        </w:rPr>
        <w:drawing>
          <wp:inline distT="0" distB="0" distL="0" distR="0">
            <wp:extent cx="6134100" cy="3429000"/>
            <wp:effectExtent l="0" t="0" r="0" b="0"/>
            <wp:docPr id="2" name="Drawing 2" descr="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rawing 2" descr="Generated"/>
                    <pic:cNvPicPr>
                      <a:picLocks noChangeAspect="1"/>
                    </pic:cNvPicPr>
                  </pic:nvPicPr>
                  <pic:blipFill>
                    <a:blip r:embed="rId21"/>
                    <a:stretch>
                      <a:fillRect/>
                    </a:stretch>
                  </pic:blipFill>
                  <pic:spPr>
                    <a:xfrm>
                      <a:off x="0" y="0"/>
                      <a:ext cx="6134100" cy="3429000"/>
                    </a:xfrm>
                    <a:prstGeom prst="rect">
                      <a:avLst/>
                    </a:prstGeom>
                  </pic:spPr>
                </pic:pic>
              </a:graphicData>
            </a:graphic>
          </wp:inline>
        </w:drawing>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四、财政拨款收支预算总体情况说明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伤残人康复中心2023年度财政拨款收、支总预算1,997.28万元。与上年相比，财政拨款收、支总计各增加150万元，增长8.12%。主要原因是本年度中心新增政府性基金预算拨款150万元，故财政拨款收、支总计各增加150万元。</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五、财政拨款支出预算情况说明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江苏省伤残人康复中心2023年财政拨款预算支出1,997.28万元，占本年支出合计的51.61%。与上年相比，财政拨款支出增加150万元，增长8.12%。主要原因是本年度中心新增政府性基金-消防改造工程项目支出150万元。</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（一）社会保障和就业支出（类）</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行政事业单位养老支出（款）机关事业单位基本养老保险缴费支出（项）支出48.81万元，与上年相比减少2.03万元，减少3.99%。主要原因是在编在职转退休，因在职人员减少，所以基本养老保险缴费支出相应减少。</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2.行政事业单位养老支出（款）机关事业单位职业年金缴费支出（项）支出24.4万元，与上年相比减少1.02万元，减少4.01%。主要原因是在编在职转退休，因在职人员减少，所以职业年金缴费支出相应减少。</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3.抚恤（款）其他优抚支出（项）支出1,401.82万元，与上年相比减少7.67万元，减少0.54%。主要原因是财政拨款在职人员经费减少。</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（二）住房保障支出（类）</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住房改革支出（款）提租补贴（项）支出372.25万元，与上年相比增加10.72万元，增长2.97%。主要原因是退休人员提租补贴预算增加。</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（三）其他支出（类）</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彩票公益金安排的支出（款）用于社会福利的彩票公益金支出（项）支出150万元，与上年相比增加150万元（去年预算数为0万元，无法计算增减比率）。主要原因是本年度新增彩票公益金安排支出150万元。</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六、财政拨款基本支出预算情况说明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江苏省伤残人康复中心2023年度财政拨款基本支出预算947.28万元，其中：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（一）人员经费809.07万元。主要包括：基本工资、津贴补贴、绩效工资、机关事业单位基本养老保险缴费、职业年金缴费、其他社会保障缴费、退休费、奖励金。</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（二）公用经费138.21万元。主要包括：办公费、电费、邮电费、差旅费、维修（护）费、其他商品和服务支出。</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七、一般公共预算支出预算情况说明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江苏省伤残人康复中心2023年一般公共预算财政拨款支出预算1,847.28万元，与上年预算数相同。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八、一般公共预算基本支出预算情况说明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江苏省伤残人康复中心2023年度一般公共预算财政拨款基本支出预算947.28万元，其中：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（一）人员经费809.07万元。主要包括：基本工资、津贴补贴、绩效工资、机关事业单位基本养老保险缴费、职业年金缴费、其他社会保障缴费、退休费、奖励金。</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（二）公用经费138.21万元。主要包括：办公费、电费、邮电费、差旅费、维修（护）费、其他商品和服务支出。</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九、一般公共预算“三公”经费、会议费、培训费支出预算情况说明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伤残人康复中心2023年度一般公共预算拨款安排的“三公”经费预算支出中，因公出国（境）费支出0万元，占“三公”经费的0%；公务用车购置及运行维护费支出0万元，占“三公”经费的0%；公务接待费支出0万元，占“三公”经费的0%。具体情况如下：</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1．因公出国（境）费预算支出0万元，与上年预算数相同。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2．公务用车购置及运行维护费预算支出0万元。其中：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（1）公务用车购置预算支出0万元，与上年预算数相同。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（2）公务用车运行维护费预算支出0万元，与上年预算数相同。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3．公务接待费预算支出0万元，与上年预算数相同。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江苏省伤残人康复中心2023年度一般公共预算拨款安排的会议费预算支出0万元，与上年预算数相同。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江苏省伤残人康复中心2023年度一般公共预算拨款安排的培训费预算支出0万元，与上年预算数相同。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十、政府性基金预算支出预算情况说明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江苏省伤残人康复中心2023年政府性基金支出预算支出150万元。与上年相比增加150万元（去年预算数为0万元，无法计算增减比率）。主要原因是中心新增消防改造工程项目支出150万元。</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其他支出（类）彩票公益金安排的支出（款）用于社会福利的彩票公益金支出（项）支出150万元，主要是用于中心消防改造工程项目支出150万元。</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十一、国有资本经营预算支出预算情况说明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江苏省伤残人康复中心2023年国有资本经营预算支出0万元。与上年预算数相同。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十二、一般公共预算机关运行经费支出预算情况说明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2023年本单位一般公共预算机关运行经费预算支出0万元。与上年预算数相同。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十三、政府采购支出预算情况说明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2023年度政府采购支出预算总额250万元，其中：拟采购货物支出100万元、拟采购工程支出150万元、拟采购服务支出0万元。</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十四、国有资产占用情况说明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本单位共有车辆8辆，其中，一般公务用车0辆、执法执勤用车0辆、特种专业技术用车0辆、业务用车2辆、其他用车6辆等。单价100万元（含）以上的设备4台（不含车辆）。</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十五、预算绩效目标设置情况说明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2023年度，本单位整体支出纳入绩效目标管理，涉及财政性资金1,997.28万元；本单位共3个项目纳入绩效目标管理，涉及财政性资金合计1,050万元，占财政性资金(人员类和运转类中的公用经费项目支出除外)总额的比例为100%。</w:t>
      </w:r>
    </w:p>
    <w:p>
      <w:pPr>
        <w:pStyle w:val="8"/>
        <w:tabs>
          <w:tab w:val="left" w:pos="3864"/>
          <w:tab w:val="left" w:pos="6248"/>
          <w:tab w:val="left" w:pos="7386"/>
        </w:tabs>
        <w:spacing w:before="0" w:after="0" w:line="240" w:lineRule="auto"/>
        <w:ind w:left="0" w:right="0" w:firstLine="0"/>
        <w:jc w:val="center"/>
        <w:rPr>
          <w:rFonts w:hint="eastAsia" w:ascii="仿宋" w:hAnsi="仿宋" w:eastAsia="仿宋" w:cs="仿宋"/>
          <w:b/>
          <w:bCs/>
          <w:sz w:val="36"/>
          <w:szCs w:val="36"/>
        </w:rPr>
      </w:pPr>
      <w:r>
        <w:rPr>
          <w:rFonts w:hint="eastAsia" w:ascii="仿宋" w:hAnsi="仿宋" w:eastAsia="仿宋" w:cs="仿宋"/>
          <w:b/>
          <w:bCs/>
          <w:sz w:val="36"/>
          <w:szCs w:val="36"/>
        </w:rPr>
        <w:t>第四部分 名词解释</w:t>
      </w:r>
    </w:p>
    <w:p>
      <w:pPr>
        <w:pStyle w:val="8"/>
        <w:tabs>
          <w:tab w:val="left" w:pos="3864"/>
          <w:tab w:val="left" w:pos="6248"/>
          <w:tab w:val="left" w:pos="7386"/>
        </w:tabs>
        <w:spacing w:before="0" w:after="0" w:line="240" w:lineRule="auto"/>
        <w:ind w:left="440" w:leftChars="200" w:right="0" w:firstLine="659" w:firstLineChars="206"/>
        <w:jc w:val="both"/>
        <w:rPr>
          <w:rFonts w:hint="eastAsia" w:ascii="仿宋" w:hAnsi="仿宋" w:eastAsia="仿宋" w:cs="仿宋"/>
        </w:rPr>
      </w:pP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一、财政拨款</w:t>
      </w:r>
      <w:r>
        <w:rPr>
          <w:rFonts w:ascii="仿宋" w:hAnsi="仿宋" w:eastAsia="仿宋" w:cs="仿宋"/>
          <w:b/>
        </w:rPr>
        <w:t>：</w:t>
      </w:r>
      <w:r>
        <w:rPr>
          <w:rFonts w:hint="eastAsia" w:ascii="仿宋" w:hAnsi="仿宋" w:eastAsia="仿宋" w:cs="仿宋"/>
        </w:rPr>
        <w:t>单位从同级财政部门取得的各类财政拨款，包括一般公共预算拨款、政府性基金预算拨款、国有资本经营预算拨款。</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二、财政专户管理资金</w:t>
      </w:r>
      <w:r>
        <w:rPr>
          <w:rFonts w:ascii="仿宋" w:hAnsi="仿宋" w:eastAsia="仿宋" w:cs="仿宋"/>
          <w:b/>
        </w:rPr>
        <w:t>：</w:t>
      </w:r>
      <w:r>
        <w:rPr>
          <w:rFonts w:hint="eastAsia" w:ascii="仿宋" w:hAnsi="仿宋" w:eastAsia="仿宋" w:cs="仿宋"/>
        </w:rPr>
        <w:t>缴入财政专户、实行专项管理的高中以上学费、住宿费、高校委托培养费、函大、电大、夜大及短训班培训费等教育收费。</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三、单位资金</w:t>
      </w:r>
      <w:r>
        <w:rPr>
          <w:rFonts w:ascii="仿宋" w:hAnsi="仿宋" w:eastAsia="仿宋" w:cs="仿宋"/>
          <w:b/>
        </w:rPr>
        <w:t>：</w:t>
      </w:r>
      <w:r>
        <w:rPr>
          <w:rFonts w:hint="eastAsia" w:ascii="仿宋" w:hAnsi="仿宋" w:eastAsia="仿宋" w:cs="仿宋"/>
        </w:rPr>
        <w:t>除财政拨款收入和财政专户管理资金以外的收入，包括事业收入（不含教育收费）、上级补助收入、附属单位上缴收入、事业单位经营收入及其他收入（包含债务收入、投资收益等）。</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四、基本支出</w:t>
      </w:r>
      <w:r>
        <w:rPr>
          <w:rFonts w:ascii="仿宋" w:hAnsi="仿宋" w:eastAsia="仿宋" w:cs="仿宋"/>
          <w:b/>
        </w:rPr>
        <w:t>：</w:t>
      </w:r>
      <w:r>
        <w:rPr>
          <w:rFonts w:hint="eastAsia" w:ascii="仿宋" w:hAnsi="仿宋" w:eastAsia="仿宋" w:cs="仿宋"/>
        </w:rPr>
        <w:t>指为保障机构正常运转、完成工作任务而发生的人员支出和公用支出。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五、项目支出</w:t>
      </w:r>
      <w:r>
        <w:rPr>
          <w:rFonts w:ascii="仿宋" w:hAnsi="仿宋" w:eastAsia="仿宋" w:cs="仿宋"/>
          <w:b/>
        </w:rPr>
        <w:t>：</w:t>
      </w:r>
      <w:r>
        <w:rPr>
          <w:rFonts w:hint="eastAsia" w:ascii="仿宋" w:hAnsi="仿宋" w:eastAsia="仿宋" w:cs="仿宋"/>
        </w:rPr>
        <w:t>指在基本支出之外为完成特定工作任务和事业发展目标所发生的支出。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六、“三公”经费</w:t>
      </w:r>
      <w:r>
        <w:rPr>
          <w:rFonts w:ascii="仿宋" w:hAnsi="仿宋" w:eastAsia="仿宋" w:cs="仿宋"/>
          <w:b/>
        </w:rPr>
        <w:t>：</w:t>
      </w:r>
      <w:r>
        <w:rPr>
          <w:rFonts w:hint="eastAsia" w:ascii="仿宋" w:hAnsi="仿宋" w:eastAsia="仿宋" w:cs="仿宋"/>
        </w:rPr>
        <w:t>指部门用一般公共预算财政拨款安排的因公出国（境）费、公务用车购置及运行维护费和公务接待费。其中，因公出国（境）费反映单位公务出国（境）的住宿费、旅费、伙食补助费、杂费、培训费等支出；公务用车购置及运行维护费反映单位公务用车购置费、燃料费、维修费、过路过桥费、保险费、安全奖励费用等支出；公务接待费反映单位按规定开支的各类公务接待（含外宾接待）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七、机关运行经费</w:t>
      </w:r>
      <w:r>
        <w:rPr>
          <w:rFonts w:ascii="仿宋" w:hAnsi="仿宋" w:eastAsia="仿宋" w:cs="仿宋"/>
          <w:b/>
        </w:rPr>
        <w:t>：</w:t>
      </w:r>
      <w:r>
        <w:rPr>
          <w:rFonts w:hint="eastAsia" w:ascii="仿宋" w:hAnsi="仿宋" w:eastAsia="仿宋" w:cs="仿宋"/>
        </w:rPr>
        <w:t>指行政单位（含参照公务员法管理的事业单位）使用一般公共预算安排的基本支出中的日常公用经费支出，包括办公及印刷费、邮电费、差旅费、会议费、福利费、日常维修费、专用材料及一般设备购置费、办公用房水电费、办公用房取暖费、办公用房物业管理费、公务用车运行维护费及其他费用等。</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八、社会保障和就业支出(类)行政事业单位养老支出(款)机关事业单位基本养老保险缴费支出(项)</w:t>
      </w:r>
      <w:r>
        <w:rPr>
          <w:rFonts w:ascii="仿宋" w:hAnsi="仿宋" w:eastAsia="仿宋" w:cs="仿宋"/>
          <w:b/>
        </w:rPr>
        <w:t>：</w:t>
      </w:r>
      <w:r>
        <w:rPr>
          <w:rFonts w:hint="eastAsia" w:ascii="仿宋" w:hAnsi="仿宋" w:eastAsia="仿宋" w:cs="仿宋"/>
        </w:rPr>
        <w:t>反映机关事业单位实施养老保险制度由单位缴纳的基本养老保险费支出。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九、社会保障和就业支出(类)行政事业单位养老支出(款)机关事业单位职业年金缴费支出(项)</w:t>
      </w:r>
      <w:r>
        <w:rPr>
          <w:rFonts w:ascii="仿宋" w:hAnsi="仿宋" w:eastAsia="仿宋" w:cs="仿宋"/>
          <w:b/>
        </w:rPr>
        <w:t>：</w:t>
      </w:r>
      <w:r>
        <w:rPr>
          <w:rFonts w:hint="eastAsia" w:ascii="仿宋" w:hAnsi="仿宋" w:eastAsia="仿宋" w:cs="仿宋"/>
        </w:rPr>
        <w:t>反映机关事业单位实施养老保险制度由单位实际缴纳的职业年金支出。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十、社会保障和就业支出(类)抚恤(款)其他优抚支出(项)</w:t>
      </w:r>
      <w:r>
        <w:rPr>
          <w:rFonts w:ascii="仿宋" w:hAnsi="仿宋" w:eastAsia="仿宋" w:cs="仿宋"/>
          <w:b/>
        </w:rPr>
        <w:t>：</w:t>
      </w:r>
      <w:r>
        <w:rPr>
          <w:rFonts w:hint="eastAsia" w:ascii="仿宋" w:hAnsi="仿宋" w:eastAsia="仿宋" w:cs="仿宋"/>
        </w:rPr>
        <w:t>反映除上述项目以外其他用于优抚方面的支出，包括向优抚对象发放的价格临时补贴、老烈士子女、老党员定期生活补助等支出。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十一、住房保障支出(类)住房改革支出(款)住房公积金(项)</w:t>
      </w:r>
      <w:r>
        <w:rPr>
          <w:rFonts w:ascii="仿宋" w:hAnsi="仿宋" w:eastAsia="仿宋" w:cs="仿宋"/>
          <w:b/>
        </w:rPr>
        <w:t>：</w:t>
      </w:r>
      <w:r>
        <w:rPr>
          <w:rFonts w:hint="eastAsia" w:ascii="仿宋" w:hAnsi="仿宋" w:eastAsia="仿宋" w:cs="仿宋"/>
        </w:rPr>
        <w:t>反映行政事业单位按人力资源和社会保障部、财政部规定的基本工资和津贴补贴以及规定比例为职工缴纳的住房公积金。</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十二、住房保障支出(类)住房改革支出(款)提租补贴(项)</w:t>
      </w:r>
      <w:r>
        <w:rPr>
          <w:rFonts w:ascii="仿宋" w:hAnsi="仿宋" w:eastAsia="仿宋" w:cs="仿宋"/>
          <w:b/>
        </w:rPr>
        <w:t>：</w:t>
      </w:r>
      <w:r>
        <w:rPr>
          <w:rFonts w:hint="eastAsia" w:ascii="仿宋" w:hAnsi="仿宋" w:eastAsia="仿宋" w:cs="仿宋"/>
        </w:rPr>
        <w:t>反映按房改政策规定的标准，行政事业单位向职工（含离退休人员）发放的租金补贴。</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十三、其他支出(类)彩票公益金安排的支出(款)用于社会福利的彩票公益金支出(项)</w:t>
      </w:r>
      <w:r>
        <w:rPr>
          <w:rFonts w:ascii="仿宋" w:hAnsi="仿宋" w:eastAsia="仿宋" w:cs="仿宋"/>
          <w:b/>
        </w:rPr>
        <w:t>：</w:t>
      </w:r>
      <w:r>
        <w:rPr>
          <w:rFonts w:hint="eastAsia" w:ascii="仿宋" w:hAnsi="仿宋" w:eastAsia="仿宋" w:cs="仿宋"/>
        </w:rPr>
        <w:t>反映用于社会福利和社会救助的彩票公益金支出。</w:t>
      </w:r>
    </w:p>
    <w:sectPr>
      <w:pgSz w:w="11906" w:h="16838"/>
      <w:pgMar w:top="1580" w:right="820" w:bottom="770" w:left="822"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6FF" w:usb1="420024FF" w:usb2="02000000" w:usb3="00000000" w:csb0="2000019F" w:csb1="00000000"/>
  </w:font>
  <w:font w:name="Calibri">
    <w:panose1 w:val="020F0502020204030204"/>
    <w:charset w:val="00"/>
    <w:family w:val="swiss"/>
    <w:pitch w:val="default"/>
    <w:sig w:usb0="E4002EFF" w:usb1="C000247B" w:usb2="00000009" w:usb3="00000000" w:csb0="200001FF" w:csb1="00000000"/>
  </w:font>
  <w:font w:name="Arial Unicode MS">
    <w:panose1 w:val="020B0604020202020204"/>
    <w:charset w:val="86"/>
    <w:family w:val="roman"/>
    <w:pitch w:val="default"/>
    <w:sig w:usb0="FFFFFFFF" w:usb1="E9FFFFFF" w:usb2="0000003F" w:usb3="00000000" w:csb0="603F01FF" w:csb1="FFFF0000"/>
  </w:font>
  <w:font w:name="Liberation Sans">
    <w:altName w:val="宋体"/>
    <w:panose1 w:val="020B0604020202020204"/>
    <w:charset w:val="86"/>
    <w:family w:val="roman"/>
    <w:pitch w:val="default"/>
    <w:sig w:usb0="00000000" w:usb1="00000000" w:usb2="00000021" w:usb3="00000000" w:csb0="600001BF" w:csb1="DFF70000"/>
  </w:font>
  <w:font w:name="Liberation Mono">
    <w:altName w:val="宋体"/>
    <w:panose1 w:val="02070409020205020404"/>
    <w:charset w:val="86"/>
    <w:family w:val="roman"/>
    <w:pitch w:val="default"/>
    <w:sig w:usb0="00000000" w:usb1="00000000" w:usb2="00000001" w:usb3="00000000" w:csb0="600001BF" w:csb1="DFF70000"/>
  </w:font>
  <w:font w:name="新宋体">
    <w:panose1 w:val="02010609030101010101"/>
    <w:charset w:val="86"/>
    <w:family w:val="auto"/>
    <w:pitch w:val="default"/>
    <w:sig w:usb0="00000203" w:usb1="288F0000" w:usb2="00000006" w:usb3="00000000" w:csb0="00040001" w:csb1="00000000"/>
  </w:font>
  <w:font w:name="仿宋">
    <w:panose1 w:val="02010609060101010101"/>
    <w:charset w:val="86"/>
    <w:family w:val="auto"/>
    <w:pitch w:val="default"/>
    <w:sig w:usb0="800002BF" w:usb1="38CF7CFA" w:usb2="00000016" w:usb3="00000000" w:csb0="00040001" w:csb1="00000000"/>
  </w:font>
  <w:font w:name="华文仿宋">
    <w:panose1 w:val="02010600040101010101"/>
    <w:charset w:val="86"/>
    <w:family w:val="roman"/>
    <w:pitch w:val="default"/>
    <w:sig w:usb0="00000287" w:usb1="080F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rPr>
        <w:rFonts w:hint="eastAsia" w:ascii="黑体" w:hAnsi="黑体" w:eastAsia="黑体" w:cs="黑体"/>
      </w:rPr>
    </w:pPr>
    <w:r>
      <w:rPr>
        <w:rFonts w:hint="eastAsia" w:ascii="黑体" w:hAnsi="黑体" w:eastAsia="黑体" w:cs="黑体"/>
        <w:sz w:val="18"/>
      </w:rPr>
      <w:pict>
        <v:shape id="_x0000_s4097" o:spid="_x0000_s4097"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v:textbox>
        </v:shape>
      </w:pic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w:pict>
        <v:shape id="_x0000_s4104" o:spid="_x0000_s4104" o:spt="202" type="#_x0000_t202" style="position:absolute;left:0pt;margin-top:0pt;height:144pt;width:144pt;mso-position-horizontal:center;mso-position-horizontal-relative:margin;mso-wrap-style:none;z-index:251666432;mso-width-relative:page;mso-height-relative:page;" filled="f" stroked="f" coordsize="21600,21600">
          <v:path/>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11</w:t>
                </w:r>
                <w:r>
                  <w:rPr>
                    <w:rFonts w:hint="eastAsia"/>
                    <w:lang w:eastAsia="zh-CN"/>
                  </w:rPr>
                  <w:fldChar w:fldCharType="end"/>
                </w:r>
              </w:p>
            </w:txbxContent>
          </v:textbox>
        </v:shape>
      </w:pic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w:pict>
        <v:shape id="_x0000_s4105" o:spid="_x0000_s4105" o:spt="202" type="#_x0000_t202" style="position:absolute;left:0pt;margin-top:0pt;height:144pt;width:144pt;mso-position-horizontal:center;mso-position-horizontal-relative:margin;mso-wrap-style:none;z-index:251667456;mso-width-relative:page;mso-height-relative:page;" filled="f" stroked="f" coordsize="21600,21600">
          <v:path/>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12</w:t>
                </w:r>
                <w:r>
                  <w:rPr>
                    <w:rFonts w:hint="eastAsia"/>
                    <w:lang w:eastAsia="zh-CN"/>
                  </w:rPr>
                  <w:fldChar w:fldCharType="end"/>
                </w:r>
              </w:p>
            </w:txbxContent>
          </v:textbox>
        </v:shape>
      </w:pic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w:pict>
        <v:shape id="_x0000_s4106" o:spid="_x0000_s4106" o:spt="202" type="#_x0000_t202" style="position:absolute;left:0pt;margin-top:0pt;height:144pt;width:144pt;mso-position-horizontal:center;mso-position-horizontal-relative:margin;mso-wrap-style:none;z-index:251668480;mso-width-relative:page;mso-height-relative:page;" filled="f" stroked="f" coordsize="21600,21600">
          <v:path/>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13</w:t>
                </w:r>
                <w:r>
                  <w:rPr>
                    <w:rFonts w:hint="eastAsia"/>
                    <w:lang w:eastAsia="zh-CN"/>
                  </w:rPr>
                  <w:fldChar w:fldCharType="end"/>
                </w:r>
              </w:p>
            </w:txbxContent>
          </v:textbox>
        </v:shape>
      </w:pic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w:pict>
        <v:shape id="_x0000_s4107" o:spid="_x0000_s4107" o:spt="202" type="#_x0000_t202" style="position:absolute;left:0pt;margin-top:0pt;height:144pt;width:144pt;mso-position-horizontal:center;mso-position-horizontal-relative:margin;mso-wrap-style:none;z-index:251669504;mso-width-relative:page;mso-height-relative:page;" filled="f" stroked="f" coordsize="21600,21600">
          <v:path/>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14</w:t>
                </w:r>
                <w:r>
                  <w:rPr>
                    <w:rFonts w:hint="eastAsia"/>
                    <w:lang w:eastAsia="zh-CN"/>
                  </w:rPr>
                  <w:fldChar w:fldCharType="end"/>
                </w:r>
              </w:p>
            </w:txbxContent>
          </v:textbox>
        </v:shape>
      </w:pic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w:pict>
        <v:shape id="_x0000_s4108" o:spid="_x0000_s4108" o:spt="202" type="#_x0000_t202" style="position:absolute;left:0pt;margin-top:0pt;height:144pt;width:144pt;mso-position-horizontal:center;mso-position-horizontal-relative:margin;mso-wrap-style:none;z-index:251670528;mso-width-relative:page;mso-height-relative:page;" filled="f" stroked="f" coordsize="21600,21600">
          <v:path/>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15</w:t>
                </w:r>
                <w:r>
                  <w:rPr>
                    <w:rFonts w:hint="eastAsia"/>
                    <w:lang w:eastAsia="zh-CN"/>
                  </w:rP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rPr>
        <w:rFonts w:hint="eastAsia" w:ascii="黑体" w:hAnsi="黑体" w:eastAsia="黑体" w:cs="黑体"/>
      </w:rPr>
    </w:pPr>
    <w:r>
      <w:rPr>
        <w:rFonts w:hint="eastAsia" w:ascii="黑体" w:hAnsi="黑体" w:eastAsia="黑体" w:cs="黑体"/>
        <w:sz w:val="18"/>
      </w:rPr>
      <w:pict>
        <v:shape id="_x0000_s4113" o:spid="_x0000_s4113"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v:textbox>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w:pict>
        <v:shape id="_x0000_s4111" o:spid="_x0000_s4111" o:spt="202" type="#_x0000_t202" style="position:absolute;left:0pt;margin-top:0pt;height:144pt;width:144pt;mso-position-horizontal:center;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v:textbox>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w:pict>
        <v:shape id="_x0000_s4112" o:spid="_x0000_s4112" o:spt="202" type="#_x0000_t202" style="position:absolute;left:0pt;margin-top:0pt;height:144pt;width:144pt;mso-position-horizontal:center;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5</w:t>
                </w:r>
                <w:r>
                  <w:rPr>
                    <w:rFonts w:hint="eastAsia"/>
                    <w:lang w:eastAsia="zh-CN"/>
                  </w:rPr>
                  <w:fldChar w:fldCharType="end"/>
                </w:r>
              </w:p>
            </w:txbxContent>
          </v:textbox>
        </v:shape>
      </w:pic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w:pict>
        <v:shape id="_x0000_s4099" o:spid="_x0000_s4099" o:spt="202" type="#_x0000_t202" style="position:absolute;left:0pt;margin-top:0pt;height:144pt;width:144pt;mso-position-horizontal:center;mso-position-horizontal-relative:margin;mso-wrap-style:none;z-index:251661312;mso-width-relative:page;mso-height-relative:page;" filled="f" stroked="f" coordsize="21600,21600">
          <v:path/>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6</w:t>
                </w:r>
                <w:r>
                  <w:rPr>
                    <w:rFonts w:hint="eastAsia"/>
                    <w:lang w:eastAsia="zh-CN"/>
                  </w:rPr>
                  <w:fldChar w:fldCharType="end"/>
                </w:r>
              </w:p>
            </w:txbxContent>
          </v:textbox>
        </v:shape>
      </w:pic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w:pict>
        <v:shape id="_x0000_s4100" o:spid="_x0000_s4100" o:spt="202" type="#_x0000_t202" style="position:absolute;left:0pt;margin-top:0pt;height:144pt;width:144pt;mso-position-horizontal:center;mso-position-horizontal-relative:margin;mso-wrap-style:none;z-index:251662336;mso-width-relative:page;mso-height-relative:page;" filled="f" stroked="f" coordsize="21600,21600">
          <v:path/>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7</w:t>
                </w:r>
                <w:r>
                  <w:rPr>
                    <w:rFonts w:hint="eastAsia"/>
                    <w:lang w:eastAsia="zh-CN"/>
                  </w:rPr>
                  <w:fldChar w:fldCharType="end"/>
                </w:r>
              </w:p>
            </w:txbxContent>
          </v:textbox>
        </v:shape>
      </w:pic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w:pict>
        <v:shape id="_x0000_s4101" o:spid="_x0000_s4101" o:spt="202" type="#_x0000_t202" style="position:absolute;left:0pt;margin-top:0pt;height:144pt;width:144pt;mso-position-horizontal:center;mso-position-horizontal-relative:margin;mso-wrap-style:none;z-index:251663360;mso-width-relative:page;mso-height-relative:page;" filled="f" stroked="f" coordsize="21600,21600">
          <v:path/>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8</w:t>
                </w:r>
                <w:r>
                  <w:rPr>
                    <w:rFonts w:hint="eastAsia"/>
                    <w:lang w:eastAsia="zh-CN"/>
                  </w:rPr>
                  <w:fldChar w:fldCharType="end"/>
                </w:r>
              </w:p>
            </w:txbxContent>
          </v:textbox>
        </v:shape>
      </w:pic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w:pict>
        <v:shape id="_x0000_s4102" o:spid="_x0000_s4102" o:spt="202" type="#_x0000_t202" style="position:absolute;left:0pt;margin-top:0pt;height:144pt;width:144pt;mso-position-horizontal:center;mso-position-horizontal-relative:margin;mso-wrap-style:none;z-index:251664384;mso-width-relative:page;mso-height-relative:page;" filled="f" stroked="f" coordsize="21600,21600">
          <v:path/>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9</w:t>
                </w:r>
                <w:r>
                  <w:rPr>
                    <w:rFonts w:hint="eastAsia"/>
                    <w:lang w:eastAsia="zh-CN"/>
                  </w:rPr>
                  <w:fldChar w:fldCharType="end"/>
                </w:r>
              </w:p>
            </w:txbxContent>
          </v:textbox>
        </v:shape>
      </w:pic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w:pict>
        <v:shape id="_x0000_s4103" o:spid="_x0000_s4103" o:spt="202" type="#_x0000_t202" style="position:absolute;left:0pt;margin-top:0pt;height:144pt;width:144pt;mso-position-horizontal:center;mso-position-horizontal-relative:margin;mso-wrap-style:none;z-index:251665408;mso-width-relative:page;mso-height-relative:page;" filled="f" stroked="f" coordsize="21600,21600">
          <v:path/>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10</w:t>
                </w:r>
                <w:r>
                  <w:rPr>
                    <w:rFonts w:hint="eastAsia"/>
                    <w:lang w:eastAsia="zh-CN"/>
                  </w:rP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single" w:color="000000" w:sz="4" w:space="1"/>
      </w:pBdr>
      <w:jc w:val="both"/>
      <w:rPr>
        <w:rFonts w:hint="default" w:eastAsia="Arial Unicode MS"/>
        <w:lang w:val="en-US" w:eastAsia="zh-CN"/>
      </w:rPr>
    </w:pPr>
    <w:r>
      <w:rPr>
        <w:rFonts w:hint="eastAsia"/>
        <w:lang w:val="en-US" w:eastAsia="zh-CN"/>
      </w:rPr>
      <w:t>江苏省伤残人康复中心</w:t>
    </w:r>
    <w:r>
      <w:t>2023年度单位预算公开</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none" w:color="auto" w:sz="0" w:space="1"/>
      </w:pBdr>
      <w:jc w:val="both"/>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bordersDoNotSurroundHeader w:val="0"/>
  <w:bordersDoNotSurroundFooter w:val="0"/>
  <w:documentProtection w:enforcement="0"/>
  <w:defaultTabStop w:val="0"/>
  <w:autoHyphenation/>
  <w:displayHorizontalDrawingGridEvery w:val="1"/>
  <w:displayVerticalDrawingGridEvery w:val="1"/>
  <w:noPunctuationKerning w:val="1"/>
  <w:characterSpacingControl w:val="doNotCompress"/>
  <w:hdrShapeDefaults>
    <o:shapelayout v:ext="edit">
      <o:idmap v:ext="edit" data="3,4"/>
    </o:shapelayout>
  </w:hdrShapeDefaults>
  <w:compat>
    <w:doNotExpandShiftReturn/>
    <w:doNotWrapTextWithPunct/>
    <w:doNotUseEastAsianBreakRules/>
    <w:useFELayout/>
    <w:doNotUseIndentAsNumberingTabStop/>
    <w:useAltKinsokuLineBreakRules/>
    <w:compatSetting w:name="compatibilityMode" w:uri="http://schemas.microsoft.com/office/word" w:val="12"/>
  </w:compat>
  <w:docVars>
    <w:docVar w:name="commondata" w:val="eyJoZGlkIjoiMGUwNWYwNGFmYzNiMTMwMzI4MzFhMzI2ZWRjOTFjMmMifQ=="/>
  </w:docVars>
  <w:rsids>
    <w:rsidRoot w:val="00000000"/>
    <w:rsid w:val="00064984"/>
    <w:rsid w:val="00071288"/>
    <w:rsid w:val="00071789"/>
    <w:rsid w:val="000F12AB"/>
    <w:rsid w:val="001C31F9"/>
    <w:rsid w:val="00407CA7"/>
    <w:rsid w:val="00413AD8"/>
    <w:rsid w:val="004460AE"/>
    <w:rsid w:val="005F037B"/>
    <w:rsid w:val="00671ED7"/>
    <w:rsid w:val="00672164"/>
    <w:rsid w:val="00867423"/>
    <w:rsid w:val="008B5B05"/>
    <w:rsid w:val="00925913"/>
    <w:rsid w:val="009965EA"/>
    <w:rsid w:val="00A61D7A"/>
    <w:rsid w:val="00A6752E"/>
    <w:rsid w:val="00BD7F33"/>
    <w:rsid w:val="00C15920"/>
    <w:rsid w:val="00C35C3A"/>
    <w:rsid w:val="00C82582"/>
    <w:rsid w:val="00F12F06"/>
    <w:rsid w:val="00FA3233"/>
    <w:rsid w:val="010F1E77"/>
    <w:rsid w:val="01200B85"/>
    <w:rsid w:val="012323F2"/>
    <w:rsid w:val="01250615"/>
    <w:rsid w:val="012A50BF"/>
    <w:rsid w:val="015B071F"/>
    <w:rsid w:val="01661111"/>
    <w:rsid w:val="017E3D30"/>
    <w:rsid w:val="01875334"/>
    <w:rsid w:val="018E7014"/>
    <w:rsid w:val="019803DB"/>
    <w:rsid w:val="01C21D36"/>
    <w:rsid w:val="01C22655"/>
    <w:rsid w:val="01CD5A6A"/>
    <w:rsid w:val="01D4677F"/>
    <w:rsid w:val="01F17DF5"/>
    <w:rsid w:val="022643FE"/>
    <w:rsid w:val="0231361C"/>
    <w:rsid w:val="023277C7"/>
    <w:rsid w:val="02420B21"/>
    <w:rsid w:val="026604FF"/>
    <w:rsid w:val="027F398B"/>
    <w:rsid w:val="02A822D0"/>
    <w:rsid w:val="02A9040F"/>
    <w:rsid w:val="02B14230"/>
    <w:rsid w:val="02C41DBA"/>
    <w:rsid w:val="02D43672"/>
    <w:rsid w:val="02D56677"/>
    <w:rsid w:val="02DD471D"/>
    <w:rsid w:val="02DF2FA6"/>
    <w:rsid w:val="02E539E2"/>
    <w:rsid w:val="02E8449D"/>
    <w:rsid w:val="02EB5F67"/>
    <w:rsid w:val="02F513AC"/>
    <w:rsid w:val="0306289F"/>
    <w:rsid w:val="03121471"/>
    <w:rsid w:val="03126CBF"/>
    <w:rsid w:val="033F3F8A"/>
    <w:rsid w:val="03453111"/>
    <w:rsid w:val="03635EB9"/>
    <w:rsid w:val="03673847"/>
    <w:rsid w:val="03690F36"/>
    <w:rsid w:val="03793778"/>
    <w:rsid w:val="039F7320"/>
    <w:rsid w:val="03A06F63"/>
    <w:rsid w:val="03A76AFB"/>
    <w:rsid w:val="03D04B72"/>
    <w:rsid w:val="03D2638C"/>
    <w:rsid w:val="03D34A4B"/>
    <w:rsid w:val="03F86EFB"/>
    <w:rsid w:val="04156348"/>
    <w:rsid w:val="042D0AE6"/>
    <w:rsid w:val="04301AF9"/>
    <w:rsid w:val="043C03D6"/>
    <w:rsid w:val="044E689B"/>
    <w:rsid w:val="045E5FB7"/>
    <w:rsid w:val="046D688B"/>
    <w:rsid w:val="0495610D"/>
    <w:rsid w:val="04AD7D7D"/>
    <w:rsid w:val="04DF580C"/>
    <w:rsid w:val="04E54727"/>
    <w:rsid w:val="04EA46EB"/>
    <w:rsid w:val="04FC61BF"/>
    <w:rsid w:val="05031920"/>
    <w:rsid w:val="05185546"/>
    <w:rsid w:val="052126A9"/>
    <w:rsid w:val="0524518E"/>
    <w:rsid w:val="05247FC3"/>
    <w:rsid w:val="05346113"/>
    <w:rsid w:val="05423E9C"/>
    <w:rsid w:val="05600A24"/>
    <w:rsid w:val="057525F6"/>
    <w:rsid w:val="057D4E99"/>
    <w:rsid w:val="05843580"/>
    <w:rsid w:val="058A7C48"/>
    <w:rsid w:val="058C526F"/>
    <w:rsid w:val="0598316E"/>
    <w:rsid w:val="059F005F"/>
    <w:rsid w:val="05AB4AE4"/>
    <w:rsid w:val="05BD2716"/>
    <w:rsid w:val="05BE0290"/>
    <w:rsid w:val="05C26309"/>
    <w:rsid w:val="05C73A91"/>
    <w:rsid w:val="05D02834"/>
    <w:rsid w:val="05DB339C"/>
    <w:rsid w:val="05FE3016"/>
    <w:rsid w:val="060036BC"/>
    <w:rsid w:val="06006806"/>
    <w:rsid w:val="0603001C"/>
    <w:rsid w:val="060D1C4C"/>
    <w:rsid w:val="061C50DF"/>
    <w:rsid w:val="06230B92"/>
    <w:rsid w:val="063A5C0D"/>
    <w:rsid w:val="06542957"/>
    <w:rsid w:val="0681129C"/>
    <w:rsid w:val="06814BC1"/>
    <w:rsid w:val="069443D9"/>
    <w:rsid w:val="0695552F"/>
    <w:rsid w:val="06C82C74"/>
    <w:rsid w:val="06C87B62"/>
    <w:rsid w:val="06CE7B40"/>
    <w:rsid w:val="06CF29F0"/>
    <w:rsid w:val="06DF6D8E"/>
    <w:rsid w:val="06F64F39"/>
    <w:rsid w:val="072A453E"/>
    <w:rsid w:val="073A470E"/>
    <w:rsid w:val="074746B7"/>
    <w:rsid w:val="07502153"/>
    <w:rsid w:val="07520D7A"/>
    <w:rsid w:val="075575FE"/>
    <w:rsid w:val="07580A5A"/>
    <w:rsid w:val="07605D4D"/>
    <w:rsid w:val="07656047"/>
    <w:rsid w:val="077C711D"/>
    <w:rsid w:val="0791508D"/>
    <w:rsid w:val="079361A1"/>
    <w:rsid w:val="079544D8"/>
    <w:rsid w:val="07BE5639"/>
    <w:rsid w:val="07C509DD"/>
    <w:rsid w:val="07E94F52"/>
    <w:rsid w:val="07ED0853"/>
    <w:rsid w:val="0802783B"/>
    <w:rsid w:val="08031AA7"/>
    <w:rsid w:val="0806186F"/>
    <w:rsid w:val="081B2715"/>
    <w:rsid w:val="082E3E50"/>
    <w:rsid w:val="083365CC"/>
    <w:rsid w:val="083B723A"/>
    <w:rsid w:val="084A66D7"/>
    <w:rsid w:val="08582C83"/>
    <w:rsid w:val="0860441B"/>
    <w:rsid w:val="086A0004"/>
    <w:rsid w:val="088901F8"/>
    <w:rsid w:val="08913758"/>
    <w:rsid w:val="08931509"/>
    <w:rsid w:val="08A333FC"/>
    <w:rsid w:val="08B16290"/>
    <w:rsid w:val="08BD1AAD"/>
    <w:rsid w:val="08D342E7"/>
    <w:rsid w:val="08E134F8"/>
    <w:rsid w:val="08FC0605"/>
    <w:rsid w:val="08FE52B0"/>
    <w:rsid w:val="090F5FB7"/>
    <w:rsid w:val="09165D85"/>
    <w:rsid w:val="092660BA"/>
    <w:rsid w:val="0932487E"/>
    <w:rsid w:val="09335ED1"/>
    <w:rsid w:val="093E6258"/>
    <w:rsid w:val="096204B4"/>
    <w:rsid w:val="096B0C35"/>
    <w:rsid w:val="09755324"/>
    <w:rsid w:val="09891979"/>
    <w:rsid w:val="098926B4"/>
    <w:rsid w:val="09984875"/>
    <w:rsid w:val="09C976A3"/>
    <w:rsid w:val="09D842BB"/>
    <w:rsid w:val="09E82283"/>
    <w:rsid w:val="09EB3C7D"/>
    <w:rsid w:val="09F032D5"/>
    <w:rsid w:val="09F45579"/>
    <w:rsid w:val="09FE0C6E"/>
    <w:rsid w:val="0A097E66"/>
    <w:rsid w:val="0A0C628A"/>
    <w:rsid w:val="0A112BB9"/>
    <w:rsid w:val="0A1D215F"/>
    <w:rsid w:val="0A2639C8"/>
    <w:rsid w:val="0A3F45FE"/>
    <w:rsid w:val="0A401C98"/>
    <w:rsid w:val="0A6747AF"/>
    <w:rsid w:val="0A7F08D2"/>
    <w:rsid w:val="0A964BFD"/>
    <w:rsid w:val="0AA075CB"/>
    <w:rsid w:val="0AAE2A44"/>
    <w:rsid w:val="0AC21E5D"/>
    <w:rsid w:val="0AC55FA1"/>
    <w:rsid w:val="0ADA70C2"/>
    <w:rsid w:val="0AFD463B"/>
    <w:rsid w:val="0B05614C"/>
    <w:rsid w:val="0B134992"/>
    <w:rsid w:val="0B160131"/>
    <w:rsid w:val="0B230AE7"/>
    <w:rsid w:val="0B2A7862"/>
    <w:rsid w:val="0B307A4D"/>
    <w:rsid w:val="0B392278"/>
    <w:rsid w:val="0B47682F"/>
    <w:rsid w:val="0B7D689F"/>
    <w:rsid w:val="0B813D25"/>
    <w:rsid w:val="0B830273"/>
    <w:rsid w:val="0B89728A"/>
    <w:rsid w:val="0B927AE0"/>
    <w:rsid w:val="0BAC43D1"/>
    <w:rsid w:val="0BBA5B2E"/>
    <w:rsid w:val="0BC71572"/>
    <w:rsid w:val="0BCF6DAD"/>
    <w:rsid w:val="0BF41C52"/>
    <w:rsid w:val="0C047996"/>
    <w:rsid w:val="0C163DEC"/>
    <w:rsid w:val="0C2215AA"/>
    <w:rsid w:val="0C276CFA"/>
    <w:rsid w:val="0C6536DB"/>
    <w:rsid w:val="0C797590"/>
    <w:rsid w:val="0C8331D2"/>
    <w:rsid w:val="0C887036"/>
    <w:rsid w:val="0CA85DF1"/>
    <w:rsid w:val="0CD230A9"/>
    <w:rsid w:val="0CD65166"/>
    <w:rsid w:val="0CDB2BBC"/>
    <w:rsid w:val="0CE84C0B"/>
    <w:rsid w:val="0CEF2113"/>
    <w:rsid w:val="0CEF2581"/>
    <w:rsid w:val="0CF6511F"/>
    <w:rsid w:val="0D05225F"/>
    <w:rsid w:val="0D135B57"/>
    <w:rsid w:val="0D261419"/>
    <w:rsid w:val="0D5C0A4E"/>
    <w:rsid w:val="0D617032"/>
    <w:rsid w:val="0D6C5D61"/>
    <w:rsid w:val="0D710964"/>
    <w:rsid w:val="0D760FDB"/>
    <w:rsid w:val="0D7F345D"/>
    <w:rsid w:val="0D967B5D"/>
    <w:rsid w:val="0DAC0D2B"/>
    <w:rsid w:val="0DC6242A"/>
    <w:rsid w:val="0DD06A00"/>
    <w:rsid w:val="0DE15F97"/>
    <w:rsid w:val="0DEA4D10"/>
    <w:rsid w:val="0DF26A45"/>
    <w:rsid w:val="0DFC3CDF"/>
    <w:rsid w:val="0DFD772C"/>
    <w:rsid w:val="0DFF5826"/>
    <w:rsid w:val="0E1F1C4F"/>
    <w:rsid w:val="0E27451D"/>
    <w:rsid w:val="0E360EBF"/>
    <w:rsid w:val="0E446C91"/>
    <w:rsid w:val="0E5E7568"/>
    <w:rsid w:val="0E662847"/>
    <w:rsid w:val="0E931E6B"/>
    <w:rsid w:val="0E94230E"/>
    <w:rsid w:val="0E9B0E3D"/>
    <w:rsid w:val="0EE37775"/>
    <w:rsid w:val="0EEB14E4"/>
    <w:rsid w:val="0EFE25F0"/>
    <w:rsid w:val="0F074533"/>
    <w:rsid w:val="0F126197"/>
    <w:rsid w:val="0F160696"/>
    <w:rsid w:val="0F196D84"/>
    <w:rsid w:val="0F35442E"/>
    <w:rsid w:val="0F405BCB"/>
    <w:rsid w:val="0F5D08F2"/>
    <w:rsid w:val="0F636360"/>
    <w:rsid w:val="0F6874F8"/>
    <w:rsid w:val="0F722DC1"/>
    <w:rsid w:val="0F807B33"/>
    <w:rsid w:val="0F8F17E6"/>
    <w:rsid w:val="0F951429"/>
    <w:rsid w:val="0FA12FE2"/>
    <w:rsid w:val="0FA87597"/>
    <w:rsid w:val="0FB02B15"/>
    <w:rsid w:val="0FB21F29"/>
    <w:rsid w:val="0FB47D1E"/>
    <w:rsid w:val="0FCE598D"/>
    <w:rsid w:val="0FD04F5B"/>
    <w:rsid w:val="0FEF37CA"/>
    <w:rsid w:val="0FF3733C"/>
    <w:rsid w:val="100928FC"/>
    <w:rsid w:val="101C6AA7"/>
    <w:rsid w:val="10201C61"/>
    <w:rsid w:val="10223EE6"/>
    <w:rsid w:val="1027035F"/>
    <w:rsid w:val="102A69EF"/>
    <w:rsid w:val="103D6600"/>
    <w:rsid w:val="10566122"/>
    <w:rsid w:val="106204CB"/>
    <w:rsid w:val="10A90FB7"/>
    <w:rsid w:val="10EE0376"/>
    <w:rsid w:val="10F05AC0"/>
    <w:rsid w:val="11037A82"/>
    <w:rsid w:val="1106739D"/>
    <w:rsid w:val="11082369"/>
    <w:rsid w:val="11092167"/>
    <w:rsid w:val="110C3973"/>
    <w:rsid w:val="110D47B0"/>
    <w:rsid w:val="11110225"/>
    <w:rsid w:val="111930E1"/>
    <w:rsid w:val="11252430"/>
    <w:rsid w:val="1143676B"/>
    <w:rsid w:val="11471791"/>
    <w:rsid w:val="115455AE"/>
    <w:rsid w:val="11566852"/>
    <w:rsid w:val="11665F46"/>
    <w:rsid w:val="11731E49"/>
    <w:rsid w:val="117C1012"/>
    <w:rsid w:val="11872569"/>
    <w:rsid w:val="118B4C58"/>
    <w:rsid w:val="11AB09B5"/>
    <w:rsid w:val="11C36B1F"/>
    <w:rsid w:val="11C52DC5"/>
    <w:rsid w:val="11F13A70"/>
    <w:rsid w:val="11F221C7"/>
    <w:rsid w:val="11F2605E"/>
    <w:rsid w:val="11F724E3"/>
    <w:rsid w:val="120D722B"/>
    <w:rsid w:val="120E398D"/>
    <w:rsid w:val="122227BF"/>
    <w:rsid w:val="12313173"/>
    <w:rsid w:val="12313682"/>
    <w:rsid w:val="12417561"/>
    <w:rsid w:val="124507C4"/>
    <w:rsid w:val="125C02AF"/>
    <w:rsid w:val="12613C4A"/>
    <w:rsid w:val="12747306"/>
    <w:rsid w:val="128157F4"/>
    <w:rsid w:val="12B566A2"/>
    <w:rsid w:val="12BB25EA"/>
    <w:rsid w:val="12C448B1"/>
    <w:rsid w:val="12C80F12"/>
    <w:rsid w:val="12F05187"/>
    <w:rsid w:val="12F12F8E"/>
    <w:rsid w:val="13082AF4"/>
    <w:rsid w:val="13142710"/>
    <w:rsid w:val="1335650B"/>
    <w:rsid w:val="133E1FA2"/>
    <w:rsid w:val="134640CA"/>
    <w:rsid w:val="1393557C"/>
    <w:rsid w:val="139377AA"/>
    <w:rsid w:val="13A44407"/>
    <w:rsid w:val="13BF1F88"/>
    <w:rsid w:val="13D61754"/>
    <w:rsid w:val="13E2730D"/>
    <w:rsid w:val="13F85ED3"/>
    <w:rsid w:val="140626B0"/>
    <w:rsid w:val="140C350F"/>
    <w:rsid w:val="14176DEC"/>
    <w:rsid w:val="14207DA2"/>
    <w:rsid w:val="142101C9"/>
    <w:rsid w:val="1426656E"/>
    <w:rsid w:val="14290F74"/>
    <w:rsid w:val="143016E3"/>
    <w:rsid w:val="143164E8"/>
    <w:rsid w:val="14341A45"/>
    <w:rsid w:val="14677E98"/>
    <w:rsid w:val="146856DB"/>
    <w:rsid w:val="147E4E1C"/>
    <w:rsid w:val="14933F94"/>
    <w:rsid w:val="14A601B4"/>
    <w:rsid w:val="14AA0D30"/>
    <w:rsid w:val="14BA3B44"/>
    <w:rsid w:val="14BC5944"/>
    <w:rsid w:val="1504334D"/>
    <w:rsid w:val="15085477"/>
    <w:rsid w:val="15301F7D"/>
    <w:rsid w:val="15510701"/>
    <w:rsid w:val="15664CCA"/>
    <w:rsid w:val="15751E1E"/>
    <w:rsid w:val="159E0364"/>
    <w:rsid w:val="15A6321E"/>
    <w:rsid w:val="15A93A1E"/>
    <w:rsid w:val="15B93CF7"/>
    <w:rsid w:val="15BC393E"/>
    <w:rsid w:val="15D36B14"/>
    <w:rsid w:val="16053674"/>
    <w:rsid w:val="16146EAD"/>
    <w:rsid w:val="161A451C"/>
    <w:rsid w:val="161E395E"/>
    <w:rsid w:val="1621543B"/>
    <w:rsid w:val="1624624B"/>
    <w:rsid w:val="16362556"/>
    <w:rsid w:val="163E1726"/>
    <w:rsid w:val="164E09AC"/>
    <w:rsid w:val="165D4EE7"/>
    <w:rsid w:val="165F31F4"/>
    <w:rsid w:val="1668038E"/>
    <w:rsid w:val="16761AB0"/>
    <w:rsid w:val="167F1A6B"/>
    <w:rsid w:val="16971C37"/>
    <w:rsid w:val="16BC7A59"/>
    <w:rsid w:val="16BE14E7"/>
    <w:rsid w:val="16BE34FA"/>
    <w:rsid w:val="16E22E32"/>
    <w:rsid w:val="16ED632E"/>
    <w:rsid w:val="170E72F7"/>
    <w:rsid w:val="1717031D"/>
    <w:rsid w:val="171E4E0F"/>
    <w:rsid w:val="174C5C53"/>
    <w:rsid w:val="175D47C3"/>
    <w:rsid w:val="17A3379A"/>
    <w:rsid w:val="17AA17F9"/>
    <w:rsid w:val="17BB6387"/>
    <w:rsid w:val="17BC2D29"/>
    <w:rsid w:val="17CE15BC"/>
    <w:rsid w:val="17E30A34"/>
    <w:rsid w:val="18001707"/>
    <w:rsid w:val="1808589E"/>
    <w:rsid w:val="18222DA8"/>
    <w:rsid w:val="18272F04"/>
    <w:rsid w:val="183338BA"/>
    <w:rsid w:val="18473583"/>
    <w:rsid w:val="18524953"/>
    <w:rsid w:val="186600A5"/>
    <w:rsid w:val="18794B37"/>
    <w:rsid w:val="18881E90"/>
    <w:rsid w:val="188B47DF"/>
    <w:rsid w:val="18916DBC"/>
    <w:rsid w:val="18AA3C15"/>
    <w:rsid w:val="18C07826"/>
    <w:rsid w:val="18C459C9"/>
    <w:rsid w:val="18C77023"/>
    <w:rsid w:val="18D61672"/>
    <w:rsid w:val="18EF66F3"/>
    <w:rsid w:val="18FD3C01"/>
    <w:rsid w:val="19195D82"/>
    <w:rsid w:val="191C7DE1"/>
    <w:rsid w:val="19343FC3"/>
    <w:rsid w:val="19414FE0"/>
    <w:rsid w:val="194A216C"/>
    <w:rsid w:val="194C63DF"/>
    <w:rsid w:val="19517451"/>
    <w:rsid w:val="196D1879"/>
    <w:rsid w:val="19894C4A"/>
    <w:rsid w:val="19902294"/>
    <w:rsid w:val="199B578D"/>
    <w:rsid w:val="199D3E22"/>
    <w:rsid w:val="19A676CD"/>
    <w:rsid w:val="19B34CEE"/>
    <w:rsid w:val="19C57B31"/>
    <w:rsid w:val="19CE54E8"/>
    <w:rsid w:val="19DA0E66"/>
    <w:rsid w:val="1A0868DE"/>
    <w:rsid w:val="1A1F3D9C"/>
    <w:rsid w:val="1A386BB6"/>
    <w:rsid w:val="1A3E0B9C"/>
    <w:rsid w:val="1A641248"/>
    <w:rsid w:val="1A69798E"/>
    <w:rsid w:val="1A6B178B"/>
    <w:rsid w:val="1A777E45"/>
    <w:rsid w:val="1A980FA1"/>
    <w:rsid w:val="1AB47408"/>
    <w:rsid w:val="1AD90120"/>
    <w:rsid w:val="1ADD7704"/>
    <w:rsid w:val="1AEB035A"/>
    <w:rsid w:val="1AF0114F"/>
    <w:rsid w:val="1B0C3664"/>
    <w:rsid w:val="1B136BC2"/>
    <w:rsid w:val="1B1C5890"/>
    <w:rsid w:val="1B1D0ABE"/>
    <w:rsid w:val="1B2F4D83"/>
    <w:rsid w:val="1B304188"/>
    <w:rsid w:val="1B304996"/>
    <w:rsid w:val="1B363B76"/>
    <w:rsid w:val="1B394ECA"/>
    <w:rsid w:val="1B401513"/>
    <w:rsid w:val="1B6F2A95"/>
    <w:rsid w:val="1B7011A6"/>
    <w:rsid w:val="1B785235"/>
    <w:rsid w:val="1B792ACF"/>
    <w:rsid w:val="1B840862"/>
    <w:rsid w:val="1B894395"/>
    <w:rsid w:val="1BB55613"/>
    <w:rsid w:val="1BC27E9A"/>
    <w:rsid w:val="1BC50E0F"/>
    <w:rsid w:val="1BC6758D"/>
    <w:rsid w:val="1BC84BF9"/>
    <w:rsid w:val="1BCA1AE9"/>
    <w:rsid w:val="1BD968B0"/>
    <w:rsid w:val="1BE008E5"/>
    <w:rsid w:val="1BE426E0"/>
    <w:rsid w:val="1BEF5EDC"/>
    <w:rsid w:val="1BF3045F"/>
    <w:rsid w:val="1C0C63DC"/>
    <w:rsid w:val="1C136791"/>
    <w:rsid w:val="1C171374"/>
    <w:rsid w:val="1C2E7658"/>
    <w:rsid w:val="1C3911E9"/>
    <w:rsid w:val="1C460024"/>
    <w:rsid w:val="1C4928ED"/>
    <w:rsid w:val="1C545CAF"/>
    <w:rsid w:val="1C706707"/>
    <w:rsid w:val="1C8F4549"/>
    <w:rsid w:val="1C923280"/>
    <w:rsid w:val="1C9B1094"/>
    <w:rsid w:val="1C9D7829"/>
    <w:rsid w:val="1CA25487"/>
    <w:rsid w:val="1CAD7144"/>
    <w:rsid w:val="1CD05B49"/>
    <w:rsid w:val="1CD53375"/>
    <w:rsid w:val="1CD770E1"/>
    <w:rsid w:val="1CDF3C35"/>
    <w:rsid w:val="1CE24559"/>
    <w:rsid w:val="1CE7284C"/>
    <w:rsid w:val="1CED64E7"/>
    <w:rsid w:val="1CF655C7"/>
    <w:rsid w:val="1CF70CE3"/>
    <w:rsid w:val="1D0936F0"/>
    <w:rsid w:val="1D0E4D1B"/>
    <w:rsid w:val="1D0F64B4"/>
    <w:rsid w:val="1D103F06"/>
    <w:rsid w:val="1D201166"/>
    <w:rsid w:val="1D3214B5"/>
    <w:rsid w:val="1D383DB3"/>
    <w:rsid w:val="1D387361"/>
    <w:rsid w:val="1D387D1B"/>
    <w:rsid w:val="1D552DD9"/>
    <w:rsid w:val="1D5A4782"/>
    <w:rsid w:val="1D623037"/>
    <w:rsid w:val="1D672CB3"/>
    <w:rsid w:val="1D7C0925"/>
    <w:rsid w:val="1D817975"/>
    <w:rsid w:val="1D8D6595"/>
    <w:rsid w:val="1D906641"/>
    <w:rsid w:val="1D93356C"/>
    <w:rsid w:val="1D951979"/>
    <w:rsid w:val="1DA8336C"/>
    <w:rsid w:val="1DAF110E"/>
    <w:rsid w:val="1DB61054"/>
    <w:rsid w:val="1DB87467"/>
    <w:rsid w:val="1DC94431"/>
    <w:rsid w:val="1DD028C9"/>
    <w:rsid w:val="1DD2622D"/>
    <w:rsid w:val="1DF402E5"/>
    <w:rsid w:val="1E0F2F88"/>
    <w:rsid w:val="1E107489"/>
    <w:rsid w:val="1E120047"/>
    <w:rsid w:val="1E2456FC"/>
    <w:rsid w:val="1E2B042A"/>
    <w:rsid w:val="1E387717"/>
    <w:rsid w:val="1E4314E9"/>
    <w:rsid w:val="1E5227F5"/>
    <w:rsid w:val="1E5841ED"/>
    <w:rsid w:val="1E5939DF"/>
    <w:rsid w:val="1E5B1486"/>
    <w:rsid w:val="1E6C2CB1"/>
    <w:rsid w:val="1E802C45"/>
    <w:rsid w:val="1E845937"/>
    <w:rsid w:val="1E86604F"/>
    <w:rsid w:val="1E8B2478"/>
    <w:rsid w:val="1EA55F87"/>
    <w:rsid w:val="1EB14C1F"/>
    <w:rsid w:val="1EBB4C20"/>
    <w:rsid w:val="1EC57AB3"/>
    <w:rsid w:val="1ECE40F1"/>
    <w:rsid w:val="1EF33AAB"/>
    <w:rsid w:val="1EF93282"/>
    <w:rsid w:val="1EFC05DA"/>
    <w:rsid w:val="1F242409"/>
    <w:rsid w:val="1F316BB4"/>
    <w:rsid w:val="1F336463"/>
    <w:rsid w:val="1F342CDC"/>
    <w:rsid w:val="1F4E1AE0"/>
    <w:rsid w:val="1F5838AB"/>
    <w:rsid w:val="1F721347"/>
    <w:rsid w:val="1F7237CF"/>
    <w:rsid w:val="1F724421"/>
    <w:rsid w:val="1F8122F8"/>
    <w:rsid w:val="1F8B39C7"/>
    <w:rsid w:val="1F8C1569"/>
    <w:rsid w:val="1FA17CC2"/>
    <w:rsid w:val="1FB1012B"/>
    <w:rsid w:val="1FD5645B"/>
    <w:rsid w:val="1FD866E0"/>
    <w:rsid w:val="1FE16BA6"/>
    <w:rsid w:val="1FEA282E"/>
    <w:rsid w:val="1FF92872"/>
    <w:rsid w:val="1FFE4976"/>
    <w:rsid w:val="200945DD"/>
    <w:rsid w:val="200B03E4"/>
    <w:rsid w:val="200E293D"/>
    <w:rsid w:val="201802D4"/>
    <w:rsid w:val="203E1903"/>
    <w:rsid w:val="203E1A00"/>
    <w:rsid w:val="20571955"/>
    <w:rsid w:val="20594713"/>
    <w:rsid w:val="20623C07"/>
    <w:rsid w:val="20632091"/>
    <w:rsid w:val="20900DEF"/>
    <w:rsid w:val="209B6228"/>
    <w:rsid w:val="20C60ED2"/>
    <w:rsid w:val="20C936CA"/>
    <w:rsid w:val="20CA3D8E"/>
    <w:rsid w:val="20D220E2"/>
    <w:rsid w:val="20F544F1"/>
    <w:rsid w:val="21203D8A"/>
    <w:rsid w:val="2148186B"/>
    <w:rsid w:val="21650D4A"/>
    <w:rsid w:val="21776D10"/>
    <w:rsid w:val="21866291"/>
    <w:rsid w:val="218F0CEB"/>
    <w:rsid w:val="218F78F2"/>
    <w:rsid w:val="21A55BAA"/>
    <w:rsid w:val="21D50133"/>
    <w:rsid w:val="21EA64FE"/>
    <w:rsid w:val="22145011"/>
    <w:rsid w:val="223D4452"/>
    <w:rsid w:val="223F0861"/>
    <w:rsid w:val="22442034"/>
    <w:rsid w:val="224F77DA"/>
    <w:rsid w:val="227347E3"/>
    <w:rsid w:val="227D4749"/>
    <w:rsid w:val="22812FB7"/>
    <w:rsid w:val="228D26CE"/>
    <w:rsid w:val="229E476C"/>
    <w:rsid w:val="22B66C67"/>
    <w:rsid w:val="22B96619"/>
    <w:rsid w:val="22C32A6D"/>
    <w:rsid w:val="22C9349D"/>
    <w:rsid w:val="22CF4CB9"/>
    <w:rsid w:val="22E5714F"/>
    <w:rsid w:val="22E640D2"/>
    <w:rsid w:val="22F9307D"/>
    <w:rsid w:val="22FF181D"/>
    <w:rsid w:val="23017A9F"/>
    <w:rsid w:val="23073234"/>
    <w:rsid w:val="23153D35"/>
    <w:rsid w:val="231859C4"/>
    <w:rsid w:val="233651B2"/>
    <w:rsid w:val="233C5C01"/>
    <w:rsid w:val="234F51B0"/>
    <w:rsid w:val="23655593"/>
    <w:rsid w:val="237119E0"/>
    <w:rsid w:val="23873CA0"/>
    <w:rsid w:val="239B7C6E"/>
    <w:rsid w:val="23A668C2"/>
    <w:rsid w:val="23C56A83"/>
    <w:rsid w:val="23CC14AA"/>
    <w:rsid w:val="23D87A5D"/>
    <w:rsid w:val="23F81D1C"/>
    <w:rsid w:val="23F87AE8"/>
    <w:rsid w:val="24004EF0"/>
    <w:rsid w:val="241C168B"/>
    <w:rsid w:val="242403FF"/>
    <w:rsid w:val="242B2707"/>
    <w:rsid w:val="24361C71"/>
    <w:rsid w:val="2443382C"/>
    <w:rsid w:val="244706D0"/>
    <w:rsid w:val="244E4876"/>
    <w:rsid w:val="2455798C"/>
    <w:rsid w:val="246E4FE1"/>
    <w:rsid w:val="247771B1"/>
    <w:rsid w:val="24797436"/>
    <w:rsid w:val="24893698"/>
    <w:rsid w:val="248A0DA1"/>
    <w:rsid w:val="248B0DC9"/>
    <w:rsid w:val="24EF440E"/>
    <w:rsid w:val="25175618"/>
    <w:rsid w:val="25191A92"/>
    <w:rsid w:val="25290357"/>
    <w:rsid w:val="253C3B25"/>
    <w:rsid w:val="255657E1"/>
    <w:rsid w:val="255973A9"/>
    <w:rsid w:val="255F5B0A"/>
    <w:rsid w:val="2562495D"/>
    <w:rsid w:val="2565212F"/>
    <w:rsid w:val="25664EB1"/>
    <w:rsid w:val="2573629D"/>
    <w:rsid w:val="257B7E43"/>
    <w:rsid w:val="257E4B14"/>
    <w:rsid w:val="257F631A"/>
    <w:rsid w:val="2581181F"/>
    <w:rsid w:val="258471C2"/>
    <w:rsid w:val="258B7C76"/>
    <w:rsid w:val="259D492D"/>
    <w:rsid w:val="25A120E6"/>
    <w:rsid w:val="25A36C3A"/>
    <w:rsid w:val="25A62926"/>
    <w:rsid w:val="25A7022D"/>
    <w:rsid w:val="25AA772C"/>
    <w:rsid w:val="25BD0276"/>
    <w:rsid w:val="25E2513A"/>
    <w:rsid w:val="25F45922"/>
    <w:rsid w:val="25FD2F48"/>
    <w:rsid w:val="260419A0"/>
    <w:rsid w:val="262D4206"/>
    <w:rsid w:val="262E21CA"/>
    <w:rsid w:val="2650449B"/>
    <w:rsid w:val="26523500"/>
    <w:rsid w:val="2657371E"/>
    <w:rsid w:val="26713F63"/>
    <w:rsid w:val="26753166"/>
    <w:rsid w:val="267C5A99"/>
    <w:rsid w:val="2682148D"/>
    <w:rsid w:val="26874807"/>
    <w:rsid w:val="268D22B5"/>
    <w:rsid w:val="269240CC"/>
    <w:rsid w:val="26955595"/>
    <w:rsid w:val="269A47B4"/>
    <w:rsid w:val="26CC2C30"/>
    <w:rsid w:val="26E269B0"/>
    <w:rsid w:val="26EC7F5B"/>
    <w:rsid w:val="27175BDC"/>
    <w:rsid w:val="271B5FAA"/>
    <w:rsid w:val="271E071C"/>
    <w:rsid w:val="272B00CD"/>
    <w:rsid w:val="27381EB7"/>
    <w:rsid w:val="27391B86"/>
    <w:rsid w:val="27504A85"/>
    <w:rsid w:val="275E5E47"/>
    <w:rsid w:val="27924AA1"/>
    <w:rsid w:val="27962E21"/>
    <w:rsid w:val="2796479F"/>
    <w:rsid w:val="279768B3"/>
    <w:rsid w:val="279A19EA"/>
    <w:rsid w:val="279C172C"/>
    <w:rsid w:val="27A565BD"/>
    <w:rsid w:val="27B169B4"/>
    <w:rsid w:val="27B911ED"/>
    <w:rsid w:val="27C54989"/>
    <w:rsid w:val="27D27F60"/>
    <w:rsid w:val="27E744FA"/>
    <w:rsid w:val="27E83986"/>
    <w:rsid w:val="27F44081"/>
    <w:rsid w:val="27F83B89"/>
    <w:rsid w:val="27FE146D"/>
    <w:rsid w:val="283A041C"/>
    <w:rsid w:val="283E36E3"/>
    <w:rsid w:val="284675E2"/>
    <w:rsid w:val="284E0B22"/>
    <w:rsid w:val="28543497"/>
    <w:rsid w:val="285964FE"/>
    <w:rsid w:val="28630B61"/>
    <w:rsid w:val="286C012F"/>
    <w:rsid w:val="28801A49"/>
    <w:rsid w:val="288A740B"/>
    <w:rsid w:val="289B5942"/>
    <w:rsid w:val="289F43E5"/>
    <w:rsid w:val="28B77612"/>
    <w:rsid w:val="28BB465F"/>
    <w:rsid w:val="28DD5583"/>
    <w:rsid w:val="28EA0128"/>
    <w:rsid w:val="28EE3B49"/>
    <w:rsid w:val="28FF185C"/>
    <w:rsid w:val="29012269"/>
    <w:rsid w:val="290B3CDD"/>
    <w:rsid w:val="291451AB"/>
    <w:rsid w:val="29157417"/>
    <w:rsid w:val="291E50DC"/>
    <w:rsid w:val="29285E0F"/>
    <w:rsid w:val="29324D22"/>
    <w:rsid w:val="293D797A"/>
    <w:rsid w:val="29505C1F"/>
    <w:rsid w:val="29516A39"/>
    <w:rsid w:val="29590599"/>
    <w:rsid w:val="295D585C"/>
    <w:rsid w:val="29632CC6"/>
    <w:rsid w:val="297158AB"/>
    <w:rsid w:val="29807966"/>
    <w:rsid w:val="298714AD"/>
    <w:rsid w:val="29C02FCD"/>
    <w:rsid w:val="29C10231"/>
    <w:rsid w:val="29C63807"/>
    <w:rsid w:val="29D82305"/>
    <w:rsid w:val="29EB45D3"/>
    <w:rsid w:val="29F940E1"/>
    <w:rsid w:val="2A0312F6"/>
    <w:rsid w:val="2A07685B"/>
    <w:rsid w:val="2A2569D8"/>
    <w:rsid w:val="2A2F7528"/>
    <w:rsid w:val="2A392EFC"/>
    <w:rsid w:val="2A3E46F3"/>
    <w:rsid w:val="2A5338A7"/>
    <w:rsid w:val="2A660CEE"/>
    <w:rsid w:val="2A7975D0"/>
    <w:rsid w:val="2A7B46D0"/>
    <w:rsid w:val="2A7E694A"/>
    <w:rsid w:val="2A7F12E2"/>
    <w:rsid w:val="2A88405F"/>
    <w:rsid w:val="2AC03F74"/>
    <w:rsid w:val="2ACD4D90"/>
    <w:rsid w:val="2ADC43C4"/>
    <w:rsid w:val="2AE07B98"/>
    <w:rsid w:val="2B0D7B3A"/>
    <w:rsid w:val="2B160173"/>
    <w:rsid w:val="2B17222B"/>
    <w:rsid w:val="2B1B36C2"/>
    <w:rsid w:val="2B262263"/>
    <w:rsid w:val="2B2D7A14"/>
    <w:rsid w:val="2B4701CA"/>
    <w:rsid w:val="2B62668E"/>
    <w:rsid w:val="2B7874BE"/>
    <w:rsid w:val="2B7A42C1"/>
    <w:rsid w:val="2B82668D"/>
    <w:rsid w:val="2B8F49BB"/>
    <w:rsid w:val="2BB75736"/>
    <w:rsid w:val="2BBA10FA"/>
    <w:rsid w:val="2BBF0C02"/>
    <w:rsid w:val="2BDD28EB"/>
    <w:rsid w:val="2BF43094"/>
    <w:rsid w:val="2BF909AA"/>
    <w:rsid w:val="2C0757B7"/>
    <w:rsid w:val="2C365068"/>
    <w:rsid w:val="2C4B5707"/>
    <w:rsid w:val="2C57786C"/>
    <w:rsid w:val="2C595430"/>
    <w:rsid w:val="2C660130"/>
    <w:rsid w:val="2C6B03A2"/>
    <w:rsid w:val="2C95017E"/>
    <w:rsid w:val="2C9B2015"/>
    <w:rsid w:val="2CA1010B"/>
    <w:rsid w:val="2CAE33C9"/>
    <w:rsid w:val="2CB9711D"/>
    <w:rsid w:val="2CD62921"/>
    <w:rsid w:val="2CF3363A"/>
    <w:rsid w:val="2D0009BD"/>
    <w:rsid w:val="2D000C25"/>
    <w:rsid w:val="2D0F4DB4"/>
    <w:rsid w:val="2D1F79A4"/>
    <w:rsid w:val="2D2D36A5"/>
    <w:rsid w:val="2D365B16"/>
    <w:rsid w:val="2D3D34A6"/>
    <w:rsid w:val="2D47011F"/>
    <w:rsid w:val="2D51670C"/>
    <w:rsid w:val="2D557C2D"/>
    <w:rsid w:val="2D5646DC"/>
    <w:rsid w:val="2D6D2070"/>
    <w:rsid w:val="2D9D0838"/>
    <w:rsid w:val="2DB652A4"/>
    <w:rsid w:val="2DB943B8"/>
    <w:rsid w:val="2DBB2419"/>
    <w:rsid w:val="2DBF7001"/>
    <w:rsid w:val="2DC26166"/>
    <w:rsid w:val="2DEA2F76"/>
    <w:rsid w:val="2DF041FF"/>
    <w:rsid w:val="2DF76E1B"/>
    <w:rsid w:val="2E0A69BF"/>
    <w:rsid w:val="2E0C1219"/>
    <w:rsid w:val="2E10357E"/>
    <w:rsid w:val="2E144C9C"/>
    <w:rsid w:val="2E177A17"/>
    <w:rsid w:val="2E1B30B3"/>
    <w:rsid w:val="2E1E59CA"/>
    <w:rsid w:val="2E3E487D"/>
    <w:rsid w:val="2E41360C"/>
    <w:rsid w:val="2E475DA4"/>
    <w:rsid w:val="2E607FBE"/>
    <w:rsid w:val="2E615CAF"/>
    <w:rsid w:val="2E64456A"/>
    <w:rsid w:val="2E7264C5"/>
    <w:rsid w:val="2E7653DE"/>
    <w:rsid w:val="2E784538"/>
    <w:rsid w:val="2E7B7058"/>
    <w:rsid w:val="2E842882"/>
    <w:rsid w:val="2E8C6A3D"/>
    <w:rsid w:val="2EB508B8"/>
    <w:rsid w:val="2EC45F4F"/>
    <w:rsid w:val="2ED06B9A"/>
    <w:rsid w:val="2ED71BB4"/>
    <w:rsid w:val="2EDB413D"/>
    <w:rsid w:val="2F04472C"/>
    <w:rsid w:val="2F066396"/>
    <w:rsid w:val="2F1835B8"/>
    <w:rsid w:val="2F184426"/>
    <w:rsid w:val="2F2655A5"/>
    <w:rsid w:val="2F2B2982"/>
    <w:rsid w:val="2F30138F"/>
    <w:rsid w:val="2F4B573E"/>
    <w:rsid w:val="2F5628C1"/>
    <w:rsid w:val="2F5A61EE"/>
    <w:rsid w:val="2F6E6218"/>
    <w:rsid w:val="2F81781A"/>
    <w:rsid w:val="2FBA6AB0"/>
    <w:rsid w:val="2FDA5233"/>
    <w:rsid w:val="2FDA56AD"/>
    <w:rsid w:val="2FDC3277"/>
    <w:rsid w:val="30091058"/>
    <w:rsid w:val="30186987"/>
    <w:rsid w:val="302E6035"/>
    <w:rsid w:val="30396B3B"/>
    <w:rsid w:val="303B5C37"/>
    <w:rsid w:val="303D3D8D"/>
    <w:rsid w:val="30410449"/>
    <w:rsid w:val="304B34C7"/>
    <w:rsid w:val="304F51A4"/>
    <w:rsid w:val="30687159"/>
    <w:rsid w:val="306F3884"/>
    <w:rsid w:val="307953E8"/>
    <w:rsid w:val="307B44AD"/>
    <w:rsid w:val="30907ADE"/>
    <w:rsid w:val="30926BF6"/>
    <w:rsid w:val="309A0DD7"/>
    <w:rsid w:val="309A76B3"/>
    <w:rsid w:val="309B06AC"/>
    <w:rsid w:val="30A61A4B"/>
    <w:rsid w:val="30AE1C64"/>
    <w:rsid w:val="30C02678"/>
    <w:rsid w:val="30D06AF0"/>
    <w:rsid w:val="30DC1248"/>
    <w:rsid w:val="30E16401"/>
    <w:rsid w:val="30F760DD"/>
    <w:rsid w:val="310500E0"/>
    <w:rsid w:val="31405015"/>
    <w:rsid w:val="31537EEC"/>
    <w:rsid w:val="315E7D16"/>
    <w:rsid w:val="316F0F32"/>
    <w:rsid w:val="31736100"/>
    <w:rsid w:val="31773981"/>
    <w:rsid w:val="3182709C"/>
    <w:rsid w:val="31842F7F"/>
    <w:rsid w:val="318A4231"/>
    <w:rsid w:val="318E2782"/>
    <w:rsid w:val="319C4759"/>
    <w:rsid w:val="319C6FC9"/>
    <w:rsid w:val="31EF357C"/>
    <w:rsid w:val="31FF09AE"/>
    <w:rsid w:val="3205097C"/>
    <w:rsid w:val="32081170"/>
    <w:rsid w:val="320C3878"/>
    <w:rsid w:val="32110C25"/>
    <w:rsid w:val="32114E7D"/>
    <w:rsid w:val="3219245E"/>
    <w:rsid w:val="32257FD7"/>
    <w:rsid w:val="323677EC"/>
    <w:rsid w:val="323827BE"/>
    <w:rsid w:val="32495754"/>
    <w:rsid w:val="324B3D08"/>
    <w:rsid w:val="32502547"/>
    <w:rsid w:val="32541D1E"/>
    <w:rsid w:val="32595004"/>
    <w:rsid w:val="32605AA8"/>
    <w:rsid w:val="32615E04"/>
    <w:rsid w:val="326849A2"/>
    <w:rsid w:val="326B0F6E"/>
    <w:rsid w:val="328126D8"/>
    <w:rsid w:val="32996BB0"/>
    <w:rsid w:val="32A04DB4"/>
    <w:rsid w:val="32AD00CE"/>
    <w:rsid w:val="32B9541F"/>
    <w:rsid w:val="32BF1468"/>
    <w:rsid w:val="32D07FAA"/>
    <w:rsid w:val="32D40497"/>
    <w:rsid w:val="32DE0BF1"/>
    <w:rsid w:val="32E158F1"/>
    <w:rsid w:val="32E5677D"/>
    <w:rsid w:val="330301A0"/>
    <w:rsid w:val="33031007"/>
    <w:rsid w:val="330A1B9B"/>
    <w:rsid w:val="330C77B6"/>
    <w:rsid w:val="331A0228"/>
    <w:rsid w:val="332B32E7"/>
    <w:rsid w:val="33341058"/>
    <w:rsid w:val="333C4070"/>
    <w:rsid w:val="33652BA0"/>
    <w:rsid w:val="338032CF"/>
    <w:rsid w:val="33870D2A"/>
    <w:rsid w:val="33995B41"/>
    <w:rsid w:val="339F3BDD"/>
    <w:rsid w:val="33A54598"/>
    <w:rsid w:val="33A9773C"/>
    <w:rsid w:val="33E93AE7"/>
    <w:rsid w:val="33FB47B2"/>
    <w:rsid w:val="33FE062C"/>
    <w:rsid w:val="340D123D"/>
    <w:rsid w:val="340D402A"/>
    <w:rsid w:val="34117F4A"/>
    <w:rsid w:val="34157A69"/>
    <w:rsid w:val="341A32AC"/>
    <w:rsid w:val="342F04EE"/>
    <w:rsid w:val="343278F3"/>
    <w:rsid w:val="343773FE"/>
    <w:rsid w:val="344314AC"/>
    <w:rsid w:val="344352BB"/>
    <w:rsid w:val="345F13D2"/>
    <w:rsid w:val="346614E2"/>
    <w:rsid w:val="346F44E7"/>
    <w:rsid w:val="3477121B"/>
    <w:rsid w:val="348A07C0"/>
    <w:rsid w:val="349E74CF"/>
    <w:rsid w:val="34BC5B3B"/>
    <w:rsid w:val="34C33940"/>
    <w:rsid w:val="34CE5612"/>
    <w:rsid w:val="34D55580"/>
    <w:rsid w:val="34DA288E"/>
    <w:rsid w:val="34E07C21"/>
    <w:rsid w:val="34E11C57"/>
    <w:rsid w:val="34E43EEA"/>
    <w:rsid w:val="34F14865"/>
    <w:rsid w:val="34F445A8"/>
    <w:rsid w:val="34F47C15"/>
    <w:rsid w:val="34F540BD"/>
    <w:rsid w:val="34FF3C2C"/>
    <w:rsid w:val="35063B46"/>
    <w:rsid w:val="351C3CD0"/>
    <w:rsid w:val="352F1E92"/>
    <w:rsid w:val="353763F9"/>
    <w:rsid w:val="353B6682"/>
    <w:rsid w:val="353C79F3"/>
    <w:rsid w:val="353F5F9A"/>
    <w:rsid w:val="354D44F6"/>
    <w:rsid w:val="35600779"/>
    <w:rsid w:val="35645586"/>
    <w:rsid w:val="356B79DE"/>
    <w:rsid w:val="3581198D"/>
    <w:rsid w:val="35843E04"/>
    <w:rsid w:val="35866FAD"/>
    <w:rsid w:val="35976ED7"/>
    <w:rsid w:val="35980087"/>
    <w:rsid w:val="35B3142E"/>
    <w:rsid w:val="35B45E55"/>
    <w:rsid w:val="35B543C3"/>
    <w:rsid w:val="35B84DAB"/>
    <w:rsid w:val="35C52894"/>
    <w:rsid w:val="35E92FD2"/>
    <w:rsid w:val="35EA0FD5"/>
    <w:rsid w:val="35F036ED"/>
    <w:rsid w:val="35F11C61"/>
    <w:rsid w:val="35F50D12"/>
    <w:rsid w:val="35FB5BA7"/>
    <w:rsid w:val="36011523"/>
    <w:rsid w:val="36021E5F"/>
    <w:rsid w:val="36247A40"/>
    <w:rsid w:val="362A0DEB"/>
    <w:rsid w:val="36327AC4"/>
    <w:rsid w:val="3634601F"/>
    <w:rsid w:val="36496AF6"/>
    <w:rsid w:val="36547421"/>
    <w:rsid w:val="365A705F"/>
    <w:rsid w:val="367251E5"/>
    <w:rsid w:val="36903B9D"/>
    <w:rsid w:val="3696078B"/>
    <w:rsid w:val="369A723E"/>
    <w:rsid w:val="369C5F08"/>
    <w:rsid w:val="369E27EA"/>
    <w:rsid w:val="36A04C6E"/>
    <w:rsid w:val="36C03B4D"/>
    <w:rsid w:val="36C301B0"/>
    <w:rsid w:val="36C40C39"/>
    <w:rsid w:val="36C95739"/>
    <w:rsid w:val="36D948F3"/>
    <w:rsid w:val="36DE6128"/>
    <w:rsid w:val="36E735CF"/>
    <w:rsid w:val="36FD0B04"/>
    <w:rsid w:val="370275A1"/>
    <w:rsid w:val="3717521E"/>
    <w:rsid w:val="37175E83"/>
    <w:rsid w:val="37215EFD"/>
    <w:rsid w:val="372E3F88"/>
    <w:rsid w:val="372F7F54"/>
    <w:rsid w:val="374754B1"/>
    <w:rsid w:val="374E45F3"/>
    <w:rsid w:val="375D3526"/>
    <w:rsid w:val="37624933"/>
    <w:rsid w:val="377870D5"/>
    <w:rsid w:val="378C7B63"/>
    <w:rsid w:val="379E4EC0"/>
    <w:rsid w:val="37A0093C"/>
    <w:rsid w:val="37A86561"/>
    <w:rsid w:val="37AC58D2"/>
    <w:rsid w:val="37AE7163"/>
    <w:rsid w:val="37C01AB5"/>
    <w:rsid w:val="37C409FA"/>
    <w:rsid w:val="37C8480D"/>
    <w:rsid w:val="37CB5E71"/>
    <w:rsid w:val="37EF4A8C"/>
    <w:rsid w:val="38107733"/>
    <w:rsid w:val="381200AE"/>
    <w:rsid w:val="3840510C"/>
    <w:rsid w:val="38525EC8"/>
    <w:rsid w:val="385C6D7B"/>
    <w:rsid w:val="385F25BB"/>
    <w:rsid w:val="386312E6"/>
    <w:rsid w:val="386609E8"/>
    <w:rsid w:val="387B2A25"/>
    <w:rsid w:val="38883DBF"/>
    <w:rsid w:val="38933FD6"/>
    <w:rsid w:val="389532F2"/>
    <w:rsid w:val="38A0575D"/>
    <w:rsid w:val="38B236B0"/>
    <w:rsid w:val="38B577A9"/>
    <w:rsid w:val="38B74C05"/>
    <w:rsid w:val="38CC421D"/>
    <w:rsid w:val="38D16635"/>
    <w:rsid w:val="38D373E7"/>
    <w:rsid w:val="38F53835"/>
    <w:rsid w:val="38FA57F0"/>
    <w:rsid w:val="390E100A"/>
    <w:rsid w:val="39355B41"/>
    <w:rsid w:val="3936186D"/>
    <w:rsid w:val="393B6729"/>
    <w:rsid w:val="3941349E"/>
    <w:rsid w:val="39514E0B"/>
    <w:rsid w:val="39566F53"/>
    <w:rsid w:val="395941C6"/>
    <w:rsid w:val="397905D6"/>
    <w:rsid w:val="3986126F"/>
    <w:rsid w:val="39864DE3"/>
    <w:rsid w:val="39883EA5"/>
    <w:rsid w:val="399D5638"/>
    <w:rsid w:val="39B41C18"/>
    <w:rsid w:val="39B653E7"/>
    <w:rsid w:val="39B85B57"/>
    <w:rsid w:val="39C538F9"/>
    <w:rsid w:val="39C828C6"/>
    <w:rsid w:val="39D31839"/>
    <w:rsid w:val="39D51F97"/>
    <w:rsid w:val="39D7425E"/>
    <w:rsid w:val="39E76BD3"/>
    <w:rsid w:val="3A0B3CA2"/>
    <w:rsid w:val="3A255D6F"/>
    <w:rsid w:val="3A291776"/>
    <w:rsid w:val="3A4215EC"/>
    <w:rsid w:val="3A43382A"/>
    <w:rsid w:val="3A472CE0"/>
    <w:rsid w:val="3A4B4D4F"/>
    <w:rsid w:val="3A51108A"/>
    <w:rsid w:val="3A5C2A31"/>
    <w:rsid w:val="3A604CCB"/>
    <w:rsid w:val="3A6711EA"/>
    <w:rsid w:val="3A671BFD"/>
    <w:rsid w:val="3A6B021B"/>
    <w:rsid w:val="3A6C27C7"/>
    <w:rsid w:val="3A795855"/>
    <w:rsid w:val="3A7D78F3"/>
    <w:rsid w:val="3A7E7CFE"/>
    <w:rsid w:val="3A816547"/>
    <w:rsid w:val="3AB03D58"/>
    <w:rsid w:val="3AD049E5"/>
    <w:rsid w:val="3AF31112"/>
    <w:rsid w:val="3AF71C4F"/>
    <w:rsid w:val="3B081792"/>
    <w:rsid w:val="3B0C28E2"/>
    <w:rsid w:val="3B211160"/>
    <w:rsid w:val="3B325752"/>
    <w:rsid w:val="3B352723"/>
    <w:rsid w:val="3B373B06"/>
    <w:rsid w:val="3B38435F"/>
    <w:rsid w:val="3B4113F9"/>
    <w:rsid w:val="3B4607AB"/>
    <w:rsid w:val="3B5A14DA"/>
    <w:rsid w:val="3B5B2A34"/>
    <w:rsid w:val="3B696D3C"/>
    <w:rsid w:val="3B6E2308"/>
    <w:rsid w:val="3B700B9E"/>
    <w:rsid w:val="3B7A70C3"/>
    <w:rsid w:val="3B7C5190"/>
    <w:rsid w:val="3B8C568A"/>
    <w:rsid w:val="3B8C6B52"/>
    <w:rsid w:val="3B9265F7"/>
    <w:rsid w:val="3BA24F6A"/>
    <w:rsid w:val="3BB36501"/>
    <w:rsid w:val="3BBA1B6C"/>
    <w:rsid w:val="3BC10F8A"/>
    <w:rsid w:val="3BCA0430"/>
    <w:rsid w:val="3BCA46DA"/>
    <w:rsid w:val="3C0B517A"/>
    <w:rsid w:val="3C0D7BA2"/>
    <w:rsid w:val="3C1464E6"/>
    <w:rsid w:val="3C1F3B0A"/>
    <w:rsid w:val="3C205B8C"/>
    <w:rsid w:val="3C2B04DC"/>
    <w:rsid w:val="3C2F5079"/>
    <w:rsid w:val="3C4B63F8"/>
    <w:rsid w:val="3C7C5EFC"/>
    <w:rsid w:val="3C820BF8"/>
    <w:rsid w:val="3C9D78A4"/>
    <w:rsid w:val="3CAC12EC"/>
    <w:rsid w:val="3CB974FB"/>
    <w:rsid w:val="3CD46E85"/>
    <w:rsid w:val="3CE21B20"/>
    <w:rsid w:val="3CFF2A56"/>
    <w:rsid w:val="3D0538C6"/>
    <w:rsid w:val="3D083C3D"/>
    <w:rsid w:val="3D0F0BF5"/>
    <w:rsid w:val="3D254DA7"/>
    <w:rsid w:val="3D367754"/>
    <w:rsid w:val="3D43371B"/>
    <w:rsid w:val="3D4C353F"/>
    <w:rsid w:val="3D4D01FD"/>
    <w:rsid w:val="3D533FE2"/>
    <w:rsid w:val="3D8116F1"/>
    <w:rsid w:val="3D842DB5"/>
    <w:rsid w:val="3D927E3F"/>
    <w:rsid w:val="3D99342D"/>
    <w:rsid w:val="3D9D6E8A"/>
    <w:rsid w:val="3DB623DC"/>
    <w:rsid w:val="3DBC2131"/>
    <w:rsid w:val="3DD03BFA"/>
    <w:rsid w:val="3DD76D85"/>
    <w:rsid w:val="3DD83ABF"/>
    <w:rsid w:val="3DDA437C"/>
    <w:rsid w:val="3DEE4CC1"/>
    <w:rsid w:val="3DF461A3"/>
    <w:rsid w:val="3DF94195"/>
    <w:rsid w:val="3E012B6B"/>
    <w:rsid w:val="3E0B6234"/>
    <w:rsid w:val="3E1516BF"/>
    <w:rsid w:val="3E211CFD"/>
    <w:rsid w:val="3E4C3E35"/>
    <w:rsid w:val="3E535C24"/>
    <w:rsid w:val="3E570308"/>
    <w:rsid w:val="3E600BB4"/>
    <w:rsid w:val="3E8A2129"/>
    <w:rsid w:val="3E8C3990"/>
    <w:rsid w:val="3E917B3F"/>
    <w:rsid w:val="3EB37670"/>
    <w:rsid w:val="3ECD5D56"/>
    <w:rsid w:val="3ECD79B7"/>
    <w:rsid w:val="3ED72492"/>
    <w:rsid w:val="3EDA4D3F"/>
    <w:rsid w:val="3EED7085"/>
    <w:rsid w:val="3EFA21FA"/>
    <w:rsid w:val="3F0651F8"/>
    <w:rsid w:val="3F0B745A"/>
    <w:rsid w:val="3F1708AB"/>
    <w:rsid w:val="3F1A7616"/>
    <w:rsid w:val="3F305658"/>
    <w:rsid w:val="3F4C1C29"/>
    <w:rsid w:val="3F545C32"/>
    <w:rsid w:val="3F8A3D39"/>
    <w:rsid w:val="3F8D0174"/>
    <w:rsid w:val="3F966B9F"/>
    <w:rsid w:val="3F987717"/>
    <w:rsid w:val="3FA55C83"/>
    <w:rsid w:val="3FC551B7"/>
    <w:rsid w:val="3FC92BDE"/>
    <w:rsid w:val="3FD23300"/>
    <w:rsid w:val="3FF47042"/>
    <w:rsid w:val="3FF54785"/>
    <w:rsid w:val="3FFB4326"/>
    <w:rsid w:val="3FFC0AB7"/>
    <w:rsid w:val="3FFF0B26"/>
    <w:rsid w:val="4015659C"/>
    <w:rsid w:val="401D268F"/>
    <w:rsid w:val="40327B82"/>
    <w:rsid w:val="403D5DB4"/>
    <w:rsid w:val="40444047"/>
    <w:rsid w:val="40452250"/>
    <w:rsid w:val="404D460E"/>
    <w:rsid w:val="40501155"/>
    <w:rsid w:val="405229A9"/>
    <w:rsid w:val="405C35C7"/>
    <w:rsid w:val="407E4D25"/>
    <w:rsid w:val="409E45E2"/>
    <w:rsid w:val="40A52125"/>
    <w:rsid w:val="40B61FF8"/>
    <w:rsid w:val="40BB734D"/>
    <w:rsid w:val="40BD43A8"/>
    <w:rsid w:val="40BD702F"/>
    <w:rsid w:val="40C40C6F"/>
    <w:rsid w:val="40C7171A"/>
    <w:rsid w:val="40CD4E0B"/>
    <w:rsid w:val="40D2023E"/>
    <w:rsid w:val="40D724A1"/>
    <w:rsid w:val="40DD614D"/>
    <w:rsid w:val="40E72D37"/>
    <w:rsid w:val="40FE6CAA"/>
    <w:rsid w:val="411C7865"/>
    <w:rsid w:val="411D4155"/>
    <w:rsid w:val="412A1DFC"/>
    <w:rsid w:val="412D2B6A"/>
    <w:rsid w:val="414141BA"/>
    <w:rsid w:val="415A1391"/>
    <w:rsid w:val="415E5B0A"/>
    <w:rsid w:val="418B295F"/>
    <w:rsid w:val="41945CF4"/>
    <w:rsid w:val="41965A41"/>
    <w:rsid w:val="41970D49"/>
    <w:rsid w:val="41B92A4F"/>
    <w:rsid w:val="41C964B4"/>
    <w:rsid w:val="41F92ABD"/>
    <w:rsid w:val="41FC1B6A"/>
    <w:rsid w:val="41FF2BF3"/>
    <w:rsid w:val="42125B2B"/>
    <w:rsid w:val="424D1C7F"/>
    <w:rsid w:val="425846A6"/>
    <w:rsid w:val="42624E34"/>
    <w:rsid w:val="427F218F"/>
    <w:rsid w:val="42840AD6"/>
    <w:rsid w:val="428B63CF"/>
    <w:rsid w:val="42911805"/>
    <w:rsid w:val="429A2964"/>
    <w:rsid w:val="42AF67D0"/>
    <w:rsid w:val="42BC0E70"/>
    <w:rsid w:val="42C245CE"/>
    <w:rsid w:val="42C27D1A"/>
    <w:rsid w:val="42C80ECA"/>
    <w:rsid w:val="42DD0E52"/>
    <w:rsid w:val="42DD3CD5"/>
    <w:rsid w:val="43055EB8"/>
    <w:rsid w:val="431627BC"/>
    <w:rsid w:val="431A0C24"/>
    <w:rsid w:val="431A5591"/>
    <w:rsid w:val="431B1E13"/>
    <w:rsid w:val="43312904"/>
    <w:rsid w:val="43376426"/>
    <w:rsid w:val="434E1C20"/>
    <w:rsid w:val="43620283"/>
    <w:rsid w:val="4363286E"/>
    <w:rsid w:val="436928BF"/>
    <w:rsid w:val="4370065F"/>
    <w:rsid w:val="43963A25"/>
    <w:rsid w:val="4398403A"/>
    <w:rsid w:val="43A73BE3"/>
    <w:rsid w:val="43AE7A7E"/>
    <w:rsid w:val="43B470F6"/>
    <w:rsid w:val="43CF502D"/>
    <w:rsid w:val="43CF6F11"/>
    <w:rsid w:val="43F047E0"/>
    <w:rsid w:val="43FD6F00"/>
    <w:rsid w:val="440B02B4"/>
    <w:rsid w:val="44123DA4"/>
    <w:rsid w:val="441C5080"/>
    <w:rsid w:val="44233849"/>
    <w:rsid w:val="445B0426"/>
    <w:rsid w:val="44633603"/>
    <w:rsid w:val="44680AA6"/>
    <w:rsid w:val="446B500C"/>
    <w:rsid w:val="446E17AC"/>
    <w:rsid w:val="448508DF"/>
    <w:rsid w:val="448D7707"/>
    <w:rsid w:val="44A6656A"/>
    <w:rsid w:val="44BA3544"/>
    <w:rsid w:val="44BF18A2"/>
    <w:rsid w:val="44C345DC"/>
    <w:rsid w:val="44CE2123"/>
    <w:rsid w:val="44E23735"/>
    <w:rsid w:val="44EA77F7"/>
    <w:rsid w:val="45142C62"/>
    <w:rsid w:val="45357785"/>
    <w:rsid w:val="45387766"/>
    <w:rsid w:val="453A760F"/>
    <w:rsid w:val="453B3627"/>
    <w:rsid w:val="45461B58"/>
    <w:rsid w:val="45491A3E"/>
    <w:rsid w:val="45503B28"/>
    <w:rsid w:val="45620AD7"/>
    <w:rsid w:val="45853082"/>
    <w:rsid w:val="45891F3C"/>
    <w:rsid w:val="4590274A"/>
    <w:rsid w:val="45B276B2"/>
    <w:rsid w:val="45C0276F"/>
    <w:rsid w:val="45C14774"/>
    <w:rsid w:val="45DB6A4C"/>
    <w:rsid w:val="45DE4D7D"/>
    <w:rsid w:val="45EF2628"/>
    <w:rsid w:val="45EF3C1C"/>
    <w:rsid w:val="45FD0891"/>
    <w:rsid w:val="460C7309"/>
    <w:rsid w:val="46185D52"/>
    <w:rsid w:val="461D0E0F"/>
    <w:rsid w:val="462C285E"/>
    <w:rsid w:val="462E09E1"/>
    <w:rsid w:val="4639249F"/>
    <w:rsid w:val="463A0304"/>
    <w:rsid w:val="46483274"/>
    <w:rsid w:val="46497341"/>
    <w:rsid w:val="464A4975"/>
    <w:rsid w:val="465961E8"/>
    <w:rsid w:val="467C2D95"/>
    <w:rsid w:val="4695468D"/>
    <w:rsid w:val="469A6A31"/>
    <w:rsid w:val="46D95B7D"/>
    <w:rsid w:val="471553B4"/>
    <w:rsid w:val="47170524"/>
    <w:rsid w:val="471E6457"/>
    <w:rsid w:val="474C2F9B"/>
    <w:rsid w:val="475D0FD8"/>
    <w:rsid w:val="475F6267"/>
    <w:rsid w:val="4760207C"/>
    <w:rsid w:val="47743C9D"/>
    <w:rsid w:val="477F20C3"/>
    <w:rsid w:val="47906F17"/>
    <w:rsid w:val="47962F99"/>
    <w:rsid w:val="479A7A31"/>
    <w:rsid w:val="479B1699"/>
    <w:rsid w:val="47AA2928"/>
    <w:rsid w:val="47AF51BF"/>
    <w:rsid w:val="47B81E12"/>
    <w:rsid w:val="47BE42FB"/>
    <w:rsid w:val="47C87B80"/>
    <w:rsid w:val="47C937E9"/>
    <w:rsid w:val="47C97066"/>
    <w:rsid w:val="47D03B18"/>
    <w:rsid w:val="47DB1D58"/>
    <w:rsid w:val="47ED29D3"/>
    <w:rsid w:val="47EF74A3"/>
    <w:rsid w:val="47F50C9B"/>
    <w:rsid w:val="48047968"/>
    <w:rsid w:val="480C0327"/>
    <w:rsid w:val="48100B65"/>
    <w:rsid w:val="4834394A"/>
    <w:rsid w:val="484B1470"/>
    <w:rsid w:val="485A65F3"/>
    <w:rsid w:val="48654955"/>
    <w:rsid w:val="48812277"/>
    <w:rsid w:val="488C20FF"/>
    <w:rsid w:val="48987720"/>
    <w:rsid w:val="48AA0D47"/>
    <w:rsid w:val="48AB437A"/>
    <w:rsid w:val="48BB5E99"/>
    <w:rsid w:val="48C42A3E"/>
    <w:rsid w:val="48CB567F"/>
    <w:rsid w:val="48E709AB"/>
    <w:rsid w:val="49074129"/>
    <w:rsid w:val="491E413A"/>
    <w:rsid w:val="492B5D1A"/>
    <w:rsid w:val="492E0653"/>
    <w:rsid w:val="49356195"/>
    <w:rsid w:val="493E72F4"/>
    <w:rsid w:val="49477CA3"/>
    <w:rsid w:val="4950278B"/>
    <w:rsid w:val="495D4FB7"/>
    <w:rsid w:val="495E6CC9"/>
    <w:rsid w:val="495F0F47"/>
    <w:rsid w:val="497378EC"/>
    <w:rsid w:val="49850611"/>
    <w:rsid w:val="499E6A18"/>
    <w:rsid w:val="49CA6D55"/>
    <w:rsid w:val="49D60BB0"/>
    <w:rsid w:val="49E47F0A"/>
    <w:rsid w:val="49FA45E7"/>
    <w:rsid w:val="4A003BBD"/>
    <w:rsid w:val="4A021D46"/>
    <w:rsid w:val="4A221E06"/>
    <w:rsid w:val="4A2C05A1"/>
    <w:rsid w:val="4A487A49"/>
    <w:rsid w:val="4A573BC6"/>
    <w:rsid w:val="4A661827"/>
    <w:rsid w:val="4A685CDC"/>
    <w:rsid w:val="4A6C7442"/>
    <w:rsid w:val="4A6E5FE8"/>
    <w:rsid w:val="4A794A5A"/>
    <w:rsid w:val="4A8D326D"/>
    <w:rsid w:val="4AAC7675"/>
    <w:rsid w:val="4ABB4EEC"/>
    <w:rsid w:val="4ABE4002"/>
    <w:rsid w:val="4AD3789D"/>
    <w:rsid w:val="4AE61558"/>
    <w:rsid w:val="4AE629A4"/>
    <w:rsid w:val="4AE71746"/>
    <w:rsid w:val="4AED326F"/>
    <w:rsid w:val="4AF93679"/>
    <w:rsid w:val="4B021885"/>
    <w:rsid w:val="4B0462D8"/>
    <w:rsid w:val="4B1163B5"/>
    <w:rsid w:val="4B1E0386"/>
    <w:rsid w:val="4B2A725A"/>
    <w:rsid w:val="4B2D27E3"/>
    <w:rsid w:val="4B327DA5"/>
    <w:rsid w:val="4B483ECE"/>
    <w:rsid w:val="4B4D5DE5"/>
    <w:rsid w:val="4B53713F"/>
    <w:rsid w:val="4B58385A"/>
    <w:rsid w:val="4B5918B4"/>
    <w:rsid w:val="4B5E178B"/>
    <w:rsid w:val="4B7D53C9"/>
    <w:rsid w:val="4B7E695E"/>
    <w:rsid w:val="4B85293F"/>
    <w:rsid w:val="4B8C7452"/>
    <w:rsid w:val="4B902502"/>
    <w:rsid w:val="4B9B344B"/>
    <w:rsid w:val="4BA41F5F"/>
    <w:rsid w:val="4BAA16FB"/>
    <w:rsid w:val="4BBE2F08"/>
    <w:rsid w:val="4BD56E97"/>
    <w:rsid w:val="4BDB55FA"/>
    <w:rsid w:val="4BF55F0B"/>
    <w:rsid w:val="4BF74ED8"/>
    <w:rsid w:val="4BFA030B"/>
    <w:rsid w:val="4C09252B"/>
    <w:rsid w:val="4C1713D3"/>
    <w:rsid w:val="4C3D55C6"/>
    <w:rsid w:val="4C427E43"/>
    <w:rsid w:val="4C4F261E"/>
    <w:rsid w:val="4C5962D9"/>
    <w:rsid w:val="4C5C6507"/>
    <w:rsid w:val="4C5E4F57"/>
    <w:rsid w:val="4C667A5B"/>
    <w:rsid w:val="4C687F40"/>
    <w:rsid w:val="4C823BCA"/>
    <w:rsid w:val="4C8A7DE1"/>
    <w:rsid w:val="4C9F1330"/>
    <w:rsid w:val="4CAB3457"/>
    <w:rsid w:val="4CE266C3"/>
    <w:rsid w:val="4CEF017B"/>
    <w:rsid w:val="4CF124C7"/>
    <w:rsid w:val="4CF70170"/>
    <w:rsid w:val="4CFA619E"/>
    <w:rsid w:val="4CFD777A"/>
    <w:rsid w:val="4D201110"/>
    <w:rsid w:val="4D3431C7"/>
    <w:rsid w:val="4D3A38EE"/>
    <w:rsid w:val="4D3F69A4"/>
    <w:rsid w:val="4D526F59"/>
    <w:rsid w:val="4D650150"/>
    <w:rsid w:val="4D6E11CA"/>
    <w:rsid w:val="4DA653F2"/>
    <w:rsid w:val="4DCC74BE"/>
    <w:rsid w:val="4DE03AC2"/>
    <w:rsid w:val="4DEF02BD"/>
    <w:rsid w:val="4DF03991"/>
    <w:rsid w:val="4DF221E2"/>
    <w:rsid w:val="4E002256"/>
    <w:rsid w:val="4E052F0C"/>
    <w:rsid w:val="4E0911A0"/>
    <w:rsid w:val="4E0D72D8"/>
    <w:rsid w:val="4E1F24C4"/>
    <w:rsid w:val="4E2F0959"/>
    <w:rsid w:val="4E383ED6"/>
    <w:rsid w:val="4E5172B9"/>
    <w:rsid w:val="4E560D60"/>
    <w:rsid w:val="4E564593"/>
    <w:rsid w:val="4E5A2684"/>
    <w:rsid w:val="4E66521C"/>
    <w:rsid w:val="4E703F51"/>
    <w:rsid w:val="4E905710"/>
    <w:rsid w:val="4E942C0A"/>
    <w:rsid w:val="4E98220D"/>
    <w:rsid w:val="4EA02FF7"/>
    <w:rsid w:val="4EB7399D"/>
    <w:rsid w:val="4ECD2716"/>
    <w:rsid w:val="4EDA695D"/>
    <w:rsid w:val="4EE05B39"/>
    <w:rsid w:val="4EE54AFA"/>
    <w:rsid w:val="4EE73AF5"/>
    <w:rsid w:val="4EE84EA5"/>
    <w:rsid w:val="4EEE4AF5"/>
    <w:rsid w:val="4EF82E0F"/>
    <w:rsid w:val="4F0B544D"/>
    <w:rsid w:val="4F0E4A13"/>
    <w:rsid w:val="4F1E4B12"/>
    <w:rsid w:val="4F301FB1"/>
    <w:rsid w:val="4F3A2B02"/>
    <w:rsid w:val="4F4F7329"/>
    <w:rsid w:val="4F5260B5"/>
    <w:rsid w:val="4F560168"/>
    <w:rsid w:val="4F58224C"/>
    <w:rsid w:val="4F590A64"/>
    <w:rsid w:val="4F5A4045"/>
    <w:rsid w:val="4F5A7FFE"/>
    <w:rsid w:val="4F86143C"/>
    <w:rsid w:val="4F8B2726"/>
    <w:rsid w:val="4F8B4457"/>
    <w:rsid w:val="4F96196F"/>
    <w:rsid w:val="4FAE7560"/>
    <w:rsid w:val="4FB8672C"/>
    <w:rsid w:val="4FDA01F8"/>
    <w:rsid w:val="4FF1201A"/>
    <w:rsid w:val="4FF221C3"/>
    <w:rsid w:val="4FFA0634"/>
    <w:rsid w:val="500032A2"/>
    <w:rsid w:val="504C31A7"/>
    <w:rsid w:val="504E08AD"/>
    <w:rsid w:val="505C4D01"/>
    <w:rsid w:val="50654763"/>
    <w:rsid w:val="50664937"/>
    <w:rsid w:val="507419FE"/>
    <w:rsid w:val="507C7DBC"/>
    <w:rsid w:val="508A7F4D"/>
    <w:rsid w:val="508B1CA1"/>
    <w:rsid w:val="50A568E9"/>
    <w:rsid w:val="50AA168D"/>
    <w:rsid w:val="50AF4B30"/>
    <w:rsid w:val="50BC5CDC"/>
    <w:rsid w:val="50E21CB3"/>
    <w:rsid w:val="50E74C38"/>
    <w:rsid w:val="50E76F7B"/>
    <w:rsid w:val="50EB303A"/>
    <w:rsid w:val="51025571"/>
    <w:rsid w:val="510819A0"/>
    <w:rsid w:val="510C31D4"/>
    <w:rsid w:val="51141BF6"/>
    <w:rsid w:val="51184A15"/>
    <w:rsid w:val="511D1BC3"/>
    <w:rsid w:val="51200E5F"/>
    <w:rsid w:val="5123009E"/>
    <w:rsid w:val="512548E9"/>
    <w:rsid w:val="512C2CA7"/>
    <w:rsid w:val="512D289E"/>
    <w:rsid w:val="514152FB"/>
    <w:rsid w:val="51434ED1"/>
    <w:rsid w:val="51606C08"/>
    <w:rsid w:val="516445A0"/>
    <w:rsid w:val="51752B27"/>
    <w:rsid w:val="518353A4"/>
    <w:rsid w:val="518956A9"/>
    <w:rsid w:val="519F6ACE"/>
    <w:rsid w:val="51C83642"/>
    <w:rsid w:val="51DC3B47"/>
    <w:rsid w:val="52204D59"/>
    <w:rsid w:val="52490C2A"/>
    <w:rsid w:val="525505B5"/>
    <w:rsid w:val="52551CD7"/>
    <w:rsid w:val="5261544F"/>
    <w:rsid w:val="52675FFF"/>
    <w:rsid w:val="52B97B3D"/>
    <w:rsid w:val="52C504FB"/>
    <w:rsid w:val="52D50B77"/>
    <w:rsid w:val="52E13756"/>
    <w:rsid w:val="52E65840"/>
    <w:rsid w:val="52EF5C2D"/>
    <w:rsid w:val="52EF6429"/>
    <w:rsid w:val="52F061A9"/>
    <w:rsid w:val="52F171FD"/>
    <w:rsid w:val="52F47582"/>
    <w:rsid w:val="53354D0B"/>
    <w:rsid w:val="535837C3"/>
    <w:rsid w:val="5371534A"/>
    <w:rsid w:val="53720C63"/>
    <w:rsid w:val="53760DD8"/>
    <w:rsid w:val="537700D3"/>
    <w:rsid w:val="53811681"/>
    <w:rsid w:val="538A520F"/>
    <w:rsid w:val="538C6CFB"/>
    <w:rsid w:val="53933E3F"/>
    <w:rsid w:val="53A45110"/>
    <w:rsid w:val="53B418CC"/>
    <w:rsid w:val="53DF5E0B"/>
    <w:rsid w:val="53E421E6"/>
    <w:rsid w:val="53F32910"/>
    <w:rsid w:val="53F4098D"/>
    <w:rsid w:val="53FE04C8"/>
    <w:rsid w:val="540A36E6"/>
    <w:rsid w:val="540A49FF"/>
    <w:rsid w:val="54196F14"/>
    <w:rsid w:val="541F2E71"/>
    <w:rsid w:val="54206BE2"/>
    <w:rsid w:val="54297BB6"/>
    <w:rsid w:val="542A438F"/>
    <w:rsid w:val="54336DD4"/>
    <w:rsid w:val="543660C2"/>
    <w:rsid w:val="54375971"/>
    <w:rsid w:val="54453F00"/>
    <w:rsid w:val="544B34F5"/>
    <w:rsid w:val="544D196D"/>
    <w:rsid w:val="5478326E"/>
    <w:rsid w:val="547A48F8"/>
    <w:rsid w:val="547F6951"/>
    <w:rsid w:val="54854CE2"/>
    <w:rsid w:val="548965FC"/>
    <w:rsid w:val="549F015A"/>
    <w:rsid w:val="54AD1A5F"/>
    <w:rsid w:val="54AF4755"/>
    <w:rsid w:val="54C761C0"/>
    <w:rsid w:val="54D730B0"/>
    <w:rsid w:val="54DD1143"/>
    <w:rsid w:val="54E812EA"/>
    <w:rsid w:val="54F741A9"/>
    <w:rsid w:val="54F76B5C"/>
    <w:rsid w:val="55020A87"/>
    <w:rsid w:val="550341FE"/>
    <w:rsid w:val="55042014"/>
    <w:rsid w:val="550F1760"/>
    <w:rsid w:val="55210479"/>
    <w:rsid w:val="552A209A"/>
    <w:rsid w:val="55330F3B"/>
    <w:rsid w:val="55393BB8"/>
    <w:rsid w:val="55597050"/>
    <w:rsid w:val="55614C5E"/>
    <w:rsid w:val="556E6918"/>
    <w:rsid w:val="558C2621"/>
    <w:rsid w:val="55A0462E"/>
    <w:rsid w:val="55AA319D"/>
    <w:rsid w:val="55AD3652"/>
    <w:rsid w:val="55AE7B86"/>
    <w:rsid w:val="55B9606B"/>
    <w:rsid w:val="55DE0E54"/>
    <w:rsid w:val="55E20903"/>
    <w:rsid w:val="55E4027B"/>
    <w:rsid w:val="55E72AA0"/>
    <w:rsid w:val="55FF52A6"/>
    <w:rsid w:val="56061751"/>
    <w:rsid w:val="56095584"/>
    <w:rsid w:val="560E0C77"/>
    <w:rsid w:val="5633198E"/>
    <w:rsid w:val="563E5469"/>
    <w:rsid w:val="565F37E0"/>
    <w:rsid w:val="56600CBF"/>
    <w:rsid w:val="566755F7"/>
    <w:rsid w:val="56681618"/>
    <w:rsid w:val="566919C6"/>
    <w:rsid w:val="566C5546"/>
    <w:rsid w:val="56745BC9"/>
    <w:rsid w:val="56CF2CD9"/>
    <w:rsid w:val="56CF2CF8"/>
    <w:rsid w:val="56D50BC3"/>
    <w:rsid w:val="56E34EAC"/>
    <w:rsid w:val="570203D1"/>
    <w:rsid w:val="571159E3"/>
    <w:rsid w:val="571D3ABE"/>
    <w:rsid w:val="571F6B78"/>
    <w:rsid w:val="57477BC8"/>
    <w:rsid w:val="57503DCA"/>
    <w:rsid w:val="57535899"/>
    <w:rsid w:val="57645BA3"/>
    <w:rsid w:val="576A1B6C"/>
    <w:rsid w:val="57791B8E"/>
    <w:rsid w:val="5790678A"/>
    <w:rsid w:val="57936854"/>
    <w:rsid w:val="579848F6"/>
    <w:rsid w:val="57A22474"/>
    <w:rsid w:val="57AF0A2B"/>
    <w:rsid w:val="57BD64A8"/>
    <w:rsid w:val="57C023F1"/>
    <w:rsid w:val="57C14981"/>
    <w:rsid w:val="57C43A36"/>
    <w:rsid w:val="57CA4EFA"/>
    <w:rsid w:val="57D97A34"/>
    <w:rsid w:val="57F62116"/>
    <w:rsid w:val="58101705"/>
    <w:rsid w:val="58335AD6"/>
    <w:rsid w:val="583D18B3"/>
    <w:rsid w:val="584265A5"/>
    <w:rsid w:val="58463AA4"/>
    <w:rsid w:val="584B27B3"/>
    <w:rsid w:val="58705777"/>
    <w:rsid w:val="58707FAE"/>
    <w:rsid w:val="58895B35"/>
    <w:rsid w:val="58B93305"/>
    <w:rsid w:val="58C83D7C"/>
    <w:rsid w:val="58D50625"/>
    <w:rsid w:val="58E7744A"/>
    <w:rsid w:val="58FE099B"/>
    <w:rsid w:val="5909370D"/>
    <w:rsid w:val="590B71FB"/>
    <w:rsid w:val="590D48EB"/>
    <w:rsid w:val="591079E9"/>
    <w:rsid w:val="591F6282"/>
    <w:rsid w:val="59422514"/>
    <w:rsid w:val="59495353"/>
    <w:rsid w:val="595034F8"/>
    <w:rsid w:val="595D2922"/>
    <w:rsid w:val="59634E7E"/>
    <w:rsid w:val="597265E6"/>
    <w:rsid w:val="5973088E"/>
    <w:rsid w:val="59A85569"/>
    <w:rsid w:val="59A90DF6"/>
    <w:rsid w:val="59B8686F"/>
    <w:rsid w:val="59B86AAB"/>
    <w:rsid w:val="59BF5B8E"/>
    <w:rsid w:val="59D027D3"/>
    <w:rsid w:val="59DE0C7A"/>
    <w:rsid w:val="59E56D7C"/>
    <w:rsid w:val="59E974BE"/>
    <w:rsid w:val="59F04D56"/>
    <w:rsid w:val="59F23350"/>
    <w:rsid w:val="5A125C89"/>
    <w:rsid w:val="5A126729"/>
    <w:rsid w:val="5A1B211E"/>
    <w:rsid w:val="5A1C4D0F"/>
    <w:rsid w:val="5A4F7A61"/>
    <w:rsid w:val="5A647D5B"/>
    <w:rsid w:val="5A730419"/>
    <w:rsid w:val="5A991C8F"/>
    <w:rsid w:val="5AA026B8"/>
    <w:rsid w:val="5AA116D7"/>
    <w:rsid w:val="5AB321D6"/>
    <w:rsid w:val="5AB42CEF"/>
    <w:rsid w:val="5AB74F92"/>
    <w:rsid w:val="5ACB49E4"/>
    <w:rsid w:val="5ACC4B5A"/>
    <w:rsid w:val="5ACF398D"/>
    <w:rsid w:val="5AD261A6"/>
    <w:rsid w:val="5AE821DA"/>
    <w:rsid w:val="5AED557F"/>
    <w:rsid w:val="5AFD1904"/>
    <w:rsid w:val="5B0123E0"/>
    <w:rsid w:val="5B073454"/>
    <w:rsid w:val="5B20452B"/>
    <w:rsid w:val="5B2C0607"/>
    <w:rsid w:val="5B3034F1"/>
    <w:rsid w:val="5B424CC5"/>
    <w:rsid w:val="5B473097"/>
    <w:rsid w:val="5B63362E"/>
    <w:rsid w:val="5B731A53"/>
    <w:rsid w:val="5B755268"/>
    <w:rsid w:val="5B787102"/>
    <w:rsid w:val="5B79544A"/>
    <w:rsid w:val="5B9C2FC5"/>
    <w:rsid w:val="5BBC1172"/>
    <w:rsid w:val="5BC86521"/>
    <w:rsid w:val="5BCD3EA4"/>
    <w:rsid w:val="5C082709"/>
    <w:rsid w:val="5C14060C"/>
    <w:rsid w:val="5C2E582C"/>
    <w:rsid w:val="5C305498"/>
    <w:rsid w:val="5C372998"/>
    <w:rsid w:val="5C5A282E"/>
    <w:rsid w:val="5C7639BC"/>
    <w:rsid w:val="5C81534B"/>
    <w:rsid w:val="5C8C0864"/>
    <w:rsid w:val="5C907A9B"/>
    <w:rsid w:val="5C9A11AC"/>
    <w:rsid w:val="5CA65278"/>
    <w:rsid w:val="5CA80B46"/>
    <w:rsid w:val="5CB564CD"/>
    <w:rsid w:val="5CBC6260"/>
    <w:rsid w:val="5CCC12AD"/>
    <w:rsid w:val="5CD12F06"/>
    <w:rsid w:val="5CD41448"/>
    <w:rsid w:val="5CE74FA9"/>
    <w:rsid w:val="5CF7084F"/>
    <w:rsid w:val="5D147937"/>
    <w:rsid w:val="5D1634FA"/>
    <w:rsid w:val="5D2040EF"/>
    <w:rsid w:val="5D3321D2"/>
    <w:rsid w:val="5D447125"/>
    <w:rsid w:val="5D614E5A"/>
    <w:rsid w:val="5D6F0EA6"/>
    <w:rsid w:val="5D7A4EBD"/>
    <w:rsid w:val="5D7B2AFB"/>
    <w:rsid w:val="5D8C5C75"/>
    <w:rsid w:val="5D916123"/>
    <w:rsid w:val="5D9D4948"/>
    <w:rsid w:val="5DA07441"/>
    <w:rsid w:val="5DA30A1C"/>
    <w:rsid w:val="5DAB4981"/>
    <w:rsid w:val="5DAF2ED6"/>
    <w:rsid w:val="5DCD5EDE"/>
    <w:rsid w:val="5DDD01B0"/>
    <w:rsid w:val="5DE31BF8"/>
    <w:rsid w:val="5DEE4FE1"/>
    <w:rsid w:val="5DEE7E4B"/>
    <w:rsid w:val="5DF434DB"/>
    <w:rsid w:val="5E040F9B"/>
    <w:rsid w:val="5E163DAD"/>
    <w:rsid w:val="5E18199F"/>
    <w:rsid w:val="5E276BBA"/>
    <w:rsid w:val="5E4A3124"/>
    <w:rsid w:val="5E4A34BA"/>
    <w:rsid w:val="5E525F9E"/>
    <w:rsid w:val="5E555E36"/>
    <w:rsid w:val="5E572B7B"/>
    <w:rsid w:val="5E715DE0"/>
    <w:rsid w:val="5E817F26"/>
    <w:rsid w:val="5E993BCD"/>
    <w:rsid w:val="5EA248D0"/>
    <w:rsid w:val="5EC875D4"/>
    <w:rsid w:val="5ED929BD"/>
    <w:rsid w:val="5EDD61AF"/>
    <w:rsid w:val="5EEF44C3"/>
    <w:rsid w:val="5EF64B87"/>
    <w:rsid w:val="5EFE24CD"/>
    <w:rsid w:val="5EFE5752"/>
    <w:rsid w:val="5F1E02ED"/>
    <w:rsid w:val="5F5335CE"/>
    <w:rsid w:val="5F6123D2"/>
    <w:rsid w:val="5F7C6175"/>
    <w:rsid w:val="5F8C113D"/>
    <w:rsid w:val="5F9F1D72"/>
    <w:rsid w:val="5FA41C29"/>
    <w:rsid w:val="5FB55859"/>
    <w:rsid w:val="5FB74AC7"/>
    <w:rsid w:val="5FD1415C"/>
    <w:rsid w:val="5FDA5184"/>
    <w:rsid w:val="5FEE6A48"/>
    <w:rsid w:val="5FF46772"/>
    <w:rsid w:val="6028198E"/>
    <w:rsid w:val="602A2D2E"/>
    <w:rsid w:val="6060214E"/>
    <w:rsid w:val="6071387E"/>
    <w:rsid w:val="607207D7"/>
    <w:rsid w:val="607A75EB"/>
    <w:rsid w:val="60932B78"/>
    <w:rsid w:val="60B1182C"/>
    <w:rsid w:val="60B54E5F"/>
    <w:rsid w:val="60D67EB5"/>
    <w:rsid w:val="60E72435"/>
    <w:rsid w:val="60F12408"/>
    <w:rsid w:val="60F53DE8"/>
    <w:rsid w:val="60F915AE"/>
    <w:rsid w:val="61186844"/>
    <w:rsid w:val="61196AEE"/>
    <w:rsid w:val="612015DC"/>
    <w:rsid w:val="61202565"/>
    <w:rsid w:val="61386C42"/>
    <w:rsid w:val="613D3456"/>
    <w:rsid w:val="6161246C"/>
    <w:rsid w:val="616A09B6"/>
    <w:rsid w:val="617A09D3"/>
    <w:rsid w:val="617E2BD9"/>
    <w:rsid w:val="617E4052"/>
    <w:rsid w:val="61894B41"/>
    <w:rsid w:val="61A02A4C"/>
    <w:rsid w:val="61AB7F4F"/>
    <w:rsid w:val="61B7640D"/>
    <w:rsid w:val="61BA3500"/>
    <w:rsid w:val="61BC7327"/>
    <w:rsid w:val="61DB4C28"/>
    <w:rsid w:val="61DE2022"/>
    <w:rsid w:val="61F12BA4"/>
    <w:rsid w:val="61F1712C"/>
    <w:rsid w:val="61FC795F"/>
    <w:rsid w:val="61FE4473"/>
    <w:rsid w:val="622A0453"/>
    <w:rsid w:val="62421C3F"/>
    <w:rsid w:val="62554D7B"/>
    <w:rsid w:val="626339C2"/>
    <w:rsid w:val="627F361F"/>
    <w:rsid w:val="62870321"/>
    <w:rsid w:val="62892F39"/>
    <w:rsid w:val="62923CFF"/>
    <w:rsid w:val="62A52639"/>
    <w:rsid w:val="62A75796"/>
    <w:rsid w:val="62C313EC"/>
    <w:rsid w:val="62D2532D"/>
    <w:rsid w:val="62D32926"/>
    <w:rsid w:val="62EB1C80"/>
    <w:rsid w:val="62F64459"/>
    <w:rsid w:val="62F76E32"/>
    <w:rsid w:val="6306529F"/>
    <w:rsid w:val="63243088"/>
    <w:rsid w:val="632B7CB6"/>
    <w:rsid w:val="632D6A8C"/>
    <w:rsid w:val="63326075"/>
    <w:rsid w:val="63577595"/>
    <w:rsid w:val="635953C4"/>
    <w:rsid w:val="636203F5"/>
    <w:rsid w:val="636D1281"/>
    <w:rsid w:val="636F05B2"/>
    <w:rsid w:val="638B05E2"/>
    <w:rsid w:val="63921C8F"/>
    <w:rsid w:val="639E2FFF"/>
    <w:rsid w:val="63B35481"/>
    <w:rsid w:val="63C546CA"/>
    <w:rsid w:val="63C73189"/>
    <w:rsid w:val="63C80685"/>
    <w:rsid w:val="63D27A4E"/>
    <w:rsid w:val="63D43500"/>
    <w:rsid w:val="63FA6EBC"/>
    <w:rsid w:val="641B128B"/>
    <w:rsid w:val="642518C9"/>
    <w:rsid w:val="642628D8"/>
    <w:rsid w:val="643353CE"/>
    <w:rsid w:val="64463885"/>
    <w:rsid w:val="645573E6"/>
    <w:rsid w:val="646C6942"/>
    <w:rsid w:val="646D325D"/>
    <w:rsid w:val="648101EB"/>
    <w:rsid w:val="64857D65"/>
    <w:rsid w:val="648A5198"/>
    <w:rsid w:val="64BB3691"/>
    <w:rsid w:val="64C649E5"/>
    <w:rsid w:val="64C971FC"/>
    <w:rsid w:val="64CC1BEF"/>
    <w:rsid w:val="64CD22CB"/>
    <w:rsid w:val="64D17A33"/>
    <w:rsid w:val="64DB0DE6"/>
    <w:rsid w:val="65192F42"/>
    <w:rsid w:val="651C413F"/>
    <w:rsid w:val="651F176C"/>
    <w:rsid w:val="652354FE"/>
    <w:rsid w:val="65243799"/>
    <w:rsid w:val="652F0DE7"/>
    <w:rsid w:val="653730AD"/>
    <w:rsid w:val="65473BE4"/>
    <w:rsid w:val="654823B1"/>
    <w:rsid w:val="655D3F53"/>
    <w:rsid w:val="655E1C0E"/>
    <w:rsid w:val="65833318"/>
    <w:rsid w:val="658B7760"/>
    <w:rsid w:val="659514FA"/>
    <w:rsid w:val="659F4A38"/>
    <w:rsid w:val="65B4203E"/>
    <w:rsid w:val="65C562C1"/>
    <w:rsid w:val="65DA30E2"/>
    <w:rsid w:val="65E419EA"/>
    <w:rsid w:val="65EC5F5D"/>
    <w:rsid w:val="65ED6121"/>
    <w:rsid w:val="65EE7177"/>
    <w:rsid w:val="660D737A"/>
    <w:rsid w:val="6635457B"/>
    <w:rsid w:val="663743A7"/>
    <w:rsid w:val="663B78CC"/>
    <w:rsid w:val="664C4D93"/>
    <w:rsid w:val="66645598"/>
    <w:rsid w:val="66713242"/>
    <w:rsid w:val="66A57E71"/>
    <w:rsid w:val="66A76320"/>
    <w:rsid w:val="66BD4460"/>
    <w:rsid w:val="66BD4681"/>
    <w:rsid w:val="66D37DBF"/>
    <w:rsid w:val="66D47A94"/>
    <w:rsid w:val="66D82ABA"/>
    <w:rsid w:val="66E4759D"/>
    <w:rsid w:val="66E75B92"/>
    <w:rsid w:val="67080774"/>
    <w:rsid w:val="67126F49"/>
    <w:rsid w:val="67195D19"/>
    <w:rsid w:val="672361E3"/>
    <w:rsid w:val="673212A8"/>
    <w:rsid w:val="67485617"/>
    <w:rsid w:val="674B4F4A"/>
    <w:rsid w:val="67586F6C"/>
    <w:rsid w:val="67625F8A"/>
    <w:rsid w:val="676A3DA6"/>
    <w:rsid w:val="67773A51"/>
    <w:rsid w:val="67835FB2"/>
    <w:rsid w:val="679805D8"/>
    <w:rsid w:val="67A46064"/>
    <w:rsid w:val="67A46EF4"/>
    <w:rsid w:val="67B16006"/>
    <w:rsid w:val="67BA07B7"/>
    <w:rsid w:val="67BC3FEE"/>
    <w:rsid w:val="67C77CC2"/>
    <w:rsid w:val="67CA7544"/>
    <w:rsid w:val="67CF598F"/>
    <w:rsid w:val="67D477F8"/>
    <w:rsid w:val="67DA1F38"/>
    <w:rsid w:val="67E118CD"/>
    <w:rsid w:val="67FF7C3A"/>
    <w:rsid w:val="68052609"/>
    <w:rsid w:val="681E1B1C"/>
    <w:rsid w:val="6829477F"/>
    <w:rsid w:val="682A1883"/>
    <w:rsid w:val="682F4FA9"/>
    <w:rsid w:val="68323C50"/>
    <w:rsid w:val="686332F5"/>
    <w:rsid w:val="68646588"/>
    <w:rsid w:val="68743ACA"/>
    <w:rsid w:val="687E7334"/>
    <w:rsid w:val="688232C2"/>
    <w:rsid w:val="68843A78"/>
    <w:rsid w:val="6892155A"/>
    <w:rsid w:val="689F0599"/>
    <w:rsid w:val="68B43376"/>
    <w:rsid w:val="68EE3897"/>
    <w:rsid w:val="68F053F6"/>
    <w:rsid w:val="68F43A1E"/>
    <w:rsid w:val="69017C6D"/>
    <w:rsid w:val="69145603"/>
    <w:rsid w:val="69184B75"/>
    <w:rsid w:val="69423186"/>
    <w:rsid w:val="6942555E"/>
    <w:rsid w:val="69432BE1"/>
    <w:rsid w:val="69492E1D"/>
    <w:rsid w:val="694A3C5C"/>
    <w:rsid w:val="694D728A"/>
    <w:rsid w:val="69832373"/>
    <w:rsid w:val="6988057F"/>
    <w:rsid w:val="699906A2"/>
    <w:rsid w:val="69AC12C2"/>
    <w:rsid w:val="69C411D0"/>
    <w:rsid w:val="69C62FFA"/>
    <w:rsid w:val="69D86C6D"/>
    <w:rsid w:val="69FA48D7"/>
    <w:rsid w:val="6A0D6DC9"/>
    <w:rsid w:val="6A341444"/>
    <w:rsid w:val="6A4A19BA"/>
    <w:rsid w:val="6A564EBF"/>
    <w:rsid w:val="6A582B8E"/>
    <w:rsid w:val="6A645FFB"/>
    <w:rsid w:val="6A6A2D90"/>
    <w:rsid w:val="6A701056"/>
    <w:rsid w:val="6A7A24EF"/>
    <w:rsid w:val="6A7B6932"/>
    <w:rsid w:val="6A7E361E"/>
    <w:rsid w:val="6A890DC5"/>
    <w:rsid w:val="6A8F3951"/>
    <w:rsid w:val="6A9A2282"/>
    <w:rsid w:val="6AAD6C66"/>
    <w:rsid w:val="6ABB292C"/>
    <w:rsid w:val="6AC46CE5"/>
    <w:rsid w:val="6ACD0D45"/>
    <w:rsid w:val="6ACF043E"/>
    <w:rsid w:val="6AD028DF"/>
    <w:rsid w:val="6AD9743D"/>
    <w:rsid w:val="6AF6368D"/>
    <w:rsid w:val="6AFE0C80"/>
    <w:rsid w:val="6B040407"/>
    <w:rsid w:val="6B055F08"/>
    <w:rsid w:val="6B083506"/>
    <w:rsid w:val="6B2873C2"/>
    <w:rsid w:val="6B2A0779"/>
    <w:rsid w:val="6B2B1D80"/>
    <w:rsid w:val="6B3111D5"/>
    <w:rsid w:val="6B3D3548"/>
    <w:rsid w:val="6B664EB6"/>
    <w:rsid w:val="6B6B0A44"/>
    <w:rsid w:val="6B936A01"/>
    <w:rsid w:val="6B947E09"/>
    <w:rsid w:val="6BA87D31"/>
    <w:rsid w:val="6BB72998"/>
    <w:rsid w:val="6BBC73BD"/>
    <w:rsid w:val="6BC066B1"/>
    <w:rsid w:val="6BD42604"/>
    <w:rsid w:val="6BE85BF1"/>
    <w:rsid w:val="6C033227"/>
    <w:rsid w:val="6C0B1660"/>
    <w:rsid w:val="6C133DDF"/>
    <w:rsid w:val="6C320084"/>
    <w:rsid w:val="6C391CC7"/>
    <w:rsid w:val="6C430889"/>
    <w:rsid w:val="6C533915"/>
    <w:rsid w:val="6C7F31BE"/>
    <w:rsid w:val="6C8071BA"/>
    <w:rsid w:val="6CBB7007"/>
    <w:rsid w:val="6CD91C0E"/>
    <w:rsid w:val="6CE01353"/>
    <w:rsid w:val="6CE176B9"/>
    <w:rsid w:val="6CEA7AAC"/>
    <w:rsid w:val="6CF00414"/>
    <w:rsid w:val="6CF02816"/>
    <w:rsid w:val="6CF35CFC"/>
    <w:rsid w:val="6CFA25E1"/>
    <w:rsid w:val="6D1030E8"/>
    <w:rsid w:val="6D2747F1"/>
    <w:rsid w:val="6D3F29A1"/>
    <w:rsid w:val="6D4149C8"/>
    <w:rsid w:val="6D544DC6"/>
    <w:rsid w:val="6D5D09E7"/>
    <w:rsid w:val="6D651DF3"/>
    <w:rsid w:val="6D7C57FB"/>
    <w:rsid w:val="6D9E263C"/>
    <w:rsid w:val="6D9E6AFC"/>
    <w:rsid w:val="6DD658EE"/>
    <w:rsid w:val="6DDD6E36"/>
    <w:rsid w:val="6DE276B3"/>
    <w:rsid w:val="6DE714B6"/>
    <w:rsid w:val="6DEC1C21"/>
    <w:rsid w:val="6E0F1FEB"/>
    <w:rsid w:val="6E152319"/>
    <w:rsid w:val="6E155346"/>
    <w:rsid w:val="6E200829"/>
    <w:rsid w:val="6E3A7BFC"/>
    <w:rsid w:val="6E3B0BAF"/>
    <w:rsid w:val="6E3E0629"/>
    <w:rsid w:val="6E4E3E08"/>
    <w:rsid w:val="6E501AEB"/>
    <w:rsid w:val="6E7C11B5"/>
    <w:rsid w:val="6E7F556F"/>
    <w:rsid w:val="6E8C2E06"/>
    <w:rsid w:val="6E997C25"/>
    <w:rsid w:val="6E9C165A"/>
    <w:rsid w:val="6E9F07E1"/>
    <w:rsid w:val="6EA14A30"/>
    <w:rsid w:val="6EB6105A"/>
    <w:rsid w:val="6EC46D49"/>
    <w:rsid w:val="6EC629FF"/>
    <w:rsid w:val="6EC7282F"/>
    <w:rsid w:val="6ECA6C00"/>
    <w:rsid w:val="6F1C104C"/>
    <w:rsid w:val="6F26499B"/>
    <w:rsid w:val="6F2B25A1"/>
    <w:rsid w:val="6F2D024C"/>
    <w:rsid w:val="6F2D277B"/>
    <w:rsid w:val="6F2F3282"/>
    <w:rsid w:val="6F3F60CB"/>
    <w:rsid w:val="6F587A8E"/>
    <w:rsid w:val="6F5A7044"/>
    <w:rsid w:val="6F5D5506"/>
    <w:rsid w:val="6F600C59"/>
    <w:rsid w:val="6F703F1B"/>
    <w:rsid w:val="6F795A80"/>
    <w:rsid w:val="6F7E2770"/>
    <w:rsid w:val="6F8776A7"/>
    <w:rsid w:val="6F957D21"/>
    <w:rsid w:val="6F9A1B5B"/>
    <w:rsid w:val="6FA57C2A"/>
    <w:rsid w:val="6FC22E70"/>
    <w:rsid w:val="6FD175F7"/>
    <w:rsid w:val="6FD95378"/>
    <w:rsid w:val="6FF47B92"/>
    <w:rsid w:val="6FFD1488"/>
    <w:rsid w:val="70027824"/>
    <w:rsid w:val="700B44C9"/>
    <w:rsid w:val="70173431"/>
    <w:rsid w:val="703C1CAA"/>
    <w:rsid w:val="703E1108"/>
    <w:rsid w:val="70460ECD"/>
    <w:rsid w:val="704B7EBD"/>
    <w:rsid w:val="7051053C"/>
    <w:rsid w:val="707F7FC1"/>
    <w:rsid w:val="70830694"/>
    <w:rsid w:val="7092075C"/>
    <w:rsid w:val="70A16710"/>
    <w:rsid w:val="70AF49AD"/>
    <w:rsid w:val="70CC6CCD"/>
    <w:rsid w:val="70E234A9"/>
    <w:rsid w:val="70E51433"/>
    <w:rsid w:val="70FC24C5"/>
    <w:rsid w:val="71081951"/>
    <w:rsid w:val="710C10AD"/>
    <w:rsid w:val="71195FA1"/>
    <w:rsid w:val="711F23C1"/>
    <w:rsid w:val="71252C8F"/>
    <w:rsid w:val="712D7A96"/>
    <w:rsid w:val="71334F8E"/>
    <w:rsid w:val="713954C7"/>
    <w:rsid w:val="713C2BF3"/>
    <w:rsid w:val="715517E0"/>
    <w:rsid w:val="715D55F4"/>
    <w:rsid w:val="71647A80"/>
    <w:rsid w:val="71682CDB"/>
    <w:rsid w:val="716D1C68"/>
    <w:rsid w:val="717C301D"/>
    <w:rsid w:val="718D2B25"/>
    <w:rsid w:val="71AC3CA8"/>
    <w:rsid w:val="71B24D30"/>
    <w:rsid w:val="71E67530"/>
    <w:rsid w:val="71F552A8"/>
    <w:rsid w:val="71FA60A3"/>
    <w:rsid w:val="71FD3369"/>
    <w:rsid w:val="7208350E"/>
    <w:rsid w:val="72142600"/>
    <w:rsid w:val="72264502"/>
    <w:rsid w:val="723358B2"/>
    <w:rsid w:val="72347B51"/>
    <w:rsid w:val="72356228"/>
    <w:rsid w:val="72363B93"/>
    <w:rsid w:val="72366F69"/>
    <w:rsid w:val="72546CCC"/>
    <w:rsid w:val="72571A57"/>
    <w:rsid w:val="7269077B"/>
    <w:rsid w:val="727F0C00"/>
    <w:rsid w:val="72981E43"/>
    <w:rsid w:val="729C3060"/>
    <w:rsid w:val="72AD5CE4"/>
    <w:rsid w:val="72BB344D"/>
    <w:rsid w:val="72BD396A"/>
    <w:rsid w:val="72E77D45"/>
    <w:rsid w:val="72EA334F"/>
    <w:rsid w:val="730440C9"/>
    <w:rsid w:val="730B241D"/>
    <w:rsid w:val="73225EEC"/>
    <w:rsid w:val="73236EBA"/>
    <w:rsid w:val="73242532"/>
    <w:rsid w:val="73480C9F"/>
    <w:rsid w:val="734C24BD"/>
    <w:rsid w:val="7356298F"/>
    <w:rsid w:val="7357002D"/>
    <w:rsid w:val="73576104"/>
    <w:rsid w:val="735A6C44"/>
    <w:rsid w:val="73764F03"/>
    <w:rsid w:val="73815738"/>
    <w:rsid w:val="73927989"/>
    <w:rsid w:val="739F3A97"/>
    <w:rsid w:val="73AF1694"/>
    <w:rsid w:val="73B673EF"/>
    <w:rsid w:val="73C8277D"/>
    <w:rsid w:val="73CE2AF2"/>
    <w:rsid w:val="73EF07B7"/>
    <w:rsid w:val="73F02366"/>
    <w:rsid w:val="73F07FEE"/>
    <w:rsid w:val="74057A07"/>
    <w:rsid w:val="742254DD"/>
    <w:rsid w:val="7437180D"/>
    <w:rsid w:val="74391D4B"/>
    <w:rsid w:val="74483CFE"/>
    <w:rsid w:val="744B0DA7"/>
    <w:rsid w:val="744D3074"/>
    <w:rsid w:val="74624CC6"/>
    <w:rsid w:val="746A5AD3"/>
    <w:rsid w:val="74723306"/>
    <w:rsid w:val="747A2CC8"/>
    <w:rsid w:val="747F3641"/>
    <w:rsid w:val="74B579B7"/>
    <w:rsid w:val="74B71E9C"/>
    <w:rsid w:val="74BB7061"/>
    <w:rsid w:val="74CE3EB2"/>
    <w:rsid w:val="74DB340A"/>
    <w:rsid w:val="74E82D21"/>
    <w:rsid w:val="750D23D7"/>
    <w:rsid w:val="750E03C1"/>
    <w:rsid w:val="751C6251"/>
    <w:rsid w:val="751E470B"/>
    <w:rsid w:val="753D7B6A"/>
    <w:rsid w:val="754026A2"/>
    <w:rsid w:val="754301AD"/>
    <w:rsid w:val="754E2F08"/>
    <w:rsid w:val="75500735"/>
    <w:rsid w:val="75670772"/>
    <w:rsid w:val="75671A3D"/>
    <w:rsid w:val="757C44C8"/>
    <w:rsid w:val="75961C87"/>
    <w:rsid w:val="759A09C5"/>
    <w:rsid w:val="75A6427E"/>
    <w:rsid w:val="75AF7DF9"/>
    <w:rsid w:val="75B243A7"/>
    <w:rsid w:val="75DE6DB1"/>
    <w:rsid w:val="75E16ABB"/>
    <w:rsid w:val="75E572CF"/>
    <w:rsid w:val="75FB07A2"/>
    <w:rsid w:val="75FF02E6"/>
    <w:rsid w:val="76046317"/>
    <w:rsid w:val="760617CC"/>
    <w:rsid w:val="761375E4"/>
    <w:rsid w:val="76217478"/>
    <w:rsid w:val="763C572C"/>
    <w:rsid w:val="7656131D"/>
    <w:rsid w:val="7666354F"/>
    <w:rsid w:val="766B6ECD"/>
    <w:rsid w:val="767470B0"/>
    <w:rsid w:val="767E397C"/>
    <w:rsid w:val="76855EB9"/>
    <w:rsid w:val="7692691E"/>
    <w:rsid w:val="76996365"/>
    <w:rsid w:val="769A10D0"/>
    <w:rsid w:val="76C2349E"/>
    <w:rsid w:val="76CB35EC"/>
    <w:rsid w:val="76D054CE"/>
    <w:rsid w:val="76D10C55"/>
    <w:rsid w:val="76D276DD"/>
    <w:rsid w:val="76D85DAB"/>
    <w:rsid w:val="76EA2D88"/>
    <w:rsid w:val="76FC5ECA"/>
    <w:rsid w:val="77040C67"/>
    <w:rsid w:val="770C2851"/>
    <w:rsid w:val="770E161B"/>
    <w:rsid w:val="773B587C"/>
    <w:rsid w:val="773F6299"/>
    <w:rsid w:val="77416C82"/>
    <w:rsid w:val="774271F2"/>
    <w:rsid w:val="77453760"/>
    <w:rsid w:val="77473689"/>
    <w:rsid w:val="77640DC4"/>
    <w:rsid w:val="77653D55"/>
    <w:rsid w:val="776A7D9F"/>
    <w:rsid w:val="77734AD9"/>
    <w:rsid w:val="77767106"/>
    <w:rsid w:val="77786FD4"/>
    <w:rsid w:val="77A954AE"/>
    <w:rsid w:val="77AB2363"/>
    <w:rsid w:val="77D71742"/>
    <w:rsid w:val="77E342D7"/>
    <w:rsid w:val="77F3466D"/>
    <w:rsid w:val="780127F5"/>
    <w:rsid w:val="7822274B"/>
    <w:rsid w:val="78306EF8"/>
    <w:rsid w:val="7840608D"/>
    <w:rsid w:val="78494C44"/>
    <w:rsid w:val="78594455"/>
    <w:rsid w:val="785A03C2"/>
    <w:rsid w:val="78786AB3"/>
    <w:rsid w:val="787D7B01"/>
    <w:rsid w:val="78927153"/>
    <w:rsid w:val="78970591"/>
    <w:rsid w:val="789C0A5C"/>
    <w:rsid w:val="78B065B0"/>
    <w:rsid w:val="78BD4113"/>
    <w:rsid w:val="78C33E4A"/>
    <w:rsid w:val="78F10DB2"/>
    <w:rsid w:val="7901119D"/>
    <w:rsid w:val="790177E9"/>
    <w:rsid w:val="790D3EA5"/>
    <w:rsid w:val="79106B12"/>
    <w:rsid w:val="791B2495"/>
    <w:rsid w:val="791D2A50"/>
    <w:rsid w:val="791E4915"/>
    <w:rsid w:val="79366F18"/>
    <w:rsid w:val="793E022D"/>
    <w:rsid w:val="793E56AD"/>
    <w:rsid w:val="79432736"/>
    <w:rsid w:val="79505D65"/>
    <w:rsid w:val="79660E81"/>
    <w:rsid w:val="797940FE"/>
    <w:rsid w:val="79866E7E"/>
    <w:rsid w:val="798A6A50"/>
    <w:rsid w:val="799A7341"/>
    <w:rsid w:val="79AA4A14"/>
    <w:rsid w:val="79AD792E"/>
    <w:rsid w:val="79B63FC9"/>
    <w:rsid w:val="79C16BC7"/>
    <w:rsid w:val="79C21E49"/>
    <w:rsid w:val="79C673FA"/>
    <w:rsid w:val="79DE02DD"/>
    <w:rsid w:val="79E07E40"/>
    <w:rsid w:val="79E13C8B"/>
    <w:rsid w:val="79EB5D1B"/>
    <w:rsid w:val="79FC6182"/>
    <w:rsid w:val="7A0A0885"/>
    <w:rsid w:val="7A0A6F4F"/>
    <w:rsid w:val="7A1D2D65"/>
    <w:rsid w:val="7A2E0A35"/>
    <w:rsid w:val="7A456F6D"/>
    <w:rsid w:val="7A526C88"/>
    <w:rsid w:val="7A5705CE"/>
    <w:rsid w:val="7A5D27C6"/>
    <w:rsid w:val="7A5F16CA"/>
    <w:rsid w:val="7A68409A"/>
    <w:rsid w:val="7A710D8E"/>
    <w:rsid w:val="7AB1300F"/>
    <w:rsid w:val="7AB45E26"/>
    <w:rsid w:val="7AB64E52"/>
    <w:rsid w:val="7ADA0EA4"/>
    <w:rsid w:val="7AE75FBC"/>
    <w:rsid w:val="7AFC56DC"/>
    <w:rsid w:val="7B0D3216"/>
    <w:rsid w:val="7B345398"/>
    <w:rsid w:val="7B355131"/>
    <w:rsid w:val="7B590C27"/>
    <w:rsid w:val="7B6B24CD"/>
    <w:rsid w:val="7B6C5EAB"/>
    <w:rsid w:val="7B7814A8"/>
    <w:rsid w:val="7B814DD3"/>
    <w:rsid w:val="7B861DF2"/>
    <w:rsid w:val="7B864059"/>
    <w:rsid w:val="7B874BE4"/>
    <w:rsid w:val="7BA33013"/>
    <w:rsid w:val="7BB97642"/>
    <w:rsid w:val="7BF702E8"/>
    <w:rsid w:val="7BFA0FA5"/>
    <w:rsid w:val="7BFE2BF5"/>
    <w:rsid w:val="7C162A9E"/>
    <w:rsid w:val="7C177BEA"/>
    <w:rsid w:val="7C1908EC"/>
    <w:rsid w:val="7C206AB7"/>
    <w:rsid w:val="7C647A61"/>
    <w:rsid w:val="7C7B2256"/>
    <w:rsid w:val="7C8646F6"/>
    <w:rsid w:val="7C886A69"/>
    <w:rsid w:val="7C8F6150"/>
    <w:rsid w:val="7C9B11F5"/>
    <w:rsid w:val="7C9B46D0"/>
    <w:rsid w:val="7CA37E05"/>
    <w:rsid w:val="7CA95B93"/>
    <w:rsid w:val="7CBC0850"/>
    <w:rsid w:val="7CBC5897"/>
    <w:rsid w:val="7CD3681B"/>
    <w:rsid w:val="7CF20DD2"/>
    <w:rsid w:val="7CFF7134"/>
    <w:rsid w:val="7D1D1FC6"/>
    <w:rsid w:val="7D28646B"/>
    <w:rsid w:val="7D2D300E"/>
    <w:rsid w:val="7D4714AF"/>
    <w:rsid w:val="7D476185"/>
    <w:rsid w:val="7D7016BE"/>
    <w:rsid w:val="7D8603E2"/>
    <w:rsid w:val="7D983576"/>
    <w:rsid w:val="7D9B3D45"/>
    <w:rsid w:val="7D9C553A"/>
    <w:rsid w:val="7DBB346B"/>
    <w:rsid w:val="7DD0508B"/>
    <w:rsid w:val="7DE4119D"/>
    <w:rsid w:val="7DEE5B58"/>
    <w:rsid w:val="7DEF4E30"/>
    <w:rsid w:val="7E0B1390"/>
    <w:rsid w:val="7E2B13AE"/>
    <w:rsid w:val="7E676A56"/>
    <w:rsid w:val="7E690FF4"/>
    <w:rsid w:val="7E947A7E"/>
    <w:rsid w:val="7EA36676"/>
    <w:rsid w:val="7ED03245"/>
    <w:rsid w:val="7ED25E9B"/>
    <w:rsid w:val="7ED37D6E"/>
    <w:rsid w:val="7F0A2251"/>
    <w:rsid w:val="7F0A51A4"/>
    <w:rsid w:val="7F1A0C40"/>
    <w:rsid w:val="7F332C78"/>
    <w:rsid w:val="7F3F5D11"/>
    <w:rsid w:val="7F486A87"/>
    <w:rsid w:val="7F7D2EBD"/>
    <w:rsid w:val="7F8846F0"/>
    <w:rsid w:val="7FA36CA7"/>
    <w:rsid w:val="7FAD2052"/>
    <w:rsid w:val="7FD34F08"/>
    <w:rsid w:val="7FD51EFD"/>
    <w:rsid w:val="7FE04F3E"/>
    <w:rsid w:val="7FEA3B6F"/>
    <w:rsid w:val="BAFFAB79"/>
    <w:rsid w:val="DBEED555"/>
  </w:rsids>
  <m:mathPr>
    <m:lMargin m:val="0"/>
    <m:rMargin m:val="0"/>
    <m:wrapIndent m:val="1440"/>
    <m:brkBin m:val="before"/>
    <m:brkBinSub m:val="--"/>
    <m:defJc m:val="centerGroup"/>
    <m:intLim m:val="subSup"/>
    <m:naryLim m:val="undOvr"/>
    <m:smallFrac m:val="0"/>
    <m:dispDef/>
  </m:mathPr>
  <w:themeFontLang w:val="zh-CN" w:eastAsia="zh-CN" w:bidi="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nhideWhenUsed="0" w:uiPriority="1" w:semiHidden="0" w:name="heading 2"/>
    <w:lsdException w:qFormat="1" w:unhideWhenUsed="0" w:uiPriority="1" w:semiHidden="0" w:name="heading 3"/>
    <w:lsdException w:qFormat="1" w:unhideWhenUsed="0" w:uiPriority="1" w:semiHidden="0" w:name="heading 4"/>
    <w:lsdException w:qFormat="1" w:unhideWhenUsed="0" w:uiPriority="1"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suppressAutoHyphens/>
      <w:bidi w:val="0"/>
      <w:spacing w:before="0" w:after="0"/>
      <w:jc w:val="left"/>
    </w:pPr>
    <w:rPr>
      <w:rFonts w:ascii="Arial Unicode MS" w:hAnsi="Arial Unicode MS" w:eastAsia="Arial Unicode MS" w:cs="Arial Unicode MS"/>
      <w:color w:val="auto"/>
      <w:kern w:val="0"/>
      <w:sz w:val="22"/>
      <w:szCs w:val="22"/>
      <w:lang w:val="zh-CN" w:eastAsia="zh-CN" w:bidi="zh-CN"/>
    </w:rPr>
  </w:style>
  <w:style w:type="paragraph" w:styleId="2">
    <w:name w:val="heading 1"/>
    <w:basedOn w:val="1"/>
    <w:next w:val="1"/>
    <w:qFormat/>
    <w:uiPriority w:val="1"/>
    <w:pPr>
      <w:ind w:left="-40" w:firstLine="0"/>
      <w:outlineLvl w:val="0"/>
    </w:pPr>
    <w:rPr>
      <w:sz w:val="52"/>
      <w:szCs w:val="52"/>
    </w:rPr>
  </w:style>
  <w:style w:type="paragraph" w:styleId="3">
    <w:name w:val="heading 2"/>
    <w:basedOn w:val="1"/>
    <w:next w:val="1"/>
    <w:qFormat/>
    <w:uiPriority w:val="1"/>
    <w:pPr>
      <w:ind w:right="18" w:firstLine="0"/>
      <w:jc w:val="center"/>
      <w:outlineLvl w:val="1"/>
    </w:pPr>
    <w:rPr>
      <w:sz w:val="44"/>
      <w:szCs w:val="44"/>
    </w:rPr>
  </w:style>
  <w:style w:type="paragraph" w:styleId="4">
    <w:name w:val="heading 3"/>
    <w:basedOn w:val="1"/>
    <w:next w:val="1"/>
    <w:qFormat/>
    <w:uiPriority w:val="1"/>
    <w:pPr>
      <w:ind w:left="1" w:firstLine="0"/>
      <w:jc w:val="center"/>
      <w:outlineLvl w:val="2"/>
    </w:pPr>
    <w:rPr>
      <w:sz w:val="40"/>
      <w:szCs w:val="40"/>
    </w:rPr>
  </w:style>
  <w:style w:type="paragraph" w:styleId="5">
    <w:name w:val="heading 4"/>
    <w:basedOn w:val="1"/>
    <w:next w:val="1"/>
    <w:qFormat/>
    <w:uiPriority w:val="1"/>
    <w:pPr>
      <w:jc w:val="center"/>
      <w:outlineLvl w:val="3"/>
    </w:pPr>
    <w:rPr>
      <w:sz w:val="36"/>
      <w:szCs w:val="36"/>
    </w:rPr>
  </w:style>
  <w:style w:type="paragraph" w:styleId="6">
    <w:name w:val="heading 5"/>
    <w:basedOn w:val="1"/>
    <w:next w:val="1"/>
    <w:qFormat/>
    <w:uiPriority w:val="1"/>
    <w:pPr>
      <w:ind w:left="112" w:firstLine="0"/>
      <w:outlineLvl w:val="4"/>
    </w:pPr>
    <w:rPr>
      <w:sz w:val="33"/>
      <w:szCs w:val="33"/>
    </w:rPr>
  </w:style>
  <w:style w:type="character" w:default="1" w:styleId="12">
    <w:name w:val="Default Paragraph Font"/>
    <w:unhideWhenUsed/>
    <w:qFormat/>
    <w:uiPriority w:val="1"/>
  </w:style>
  <w:style w:type="table" w:default="1" w:styleId="13">
    <w:name w:val="Normal Table"/>
    <w:unhideWhenUsed/>
    <w:qFormat/>
    <w:uiPriority w:val="99"/>
    <w:tblPr>
      <w:tblLayout w:type="fixed"/>
      <w:tblCellMar>
        <w:top w:w="0" w:type="dxa"/>
        <w:left w:w="108" w:type="dxa"/>
        <w:bottom w:w="0" w:type="dxa"/>
        <w:right w:w="108" w:type="dxa"/>
      </w:tblCellMar>
    </w:tblPr>
  </w:style>
  <w:style w:type="paragraph" w:styleId="7">
    <w:name w:val="caption"/>
    <w:basedOn w:val="1"/>
    <w:next w:val="1"/>
    <w:qFormat/>
    <w:uiPriority w:val="0"/>
    <w:pPr>
      <w:suppressLineNumbers/>
      <w:spacing w:before="120" w:after="120"/>
    </w:pPr>
    <w:rPr>
      <w:i/>
      <w:iCs/>
      <w:sz w:val="24"/>
      <w:szCs w:val="24"/>
    </w:rPr>
  </w:style>
  <w:style w:type="paragraph" w:styleId="8">
    <w:name w:val="Body Text"/>
    <w:basedOn w:val="1"/>
    <w:qFormat/>
    <w:uiPriority w:val="1"/>
    <w:rPr>
      <w:sz w:val="32"/>
      <w:szCs w:val="32"/>
    </w:rPr>
  </w:style>
  <w:style w:type="paragraph" w:styleId="9">
    <w:name w:val="footer"/>
    <w:basedOn w:val="1"/>
    <w:qFormat/>
    <w:uiPriority w:val="0"/>
    <w:pPr>
      <w:tabs>
        <w:tab w:val="center" w:pos="4153"/>
        <w:tab w:val="right" w:pos="8306"/>
      </w:tabs>
      <w:snapToGrid w:val="0"/>
    </w:pPr>
    <w:rPr>
      <w:sz w:val="18"/>
      <w:szCs w:val="18"/>
    </w:rPr>
  </w:style>
  <w:style w:type="paragraph" w:styleId="10">
    <w:name w:val="header"/>
    <w:basedOn w:val="1"/>
    <w:qFormat/>
    <w:uiPriority w:val="0"/>
    <w:pPr>
      <w:pBdr>
        <w:bottom w:val="single" w:color="000000" w:sz="6" w:space="1"/>
      </w:pBdr>
      <w:tabs>
        <w:tab w:val="center" w:pos="4153"/>
        <w:tab w:val="right" w:pos="8306"/>
      </w:tabs>
      <w:snapToGrid w:val="0"/>
      <w:jc w:val="center"/>
    </w:pPr>
    <w:rPr>
      <w:sz w:val="18"/>
      <w:szCs w:val="18"/>
    </w:rPr>
  </w:style>
  <w:style w:type="paragraph" w:styleId="11">
    <w:name w:val="List"/>
    <w:basedOn w:val="8"/>
    <w:qFormat/>
    <w:uiPriority w:val="0"/>
  </w:style>
  <w:style w:type="table" w:styleId="14">
    <w:name w:val="Table Grid"/>
    <w:basedOn w:val="1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customStyle="1" w:styleId="15">
    <w:name w:val="编号符号"/>
    <w:qFormat/>
    <w:uiPriority w:val="0"/>
  </w:style>
  <w:style w:type="character" w:customStyle="1" w:styleId="16">
    <w:name w:val="页眉 字符"/>
    <w:basedOn w:val="12"/>
    <w:qFormat/>
    <w:uiPriority w:val="0"/>
    <w:rPr>
      <w:rFonts w:ascii="Arial Unicode MS" w:hAnsi="Arial Unicode MS" w:eastAsia="Arial Unicode MS" w:cs="Arial Unicode MS"/>
      <w:sz w:val="18"/>
      <w:szCs w:val="18"/>
      <w:lang w:val="zh-CN" w:bidi="zh-CN"/>
    </w:rPr>
  </w:style>
  <w:style w:type="character" w:customStyle="1" w:styleId="17">
    <w:name w:val="页脚 字符"/>
    <w:basedOn w:val="12"/>
    <w:qFormat/>
    <w:uiPriority w:val="0"/>
    <w:rPr>
      <w:rFonts w:ascii="Arial Unicode MS" w:hAnsi="Arial Unicode MS" w:eastAsia="Arial Unicode MS" w:cs="Arial Unicode MS"/>
      <w:sz w:val="18"/>
      <w:szCs w:val="18"/>
      <w:lang w:val="zh-CN" w:bidi="zh-CN"/>
    </w:rPr>
  </w:style>
  <w:style w:type="paragraph" w:customStyle="1" w:styleId="18">
    <w:name w:val="标题样式"/>
    <w:basedOn w:val="1"/>
    <w:next w:val="8"/>
    <w:qFormat/>
    <w:uiPriority w:val="0"/>
    <w:pPr>
      <w:keepNext/>
      <w:spacing w:before="240" w:after="120"/>
    </w:pPr>
    <w:rPr>
      <w:rFonts w:ascii="Liberation Sans" w:hAnsi="Liberation Sans"/>
      <w:sz w:val="28"/>
      <w:szCs w:val="28"/>
    </w:rPr>
  </w:style>
  <w:style w:type="paragraph" w:customStyle="1" w:styleId="19">
    <w:name w:val="索引"/>
    <w:basedOn w:val="1"/>
    <w:qFormat/>
    <w:uiPriority w:val="0"/>
    <w:pPr>
      <w:suppressLineNumbers/>
    </w:pPr>
  </w:style>
  <w:style w:type="paragraph" w:customStyle="1" w:styleId="20">
    <w:name w:val="页眉与页脚"/>
    <w:basedOn w:val="1"/>
    <w:qFormat/>
    <w:uiPriority w:val="0"/>
  </w:style>
  <w:style w:type="paragraph" w:customStyle="1" w:styleId="21">
    <w:name w:val="List Paragraph"/>
    <w:basedOn w:val="1"/>
    <w:qFormat/>
    <w:uiPriority w:val="1"/>
    <w:pPr>
      <w:ind w:left="2039" w:hanging="782"/>
    </w:pPr>
  </w:style>
  <w:style w:type="paragraph" w:customStyle="1" w:styleId="22">
    <w:name w:val="Table Paragraph"/>
    <w:basedOn w:val="1"/>
    <w:qFormat/>
    <w:uiPriority w:val="1"/>
    <w:rPr>
      <w:rFonts w:ascii="宋体" w:hAnsi="宋体" w:eastAsia="宋体" w:cs="宋体"/>
    </w:rPr>
  </w:style>
  <w:style w:type="paragraph" w:customStyle="1" w:styleId="23">
    <w:name w:val="表格内容"/>
    <w:basedOn w:val="1"/>
    <w:qFormat/>
    <w:uiPriority w:val="0"/>
    <w:pPr>
      <w:suppressLineNumbers/>
    </w:pPr>
  </w:style>
  <w:style w:type="paragraph" w:customStyle="1" w:styleId="24">
    <w:name w:val="表格标题"/>
    <w:basedOn w:val="23"/>
    <w:qFormat/>
    <w:uiPriority w:val="0"/>
    <w:pPr>
      <w:jc w:val="center"/>
    </w:pPr>
    <w:rPr>
      <w:b/>
      <w:bCs/>
    </w:rPr>
  </w:style>
  <w:style w:type="paragraph" w:customStyle="1" w:styleId="25">
    <w:name w:val="预格式化的文本"/>
    <w:basedOn w:val="1"/>
    <w:qFormat/>
    <w:uiPriority w:val="0"/>
    <w:rPr>
      <w:rFonts w:ascii="Liberation Mono" w:hAnsi="Liberation Mono" w:eastAsia="新宋体" w:cs="Liberation Mono"/>
      <w:sz w:val="20"/>
      <w:szCs w:val="20"/>
    </w:rPr>
  </w:style>
  <w:style w:type="table" w:customStyle="1" w:styleId="26">
    <w:name w:val="Table Normal"/>
    <w:unhideWhenUsed/>
    <w:qFormat/>
    <w:uiPriority w:val="2"/>
    <w:tblPr>
      <w:tblLayout w:type="fixed"/>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3" Type="http://schemas.openxmlformats.org/officeDocument/2006/relationships/fontTable" Target="fontTable.xml"/><Relationship Id="rId22" Type="http://schemas.openxmlformats.org/officeDocument/2006/relationships/customXml" Target="../customXml/item1.xml"/><Relationship Id="rId21" Type="http://schemas.openxmlformats.org/officeDocument/2006/relationships/image" Target="media/image2.png"/><Relationship Id="rId20" Type="http://schemas.openxmlformats.org/officeDocument/2006/relationships/image" Target="media/image1.png"/><Relationship Id="rId2" Type="http://schemas.openxmlformats.org/officeDocument/2006/relationships/settings" Target="settings.xml"/><Relationship Id="rId19" Type="http://schemas.openxmlformats.org/officeDocument/2006/relationships/theme" Target="theme/theme1.xml"/><Relationship Id="rId18" Type="http://schemas.openxmlformats.org/officeDocument/2006/relationships/footer" Target="footer14.xml"/><Relationship Id="rId17" Type="http://schemas.openxmlformats.org/officeDocument/2006/relationships/footer" Target="footer13.xml"/><Relationship Id="rId16" Type="http://schemas.openxmlformats.org/officeDocument/2006/relationships/footer" Target="footer12.xml"/><Relationship Id="rId15" Type="http://schemas.openxmlformats.org/officeDocument/2006/relationships/footer" Target="footer11.xml"/><Relationship Id="rId14" Type="http://schemas.openxmlformats.org/officeDocument/2006/relationships/footer" Target="footer10.xml"/><Relationship Id="rId13" Type="http://schemas.openxmlformats.org/officeDocument/2006/relationships/footer" Target="footer9.xml"/><Relationship Id="rId12" Type="http://schemas.openxmlformats.org/officeDocument/2006/relationships/footer" Target="footer8.xml"/><Relationship Id="rId11" Type="http://schemas.openxmlformats.org/officeDocument/2006/relationships/footer" Target="footer7.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customShpExts>
    <customShpInfo spid="_x0000_s4097" textRotate="1"/>
    <customShpInfo spid="_x0000_s4113" textRotate="1"/>
    <customShpInfo spid="_x0000_s4111" textRotate="1"/>
    <customShpInfo spid="_x0000_s4112" textRotate="1"/>
    <customShpInfo spid="_x0000_s4099" textRotate="1"/>
    <customShpInfo spid="_x0000_s4100" textRotate="1"/>
    <customShpInfo spid="_x0000_s4101" textRotate="1"/>
    <customShpInfo spid="_x0000_s4102" textRotate="1"/>
    <customShpInfo spid="_x0000_s4103" textRotate="1"/>
    <customShpInfo spid="_x0000_s4104" textRotate="1"/>
    <customShpInfo spid="_x0000_s4105" textRotate="1"/>
    <customShpInfo spid="_x0000_s4106" textRotate="1"/>
    <customShpInfo spid="_x0000_s4107" textRotate="1"/>
    <customShpInfo spid="_x0000_s4108"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20</Pages>
  <Words>1913</Words>
  <Characters>6541</Characters>
  <Lines>0</Lines>
  <Paragraphs>501</Paragraphs>
  <ScaleCrop>false</ScaleCrop>
  <LinksUpToDate>false</LinksUpToDate>
  <CharactersWithSpaces>6558</CharactersWithSpaces>
  <Application>WPS Office_10.8.0.5715_F1E327BC-269C-435d-A152-05C5408002CA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2021-04-16T03:22:00Z</dcterms:created>
  <dc:creator>陈长军(本处室套红)</dc:creator>
  <cp:lastModifiedBy>admin</cp:lastModifiedBy>
  <dcterms:modified xsi:type="dcterms:W3CDTF">2024-03-10T07:07:56Z</dcterms:modified>
  <dc:title>部门预算公开</dc:title>
  <cp:revision>175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2021-02-03T00:00:00Z</vt:filetime>
  </property>
  <property fmtid="{D5CDD505-2E9C-101B-9397-08002B2CF9AE}" pid="3" name="Creator">
    <vt:lpwstr>ÿþ¹eckýVEŒ⁄ech Y thV </vt:lpwstr>
  </property>
  <property fmtid="{D5CDD505-2E9C-101B-9397-08002B2CF9AE}" pid="4" name="ICV">
    <vt:lpwstr>C823B2FE72FE4DF285E985223D1A425B</vt:lpwstr>
  </property>
  <property fmtid="{D5CDD505-2E9C-101B-9397-08002B2CF9AE}" pid="5" name="KSOProductBuildVer">
    <vt:lpwstr>2052-10.8.0.5715</vt:lpwstr>
  </property>
  <property fmtid="{D5CDD505-2E9C-101B-9397-08002B2CF9AE}" pid="6" name="LastSaved">
    <vt:filetime>2021-04-15T00:00:00Z</vt:filetime>
  </property>
</Properties>
</file>