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668A97" w14:textId="77777777" w:rsidR="00E76B5A" w:rsidRDefault="003F448A">
      <w:pPr>
        <w:overflowPunct w:val="0"/>
        <w:spacing w:beforeLines="100" w:before="312" w:line="600" w:lineRule="exact"/>
        <w:rPr>
          <w:rFonts w:ascii="方正仿宋_GBK" w:eastAsia="方正仿宋_GBK" w:hAnsi="Times New Roman" w:cs="Times New Roman"/>
          <w:color w:val="000000" w:themeColor="text1"/>
          <w:sz w:val="32"/>
          <w:szCs w:val="32"/>
        </w:rPr>
      </w:pPr>
      <w:r>
        <w:rPr>
          <w:rFonts w:ascii="方正仿宋_GBK" w:eastAsia="方正仿宋_GBK" w:hAnsi="Times New Roman" w:cs="Times New Roman" w:hint="eastAsia"/>
          <w:color w:val="000000" w:themeColor="text1"/>
          <w:sz w:val="32"/>
          <w:szCs w:val="32"/>
        </w:rPr>
        <w:t>附件</w:t>
      </w:r>
      <w:r>
        <w:rPr>
          <w:rFonts w:ascii="Times New Roman" w:eastAsia="方正仿宋_GBK" w:hAnsi="Times New Roman" w:cs="Times New Roman"/>
          <w:color w:val="000000" w:themeColor="text1"/>
          <w:sz w:val="32"/>
          <w:szCs w:val="32"/>
        </w:rPr>
        <w:t>1</w:t>
      </w:r>
    </w:p>
    <w:p w14:paraId="627D9A73" w14:textId="77777777" w:rsidR="00E76B5A" w:rsidRDefault="003F448A">
      <w:pPr>
        <w:overflowPunct w:val="0"/>
        <w:spacing w:beforeLines="100" w:before="312" w:line="600" w:lineRule="exact"/>
        <w:jc w:val="center"/>
        <w:rPr>
          <w:rFonts w:ascii="方正小标宋_GBK" w:eastAsia="方正小标宋_GBK" w:hAnsi="Times New Roman" w:cs="Times New Roman"/>
          <w:color w:val="000000" w:themeColor="text1"/>
          <w:sz w:val="44"/>
          <w:szCs w:val="44"/>
        </w:rPr>
      </w:pPr>
      <w:r>
        <w:rPr>
          <w:rFonts w:ascii="方正小标宋_GBK" w:eastAsia="方正小标宋_GBK" w:hAnsi="Times New Roman" w:cs="Times New Roman" w:hint="eastAsia"/>
          <w:color w:val="000000" w:themeColor="text1"/>
          <w:sz w:val="44"/>
          <w:szCs w:val="44"/>
        </w:rPr>
        <w:t>江苏省地名管理条例（修订草案）</w:t>
      </w:r>
    </w:p>
    <w:p w14:paraId="36E0059A" w14:textId="77777777" w:rsidR="00E76B5A" w:rsidRDefault="00E76B5A">
      <w:pPr>
        <w:overflowPunct w:val="0"/>
        <w:spacing w:line="600" w:lineRule="exact"/>
        <w:jc w:val="center"/>
        <w:rPr>
          <w:rFonts w:ascii="方正黑体_GBK" w:eastAsia="方正黑体_GBK" w:hAnsi="Times New Roman" w:cs="Times New Roman"/>
          <w:color w:val="000000" w:themeColor="text1"/>
          <w:sz w:val="32"/>
          <w:szCs w:val="32"/>
        </w:rPr>
      </w:pPr>
    </w:p>
    <w:p w14:paraId="733584A3" w14:textId="77777777" w:rsidR="00E76B5A" w:rsidRDefault="003F448A">
      <w:pPr>
        <w:overflowPunct w:val="0"/>
        <w:spacing w:line="600"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第一章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总</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则</w:t>
      </w:r>
    </w:p>
    <w:p w14:paraId="0ED6AF0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第一条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【目的和依据】</w:t>
      </w:r>
    </w:p>
    <w:p w14:paraId="43A3101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为了加强和规范地名管理，适应经济社会发展、人民生产生活和对外交往的需要，传承发展中华优秀文化，根据国务院《地名管理条例》和有关法律、法规，结合本省实际，制定本条例。</w:t>
      </w:r>
    </w:p>
    <w:p w14:paraId="66835D9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【适用范围】</w:t>
      </w:r>
    </w:p>
    <w:p w14:paraId="0238939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本省行政区域内地名的命名、更名、使用，地名标志的设置与管理，地名文化保护，地名公共服务等活动，适用本条例。</w:t>
      </w:r>
    </w:p>
    <w:p w14:paraId="5ACD944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【地名类型】</w:t>
      </w:r>
    </w:p>
    <w:p w14:paraId="0AB6C5B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本条例所称地名包括：</w:t>
      </w:r>
    </w:p>
    <w:p w14:paraId="44134EB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（一）山脉、丘陵、山峰、河流、湖泊、海湾、岛屿、礁石、沙洲、滩涂等自然地理实体名称；</w:t>
      </w:r>
    </w:p>
    <w:p w14:paraId="2C31287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（二）行政区划名称；</w:t>
      </w:r>
    </w:p>
    <w:p w14:paraId="27B26C5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（三）村民委员会、居民委员会所在地名称；</w:t>
      </w:r>
    </w:p>
    <w:p w14:paraId="7ADA965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（四）街、路、巷（</w:t>
      </w:r>
      <w:bookmarkStart w:id="0" w:name="_GoBack"/>
      <w:bookmarkEnd w:id="0"/>
      <w:r>
        <w:rPr>
          <w:rFonts w:ascii="Times New Roman" w:eastAsia="方正仿宋_GBK" w:hAnsi="Times New Roman" w:cs="Times New Roman"/>
          <w:color w:val="000000" w:themeColor="text1"/>
          <w:sz w:val="32"/>
          <w:szCs w:val="32"/>
        </w:rPr>
        <w:t>里、弄、坊）等名称；</w:t>
      </w:r>
    </w:p>
    <w:p w14:paraId="18E49E6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（五）具有重要地理方位意义的住宅区、楼宇名称；</w:t>
      </w:r>
    </w:p>
    <w:p w14:paraId="3F1625B5"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（六）开发区、工业园区、保税区、农场、林场、渔场、盐</w:t>
      </w:r>
      <w:r>
        <w:rPr>
          <w:rFonts w:ascii="Times New Roman" w:eastAsia="方正仿宋_GBK" w:hAnsi="Times New Roman" w:cs="Times New Roman"/>
          <w:color w:val="000000" w:themeColor="text1"/>
          <w:sz w:val="32"/>
          <w:szCs w:val="32"/>
        </w:rPr>
        <w:lastRenderedPageBreak/>
        <w:t>场、油田、矿山等专业经济区名称；</w:t>
      </w:r>
    </w:p>
    <w:p w14:paraId="7357602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（七）具有重要地理方位意义的交通运输、水利、电力、通信、气象等设施名称；</w:t>
      </w:r>
    </w:p>
    <w:p w14:paraId="5CDDCEB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（八）城市公园、自然保护地名称；</w:t>
      </w:r>
    </w:p>
    <w:p w14:paraId="4BB3A0C5"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（九）具有重要地理方位意义的其他地理实体名称。</w:t>
      </w:r>
    </w:p>
    <w:p w14:paraId="79B0A6FA"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第四条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【基本原则】</w:t>
      </w:r>
    </w:p>
    <w:p w14:paraId="3FC6862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（基本原则）地名管理应当坚持和加强党的领导，有利于维护国家主权和民族团结，有利于弘扬社会主义核心价值观，有利于推进国家治理体系和治理能力现代化，有利于传承发展中华优秀文化。</w:t>
      </w:r>
    </w:p>
    <w:p w14:paraId="0EF1179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（管理原则）地名应当保持相对稳定。未经批准，任何单位和个人不得擅自决定对地名进行命名、更名。</w:t>
      </w:r>
    </w:p>
    <w:p w14:paraId="04A98AD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第五条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【政府职责】</w:t>
      </w:r>
    </w:p>
    <w:p w14:paraId="18C43F3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（协调机制）县级以上地方人民政府应当建立健全地名管理工作协调机制，指导、督促、监督地名管理工作，协调解决地名管理工作中的重大事项。</w:t>
      </w:r>
    </w:p>
    <w:p w14:paraId="707460B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（经费保障）县级以上地方人民政府应将地名管理、地名文化保护、地名公共服务等工作经费，列入本级财政预算。</w:t>
      </w:r>
    </w:p>
    <w:p w14:paraId="1C3C3E9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第六条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【部门职责】</w:t>
      </w:r>
    </w:p>
    <w:p w14:paraId="65A0CBD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（牵头职责、协同职责）县级以上地方人民政府民政部门负责本行政区域的地名管理工作。教育、公安、财政、自然资源、住房城乡建设、交通运输、水利、农业农村、文化和旅游、市场</w:t>
      </w:r>
      <w:r>
        <w:rPr>
          <w:rFonts w:ascii="Times New Roman" w:eastAsia="方正仿宋_GBK" w:hAnsi="Times New Roman" w:cs="Times New Roman"/>
          <w:color w:val="000000" w:themeColor="text1"/>
          <w:sz w:val="32"/>
          <w:szCs w:val="32"/>
        </w:rPr>
        <w:lastRenderedPageBreak/>
        <w:t>监督管理、广播电视等有关部门按照各自职责，负责本行政区域内的相关地名管理工作。</w:t>
      </w:r>
    </w:p>
    <w:p w14:paraId="284EF330"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（基层职责）乡镇人民政府、街道办事处协助做好本辖区的地名管理具体事务，业务上接受县级人民政府有关部门的指导。</w:t>
      </w:r>
    </w:p>
    <w:p w14:paraId="6C4DD4A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第七条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【地名方案】</w:t>
      </w:r>
    </w:p>
    <w:p w14:paraId="0002C3A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县级以上地</w:t>
      </w:r>
      <w:r>
        <w:rPr>
          <w:rFonts w:ascii="Times New Roman" w:eastAsia="方正仿宋_GBK" w:hAnsi="Times New Roman" w:cs="Times New Roman"/>
          <w:color w:val="000000" w:themeColor="text1"/>
          <w:sz w:val="32"/>
          <w:szCs w:val="32"/>
        </w:rPr>
        <w:t>方人民政府民政部门应当按照国家规定会同有关部门编制本行政区域的地名方案，经本级人民政府批准后组织实施。地名方案应当以地名命名为重点，统筹规划地名标志设置、地名文化保护等内容，并与国土空间规划等相关规划相衔接。</w:t>
      </w:r>
    </w:p>
    <w:p w14:paraId="584650CF" w14:textId="77777777" w:rsidR="00E76B5A" w:rsidRDefault="00E76B5A">
      <w:pPr>
        <w:overflowPunct w:val="0"/>
        <w:spacing w:line="578" w:lineRule="exact"/>
        <w:ind w:firstLineChars="200" w:firstLine="640"/>
        <w:rPr>
          <w:rFonts w:ascii="Times New Roman" w:eastAsia="方正仿宋_GBK" w:hAnsi="Times New Roman" w:cs="Times New Roman"/>
          <w:color w:val="000000" w:themeColor="text1"/>
          <w:sz w:val="32"/>
          <w:szCs w:val="32"/>
        </w:rPr>
      </w:pPr>
    </w:p>
    <w:p w14:paraId="524524F2"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第二章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地名的命名、更名</w:t>
      </w:r>
    </w:p>
    <w:p w14:paraId="530B7C90"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第八条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【地名语词组成】</w:t>
      </w:r>
    </w:p>
    <w:p w14:paraId="3ABFAB0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地名由专名和通名两部分组成。专名是指地名中为个体地理实体所专有的语词部分，通名是指地名中为同类地理实体所通用的语词部分。地名的命名应当符合《地名管理条例》等有关规定。</w:t>
      </w:r>
    </w:p>
    <w:p w14:paraId="3F73FD1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第九条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【批准权限】</w:t>
      </w:r>
    </w:p>
    <w:p w14:paraId="68490D3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除国家另有规定外，批准地名命名、更名应当遵循下列规定：</w:t>
      </w:r>
    </w:p>
    <w:p w14:paraId="7B44220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自然地理实体的命名、更名，由所在地市、县人民政府民政部门提出申请，报市、县人民政府批准；省内涉及两个设区的市以上的自然地理实体的命名、更名，由相关设区的市人民政府联合提出申请，经省人民政府民政部门审核后，报省人民政府批准；设区的市内涉及两个县级行政区域以上的自然地理实体</w:t>
      </w:r>
      <w:r>
        <w:rPr>
          <w:rFonts w:ascii="Times New Roman" w:eastAsia="方正仿宋_GBK" w:hAnsi="Times New Roman" w:cs="Times New Roman"/>
          <w:color w:val="000000" w:themeColor="text1"/>
          <w:sz w:val="32"/>
          <w:szCs w:val="32"/>
        </w:rPr>
        <w:lastRenderedPageBreak/>
        <w:t>的命名、更名，由相关县级人民政府联合提出申请，经设区的市人民政府民政部门审核后，报设区的市人民政府批准；</w:t>
      </w:r>
    </w:p>
    <w:p w14:paraId="63C3056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（二）行政区划的命名、更名，按照《行政区划管理条例》的规定批准，除非法律另有规定；</w:t>
      </w:r>
    </w:p>
    <w:p w14:paraId="04C9E90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（三）村民委员会、居民委员会所在地的命名、更名</w:t>
      </w:r>
      <w:r>
        <w:rPr>
          <w:rFonts w:ascii="Times New Roman" w:eastAsia="方正仿宋_GBK" w:hAnsi="Times New Roman" w:cs="Times New Roman"/>
          <w:color w:val="000000" w:themeColor="text1"/>
          <w:sz w:val="32"/>
          <w:szCs w:val="32"/>
        </w:rPr>
        <w:t>，由县（市、区）人民政府批准；</w:t>
      </w:r>
    </w:p>
    <w:p w14:paraId="1874270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（四）街、路、巷（里、弄、坊）的命名、更名，由市、县人民政府批准；</w:t>
      </w:r>
    </w:p>
    <w:p w14:paraId="38305291"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（五）具有重要地理方位意义的住宅区、楼宇的命名、更名，由市、县人民政府住房和城乡建设主管部门征求同级人民政府民政部门的意见后批准；</w:t>
      </w:r>
    </w:p>
    <w:p w14:paraId="794AEC3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（六）开发区、园区，农、林、渔、盐场，油田、矿山等专业经济区名称的命名、更名，应当征求所在地民政部门意见后，按照国家有关规定批准</w:t>
      </w:r>
      <w:r>
        <w:rPr>
          <w:rFonts w:ascii="Times New Roman" w:eastAsia="方正仿宋_GBK" w:hAnsi="Times New Roman" w:cs="Times New Roman" w:hint="eastAsia"/>
          <w:color w:val="000000" w:themeColor="text1"/>
          <w:sz w:val="32"/>
          <w:szCs w:val="32"/>
        </w:rPr>
        <w:t>；</w:t>
      </w:r>
    </w:p>
    <w:p w14:paraId="0A87B98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七）具有重要地理方位意义的铁路、公路、机场、桥梁、隧道、索道、轨道、立交桥、人行天桥、水库、台、站、港、场、码头等交通运输、水利、电力、通信、气象及其他设施的命名、更名，由有关部门批准的，批准前应当根据情况征求所在地区县级以上地方人民政府的意见；按照国家规定需要上报国家有关部门批准的，上报前应当报经省人民政府同意</w:t>
      </w:r>
      <w:r>
        <w:rPr>
          <w:rFonts w:ascii="Times New Roman" w:eastAsia="方正仿宋_GBK" w:hAnsi="Times New Roman" w:cs="Times New Roman" w:hint="eastAsia"/>
          <w:color w:val="000000" w:themeColor="text1"/>
          <w:sz w:val="32"/>
          <w:szCs w:val="32"/>
        </w:rPr>
        <w:t>；</w:t>
      </w:r>
    </w:p>
    <w:p w14:paraId="1490D70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（八）城市公园、自然保护地名称，按照国家有关规定批准</w:t>
      </w:r>
      <w:r>
        <w:rPr>
          <w:rFonts w:ascii="Times New Roman" w:eastAsia="方正仿宋_GBK" w:hAnsi="Times New Roman" w:cs="Times New Roman" w:hint="eastAsia"/>
          <w:color w:val="000000" w:themeColor="text1"/>
          <w:sz w:val="32"/>
          <w:szCs w:val="32"/>
        </w:rPr>
        <w:t>；</w:t>
      </w:r>
    </w:p>
    <w:p w14:paraId="47EA193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（九）法律、行政法规对批准地名命名、更名另有规定的，</w:t>
      </w:r>
      <w:r>
        <w:rPr>
          <w:rFonts w:ascii="Times New Roman" w:eastAsia="方正仿宋_GBK" w:hAnsi="Times New Roman" w:cs="Times New Roman" w:hint="eastAsia"/>
          <w:color w:val="000000" w:themeColor="text1"/>
          <w:sz w:val="32"/>
          <w:szCs w:val="32"/>
        </w:rPr>
        <w:lastRenderedPageBreak/>
        <w:t>从其</w:t>
      </w:r>
      <w:r>
        <w:rPr>
          <w:rFonts w:ascii="Times New Roman" w:eastAsia="方正仿宋_GBK" w:hAnsi="Times New Roman" w:cs="Times New Roman"/>
          <w:color w:val="000000" w:themeColor="text1"/>
          <w:sz w:val="32"/>
          <w:szCs w:val="32"/>
        </w:rPr>
        <w:t>规定。</w:t>
      </w:r>
    </w:p>
    <w:p w14:paraId="74AD6D5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【更名原则】</w:t>
      </w:r>
    </w:p>
    <w:p w14:paraId="456AB4EA"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（一般不得更名情形）地名依法命名后，不得随意更改。</w:t>
      </w:r>
      <w:r>
        <w:rPr>
          <w:rFonts w:ascii="Times New Roman" w:eastAsia="方正仿宋_GBK" w:hAnsi="Times New Roman" w:cs="Times New Roman"/>
          <w:color w:val="000000" w:themeColor="text1"/>
          <w:sz w:val="32"/>
          <w:szCs w:val="32"/>
        </w:rPr>
        <w:t>具有重要历史文化价值、体现中华历史文脉的地名，一般不得更名。</w:t>
      </w:r>
    </w:p>
    <w:p w14:paraId="7CCEBFC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（应当及时更名情形）因行政区划变更、城乡建设、自然变化或者村民委员会、居民委员会调整等原因导致地名名实不符的，应当及时更名。</w:t>
      </w:r>
    </w:p>
    <w:p w14:paraId="3462DC0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（应当及时更名情形）基于公共利益的需要，或者地名不符合当地历史文化传统、公序良俗要求的，县级以上地方人民政府及有关部门可以依职权启动地名的命名、更名程序。</w:t>
      </w:r>
    </w:p>
    <w:p w14:paraId="74F01128"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第十一条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【地名申请】</w:t>
      </w:r>
    </w:p>
    <w:p w14:paraId="5E3F7A4D"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机关、企业事业单位、基层群众性自治组织等申请地名命名、更名应当按照《地名管理条例》有关规定提交申请书。</w:t>
      </w:r>
    </w:p>
    <w:p w14:paraId="1728EF28"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行政区划的命名、更名，应当按照《行政区划管理条例》的规定，提交风险评估报告、专家论证报告、征求社会公众等意见报告。其他地名的命名、更名，应当综合考虑社会影响、专业性、技术性以及与群众生活的密切程度等因素，组织开展综合评估、专家论证、征求意见并提交相关报告。</w:t>
      </w:r>
    </w:p>
    <w:p w14:paraId="1F6282F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第十二条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【地名备案公告】</w:t>
      </w:r>
    </w:p>
    <w:p w14:paraId="3CC09672"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地名命名、更名后，由批准机关自批准之日起</w:t>
      </w:r>
      <w:r>
        <w:rPr>
          <w:rFonts w:ascii="Times New Roman" w:eastAsia="方正仿宋_GBK" w:hAnsi="Times New Roman" w:cs="Times New Roman"/>
          <w:color w:val="000000" w:themeColor="text1"/>
          <w:sz w:val="32"/>
          <w:szCs w:val="32"/>
        </w:rPr>
        <w:t>15</w:t>
      </w:r>
      <w:r>
        <w:rPr>
          <w:rFonts w:ascii="Times New Roman" w:eastAsia="方正仿宋_GBK" w:hAnsi="Times New Roman" w:cs="Times New Roman"/>
          <w:color w:val="000000" w:themeColor="text1"/>
          <w:sz w:val="32"/>
          <w:szCs w:val="32"/>
        </w:rPr>
        <w:t>日内按照《地名管理条例》等有关规定报送备案，并将地名信息数据通过国家地名信息库一并报送。</w:t>
      </w:r>
    </w:p>
    <w:p w14:paraId="673572D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lastRenderedPageBreak/>
        <w:t>县级以上地方人民政府或者由县级以上地方人民政府民政部门批准的地名，自批准之日起</w:t>
      </w:r>
      <w:r>
        <w:rPr>
          <w:rFonts w:ascii="Times New Roman" w:eastAsia="方正仿宋_GBK" w:hAnsi="Times New Roman" w:cs="Times New Roman"/>
          <w:color w:val="000000" w:themeColor="text1"/>
          <w:sz w:val="32"/>
          <w:szCs w:val="32"/>
        </w:rPr>
        <w:t>15</w:t>
      </w:r>
      <w:r>
        <w:rPr>
          <w:rFonts w:ascii="Times New Roman" w:eastAsia="方正仿宋_GBK" w:hAnsi="Times New Roman" w:cs="Times New Roman"/>
          <w:color w:val="000000" w:themeColor="text1"/>
          <w:sz w:val="32"/>
          <w:szCs w:val="32"/>
        </w:rPr>
        <w:t>日内，由同级人民政府民政部门向社会公告；县级以上地方人民政府其他有关部门批准的地名，自按规定报送备案之日起</w:t>
      </w:r>
      <w:r>
        <w:rPr>
          <w:rFonts w:ascii="Times New Roman" w:eastAsia="方正仿宋_GBK" w:hAnsi="Times New Roman" w:cs="Times New Roman"/>
          <w:color w:val="000000" w:themeColor="text1"/>
          <w:sz w:val="32"/>
          <w:szCs w:val="32"/>
        </w:rPr>
        <w:t>15</w:t>
      </w:r>
      <w:r>
        <w:rPr>
          <w:rFonts w:ascii="Times New Roman" w:eastAsia="方正仿宋_GBK" w:hAnsi="Times New Roman" w:cs="Times New Roman"/>
          <w:color w:val="000000" w:themeColor="text1"/>
          <w:sz w:val="32"/>
          <w:szCs w:val="32"/>
        </w:rPr>
        <w:t>日内，由同级人民政府民政部门向社会公告。</w:t>
      </w:r>
    </w:p>
    <w:p w14:paraId="00597577" w14:textId="77777777" w:rsidR="00E76B5A" w:rsidRDefault="00E76B5A">
      <w:pPr>
        <w:overflowPunct w:val="0"/>
        <w:spacing w:line="578" w:lineRule="exact"/>
        <w:ind w:firstLineChars="200" w:firstLine="640"/>
        <w:rPr>
          <w:rFonts w:ascii="Times New Roman" w:eastAsia="方正仿宋_GBK" w:hAnsi="Times New Roman" w:cs="Times New Roman"/>
          <w:color w:val="000000" w:themeColor="text1"/>
          <w:sz w:val="32"/>
          <w:szCs w:val="32"/>
        </w:rPr>
      </w:pPr>
    </w:p>
    <w:p w14:paraId="3ECC74A2"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第三章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地名使用</w:t>
      </w:r>
    </w:p>
    <w:p w14:paraId="3671DD0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第十三条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【地名标准、规范要求】</w:t>
      </w:r>
    </w:p>
    <w:p w14:paraId="46573010"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（总体要求）地名使用应当标准、规范。按照《地名管理条例》规定批准的地名为标准地名。</w:t>
      </w:r>
    </w:p>
    <w:p w14:paraId="7519252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（拼写要求）（一）地名专名和通名的罗马字母拼写以《汉语拼音方案》作为统一规范。</w:t>
      </w:r>
    </w:p>
    <w:p w14:paraId="5B4F8AD1"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（审音定字原则）（二）一地多名的地名应当确定一个标准地名，一名多写、一字多音的地名应当确定统一的用字和读音。地名中的异读音和特殊字应当按照地名的用字读音审定规范审定。</w:t>
      </w:r>
    </w:p>
    <w:p w14:paraId="1C6AE3E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（通名用字规定）（三）通名用字应当名实相符，恰当反映指称地理实体的属性、规模和类别。不得单独使用通名作标准地名，同类通名不得重叠使用。通名具体规范由</w:t>
      </w:r>
      <w:r>
        <w:rPr>
          <w:rFonts w:ascii="Times New Roman" w:eastAsia="方正仿宋_GBK" w:hAnsi="Times New Roman" w:cs="Times New Roman" w:hint="eastAsia"/>
          <w:color w:val="000000" w:themeColor="text1"/>
          <w:sz w:val="32"/>
          <w:szCs w:val="32"/>
        </w:rPr>
        <w:t>民政</w:t>
      </w:r>
      <w:r>
        <w:rPr>
          <w:rFonts w:ascii="Times New Roman" w:eastAsia="方正仿宋_GBK" w:hAnsi="Times New Roman" w:cs="Times New Roman"/>
          <w:color w:val="000000" w:themeColor="text1"/>
          <w:sz w:val="32"/>
          <w:szCs w:val="32"/>
        </w:rPr>
        <w:t>部门制定。住宅区、建筑物标准地名的通名应当与建筑面积、占地面积、高度、绿地率等条件相适应。</w:t>
      </w:r>
    </w:p>
    <w:p w14:paraId="7135D56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第十四条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【标准地名在房地产领域的使用】</w:t>
      </w:r>
    </w:p>
    <w:p w14:paraId="39D2C10D"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lastRenderedPageBreak/>
        <w:t xml:space="preserve">    </w:t>
      </w:r>
      <w:r>
        <w:rPr>
          <w:rFonts w:ascii="Times New Roman" w:eastAsia="方正仿宋_GBK" w:hAnsi="Times New Roman" w:cs="Times New Roman"/>
          <w:color w:val="000000" w:themeColor="text1"/>
          <w:sz w:val="32"/>
          <w:szCs w:val="32"/>
        </w:rPr>
        <w:t>住宅区、城镇道路或者大型建筑物（群）需要命名的，建</w:t>
      </w:r>
      <w:r>
        <w:rPr>
          <w:rFonts w:ascii="Times New Roman" w:eastAsia="方正仿宋_GBK" w:hAnsi="Times New Roman" w:cs="Times New Roman"/>
          <w:color w:val="000000" w:themeColor="text1"/>
          <w:sz w:val="32"/>
          <w:szCs w:val="32"/>
        </w:rPr>
        <w:t>设单位应当在申领《建设工程规划许可证》之前办理地名报批手续。</w:t>
      </w:r>
    </w:p>
    <w:p w14:paraId="00A65EF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商品房预售许可证、房屋所有权证等标注的项目名称以及房地产广告中的地名应当与申请人提供的标准地名批准文件上的地名一致。</w:t>
      </w:r>
    </w:p>
    <w:p w14:paraId="09536D8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第十五条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【标准地名在公共交通领域的使用】</w:t>
      </w:r>
    </w:p>
    <w:p w14:paraId="3159510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省内地方铁路站、长途汽车站、轨道交通站站名应当使用当地标准地名命名；与当地标准地名并用其他名称的，其他名称应当置于当地标准地名之后。</w:t>
      </w:r>
    </w:p>
    <w:p w14:paraId="3C87371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公共汽车站站名，一般应当使用当地标准地名命名；当地标准地名不足以明确指示该站地理位置信息的，可以使用风景名胜区、标志性建筑物或者与人民群众生产生活密切相关的其他名称命名。</w:t>
      </w:r>
    </w:p>
    <w:p w14:paraId="0089F9B0"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第十六条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【标准地名出版物出版部门】</w:t>
      </w:r>
    </w:p>
    <w:p w14:paraId="0FBA4EAA"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标准地名出版物由县级以上地方人民政府民政部门汇集出版。</w:t>
      </w:r>
    </w:p>
    <w:p w14:paraId="2EAD20E8" w14:textId="77777777" w:rsidR="00E76B5A" w:rsidRDefault="00E76B5A">
      <w:pPr>
        <w:overflowPunct w:val="0"/>
        <w:spacing w:line="578" w:lineRule="exact"/>
        <w:rPr>
          <w:rFonts w:ascii="Times New Roman" w:eastAsia="方正仿宋_GBK" w:hAnsi="Times New Roman" w:cs="Times New Roman"/>
          <w:color w:val="000000" w:themeColor="text1"/>
          <w:sz w:val="32"/>
          <w:szCs w:val="32"/>
        </w:rPr>
      </w:pPr>
    </w:p>
    <w:p w14:paraId="78654737"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第四章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地名标志的设置和管理</w:t>
      </w:r>
    </w:p>
    <w:p w14:paraId="1038FF25"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第十七条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【地名标志设置与管理】</w:t>
      </w:r>
    </w:p>
    <w:p w14:paraId="44949A2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（原则）标准地名应当按照规定设置地名标志。</w:t>
      </w:r>
    </w:p>
    <w:p w14:paraId="6B2F217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（地名标志定义）地名标志是标示地名以及相关信息的标志物。地名标志的制作和设置应当符合国家标准和有关规定，适当</w:t>
      </w:r>
      <w:r>
        <w:rPr>
          <w:rFonts w:ascii="Times New Roman" w:eastAsia="方正仿宋_GBK" w:hAnsi="Times New Roman" w:cs="Times New Roman"/>
          <w:color w:val="000000" w:themeColor="text1"/>
          <w:sz w:val="32"/>
          <w:szCs w:val="32"/>
        </w:rPr>
        <w:lastRenderedPageBreak/>
        <w:t>体现当地风貌。同类地名标志应</w:t>
      </w:r>
      <w:r>
        <w:rPr>
          <w:rFonts w:ascii="Times New Roman" w:eastAsia="方正仿宋_GBK" w:hAnsi="Times New Roman" w:cs="Times New Roman"/>
          <w:color w:val="000000" w:themeColor="text1"/>
          <w:sz w:val="32"/>
          <w:szCs w:val="32"/>
        </w:rPr>
        <w:t>当统一。鼓励有条件的地方设置智慧地名标志。</w:t>
      </w:r>
    </w:p>
    <w:p w14:paraId="01878638"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（应更正维护的不规范情形）地名标志有下列情形之一的，地名标志设置、维护和管理部门应当及时进行更正、维护：</w:t>
      </w:r>
    </w:p>
    <w:p w14:paraId="3C94EBC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（一）标示的标准地名或者其罗马字母拼写等信息错误的；</w:t>
      </w:r>
    </w:p>
    <w:p w14:paraId="3AD69C6A"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（二）地名已经更名但地名标志未更改的；</w:t>
      </w:r>
    </w:p>
    <w:p w14:paraId="4CBD62F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hint="eastAsia"/>
          <w:color w:val="000000" w:themeColor="text1"/>
          <w:sz w:val="32"/>
          <w:szCs w:val="32"/>
        </w:rPr>
        <w:t>（三）安装位置、指位错误的；</w:t>
      </w:r>
    </w:p>
    <w:p w14:paraId="4D2BA56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（四）版面褪色、被涂改、遮挡，字迹模糊、残缺不全的；</w:t>
      </w:r>
    </w:p>
    <w:p w14:paraId="08B950F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（五）破损、污损、存在安全隐患的；</w:t>
      </w:r>
    </w:p>
    <w:p w14:paraId="0C2B8E5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（六）其他应当予以更正、维护的情形。</w:t>
      </w:r>
    </w:p>
    <w:p w14:paraId="4E9466B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第十八条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【保护地名标志的义务】</w:t>
      </w:r>
    </w:p>
    <w:p w14:paraId="7E67BE2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任何单位和个人负有保护地名标志的义务，不得有下列行为：</w:t>
      </w:r>
    </w:p>
    <w:p w14:paraId="1280B8C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（一）涂改、玷污、遮挡地名标志；</w:t>
      </w:r>
    </w:p>
    <w:p w14:paraId="0D84DF8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（二）偷盗、损毁或者擅自移动、拆除地名标志；</w:t>
      </w:r>
    </w:p>
    <w:p w14:paraId="4C44DB51"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（三）在地名标志上拴、挂物品；</w:t>
      </w:r>
    </w:p>
    <w:p w14:paraId="261602A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（四）损坏地名标志、影响地名标志使用功能的其他行为。</w:t>
      </w:r>
    </w:p>
    <w:p w14:paraId="19ABC28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第十九条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【地名标志设置要求】</w:t>
      </w:r>
    </w:p>
    <w:p w14:paraId="38C8467B"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（时间要求）建设项目的地名标志，应当在工程竣工前设置完成。其他地名标志应当自地名批准之日起</w:t>
      </w:r>
      <w:r>
        <w:rPr>
          <w:rFonts w:ascii="Times New Roman" w:eastAsia="方正仿宋_GBK" w:hAnsi="Times New Roman" w:cs="Times New Roman"/>
          <w:color w:val="000000" w:themeColor="text1"/>
          <w:sz w:val="32"/>
          <w:szCs w:val="32"/>
        </w:rPr>
        <w:t>60</w:t>
      </w:r>
      <w:r>
        <w:rPr>
          <w:rFonts w:ascii="Times New Roman" w:eastAsia="方正仿宋_GBK" w:hAnsi="Times New Roman" w:cs="Times New Roman"/>
          <w:color w:val="000000" w:themeColor="text1"/>
          <w:sz w:val="32"/>
          <w:szCs w:val="32"/>
        </w:rPr>
        <w:t>日内设置完毕。有关部门应当将标准地名标志设置情况纳入项目验收。</w:t>
      </w:r>
    </w:p>
    <w:p w14:paraId="7FE60595"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（数量要求）街、路、巷（里、弄、坊）的起止点及交叉路</w:t>
      </w:r>
      <w:r>
        <w:rPr>
          <w:rFonts w:ascii="Times New Roman" w:eastAsia="方正仿宋_GBK" w:hAnsi="Times New Roman" w:cs="Times New Roman"/>
          <w:color w:val="000000" w:themeColor="text1"/>
          <w:sz w:val="32"/>
          <w:szCs w:val="32"/>
        </w:rPr>
        <w:lastRenderedPageBreak/>
        <w:t>口应当设置地名标志；街、路、巷（里、弄、坊）较长的，可以根据需要适当增加地名标志的数量。</w:t>
      </w:r>
    </w:p>
    <w:p w14:paraId="45AFE87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【地名标志设置、管理职责】</w:t>
      </w:r>
    </w:p>
    <w:p w14:paraId="26B8966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地名标志的设置与管理，按照下列规定执行：</w:t>
      </w:r>
    </w:p>
    <w:p w14:paraId="2AFDE28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（一）行政区划、城镇的住宅区、街路巷（里、弄、坊）等的地名标志，由民政部门、专业主管部门按照职责分工负责设置与管理。</w:t>
      </w:r>
    </w:p>
    <w:p w14:paraId="626D706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（二）农村的地名标志，由乡镇人民政府、街道办事处负责设置与管理。</w:t>
      </w:r>
    </w:p>
    <w:p w14:paraId="3BC31EC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（三）其他地名标志，由有关主管部门或者专业设施建设、经营管理单位负责设置与管理。</w:t>
      </w:r>
    </w:p>
    <w:p w14:paraId="6F90AE5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第二十一条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【门楼牌号的编制和标志设置】</w:t>
      </w:r>
    </w:p>
    <w:p w14:paraId="47780E96"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（原则）门楼牌号的编制及标志设置按照本省门楼牌管理规定执行。</w:t>
      </w:r>
    </w:p>
    <w:p w14:paraId="693ED48A"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（依据）门楼牌标注的地址信息，应当以民政部门依法公布的标准地名为依据。</w:t>
      </w:r>
    </w:p>
    <w:p w14:paraId="3E15586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第二十二条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【地名标志设置与管理经费】</w:t>
      </w:r>
    </w:p>
    <w:p w14:paraId="690E845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地名标志的设置与管理所需经费，按照下列规定安排：</w:t>
      </w:r>
    </w:p>
    <w:p w14:paraId="25BED5C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（一）自然地理实体、行政区划、城镇街路巷（里、弄、坊）的地名标志，以及原有的住宅区地名标志所需经费，由所在地本级财政承担；</w:t>
      </w:r>
    </w:p>
    <w:p w14:paraId="48356C6A"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（二）新建、改建、扩建建设项目的地名标志所需经费，由</w:t>
      </w:r>
      <w:r>
        <w:rPr>
          <w:rFonts w:ascii="Times New Roman" w:eastAsia="方正仿宋_GBK" w:hAnsi="Times New Roman" w:cs="Times New Roman"/>
          <w:color w:val="000000" w:themeColor="text1"/>
          <w:sz w:val="32"/>
          <w:szCs w:val="32"/>
        </w:rPr>
        <w:lastRenderedPageBreak/>
        <w:t>建设单位承担，列入工程预算；</w:t>
      </w:r>
    </w:p>
    <w:p w14:paraId="045282D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（三）农村地名标志所需经费，由乡镇人民政府、街道办事处承担；</w:t>
      </w:r>
    </w:p>
    <w:p w14:paraId="073622A1"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（四）其他地名标志所需经费，由有关专业主管部门或者专业设施建设、经营管理单位承担。</w:t>
      </w:r>
    </w:p>
    <w:p w14:paraId="57828BB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第二十三条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【地名标志移动或拆除】</w:t>
      </w:r>
    </w:p>
    <w:p w14:paraId="66AC7A3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地名标志需要移动或者拆除的，应当征得地名标志的设置单位或者管理单位同意后，方可实施。地名更名的，原设置单位应当在作出或者收到批准决定之日起</w:t>
      </w:r>
      <w:r>
        <w:rPr>
          <w:rFonts w:ascii="Times New Roman" w:eastAsia="方正仿宋_GBK" w:hAnsi="Times New Roman" w:cs="Times New Roman"/>
          <w:color w:val="000000" w:themeColor="text1"/>
          <w:sz w:val="32"/>
          <w:szCs w:val="32"/>
        </w:rPr>
        <w:t>60</w:t>
      </w:r>
      <w:r>
        <w:rPr>
          <w:rFonts w:ascii="Times New Roman" w:eastAsia="方正仿宋_GBK" w:hAnsi="Times New Roman" w:cs="Times New Roman"/>
          <w:color w:val="000000" w:themeColor="text1"/>
          <w:sz w:val="32"/>
          <w:szCs w:val="32"/>
        </w:rPr>
        <w:t>日内更换或者拆除原地名标志。</w:t>
      </w:r>
    </w:p>
    <w:p w14:paraId="31612851" w14:textId="77777777" w:rsidR="00E76B5A" w:rsidRDefault="00E76B5A">
      <w:pPr>
        <w:overflowPunct w:val="0"/>
        <w:spacing w:line="578" w:lineRule="exact"/>
        <w:ind w:firstLineChars="200" w:firstLine="640"/>
        <w:rPr>
          <w:rFonts w:ascii="Times New Roman" w:eastAsia="方正仿宋_GBK" w:hAnsi="Times New Roman" w:cs="Times New Roman"/>
          <w:color w:val="000000" w:themeColor="text1"/>
          <w:sz w:val="32"/>
          <w:szCs w:val="32"/>
        </w:rPr>
      </w:pPr>
    </w:p>
    <w:p w14:paraId="5A7B3D90"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第五章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地名文化保护</w:t>
      </w:r>
    </w:p>
    <w:p w14:paraId="07F12D6A"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第二十四条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【加强地名</w:t>
      </w:r>
      <w:r>
        <w:rPr>
          <w:rFonts w:ascii="Times New Roman" w:eastAsia="方正仿宋_GBK" w:hAnsi="Times New Roman" w:cs="Times New Roman" w:hint="eastAsia"/>
          <w:color w:val="000000" w:themeColor="text1"/>
          <w:sz w:val="32"/>
          <w:szCs w:val="32"/>
        </w:rPr>
        <w:t>文化</w:t>
      </w:r>
      <w:r>
        <w:rPr>
          <w:rFonts w:ascii="Times New Roman" w:eastAsia="方正仿宋_GBK" w:hAnsi="Times New Roman" w:cs="Times New Roman"/>
          <w:color w:val="000000" w:themeColor="text1"/>
          <w:sz w:val="32"/>
          <w:szCs w:val="32"/>
        </w:rPr>
        <w:t>研究】</w:t>
      </w:r>
    </w:p>
    <w:p w14:paraId="26563311"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县级以上地方人民政府应当从地名的历史和实际出发，加强地名文化公益宣传，组织研究、传承地名文化，支持专业人才队伍建设。</w:t>
      </w:r>
    </w:p>
    <w:p w14:paraId="52BDDB6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第二十五条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【地名文化遗产保护】</w:t>
      </w:r>
    </w:p>
    <w:p w14:paraId="0172CB1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县级以上地方人民政府应当加强地名文化遗产保护，按照有关规定开展地名文化遗产保护工作，将符合条件的地名文化遗产依法列入非物质文化遗产保护范围。</w:t>
      </w:r>
    </w:p>
    <w:p w14:paraId="261D182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第二十六条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【地名保护名录公布及使用】</w:t>
      </w:r>
    </w:p>
    <w:p w14:paraId="1056428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（地名保护名录建立及公布）县级以上地方人民政府民政部</w:t>
      </w:r>
      <w:r>
        <w:rPr>
          <w:rFonts w:ascii="Times New Roman" w:eastAsia="方正仿宋_GBK" w:hAnsi="Times New Roman" w:cs="Times New Roman"/>
          <w:color w:val="000000" w:themeColor="text1"/>
          <w:sz w:val="32"/>
          <w:szCs w:val="32"/>
        </w:rPr>
        <w:lastRenderedPageBreak/>
        <w:t>门应当对本行政区域内具有重要历史文化价值、体现中华历史文脉和彰显历史文化底蕴的地名进行普查，做好收集、记录、统计等工作，将符合条件的历史地名、红色地名、地名文化遗产类地名等列入保护名录并向社会公布。</w:t>
      </w:r>
    </w:p>
    <w:p w14:paraId="6C35FD6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保护措施）列入保护名录的地名不予更名，禁止在地名前后并用其他名称。因城乡建设、改造或者行政区划调整等原因，确需对地名作出是否保留使用决定的，民政部门应当科学论证，采取听证会、论证会等形式听取意见，并予以公示；确需对保护名录中涉及的地理实体予以拆除或者迁移的，住房城乡建设部门应当会同</w:t>
      </w:r>
      <w:r>
        <w:rPr>
          <w:rFonts w:ascii="Times New Roman" w:eastAsia="方正仿宋_GBK" w:hAnsi="Times New Roman" w:cs="Times New Roman" w:hint="eastAsia"/>
          <w:color w:val="000000" w:themeColor="text1"/>
          <w:sz w:val="32"/>
          <w:szCs w:val="32"/>
        </w:rPr>
        <w:t>民政</w:t>
      </w:r>
      <w:r>
        <w:rPr>
          <w:rFonts w:ascii="Times New Roman" w:eastAsia="方正仿宋_GBK" w:hAnsi="Times New Roman" w:cs="Times New Roman"/>
          <w:color w:val="000000" w:themeColor="text1"/>
          <w:sz w:val="32"/>
          <w:szCs w:val="32"/>
        </w:rPr>
        <w:t>部门制订地名保护方案。</w:t>
      </w:r>
    </w:p>
    <w:p w14:paraId="15EC636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（历史地名的使用）保护名录中的历史地名，在地理实体原址重建、迁移后命名时优先恢复使用，或者根据情况按照有利于保护传承、地域就近原则在地名命名工作中优先启用。</w:t>
      </w:r>
    </w:p>
    <w:p w14:paraId="12DCD65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第二十七条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【地名文化保护与转化利用】</w:t>
      </w:r>
    </w:p>
    <w:p w14:paraId="2BCEF13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地</w:t>
      </w:r>
      <w:r>
        <w:rPr>
          <w:rFonts w:ascii="Times New Roman" w:eastAsia="方正仿宋_GBK" w:hAnsi="Times New Roman" w:cs="Times New Roman"/>
          <w:color w:val="000000" w:themeColor="text1"/>
          <w:sz w:val="32"/>
          <w:szCs w:val="32"/>
        </w:rPr>
        <w:t>方各级人民政府应当合理利用本地区地名文化资源，形成地缘文化特质和区域品牌特征。鼓励公民、企业和社会组织参与地名文化保护活动，开发地名文化产品，发展文化创意、移动媒体、动漫等新兴地名文化业态，满足人民群众多样化的地名文化需求；鼓励有条件的地方开展地名文化进校园、进社区等活动，促进地名文化普及和传承创新。</w:t>
      </w:r>
    </w:p>
    <w:p w14:paraId="3B682F8B" w14:textId="77777777" w:rsidR="00E76B5A" w:rsidRDefault="00E76B5A">
      <w:pPr>
        <w:overflowPunct w:val="0"/>
        <w:spacing w:line="578" w:lineRule="exact"/>
        <w:ind w:firstLineChars="200" w:firstLine="640"/>
        <w:rPr>
          <w:rFonts w:ascii="Times New Roman" w:eastAsia="方正仿宋_GBK" w:hAnsi="Times New Roman" w:cs="Times New Roman"/>
          <w:color w:val="000000" w:themeColor="text1"/>
          <w:sz w:val="32"/>
          <w:szCs w:val="32"/>
        </w:rPr>
      </w:pPr>
    </w:p>
    <w:p w14:paraId="5321AA97"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第六章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地名公共服务</w:t>
      </w:r>
    </w:p>
    <w:p w14:paraId="2CECA0C0"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lastRenderedPageBreak/>
        <w:t>第二十八条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【地名档案管理】</w:t>
      </w:r>
    </w:p>
    <w:p w14:paraId="28622E0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（档案管理职责与权限）县级以上地方人民政府应当做好地名档案管理工作。地名档案管理应当按照《地名管理条例》等有关规定执行。各级地名档案管理工作业务上接受上级</w:t>
      </w:r>
      <w:r>
        <w:rPr>
          <w:rFonts w:ascii="Times New Roman" w:eastAsia="方正仿宋_GBK" w:hAnsi="Times New Roman" w:cs="Times New Roman" w:hint="eastAsia"/>
          <w:color w:val="000000" w:themeColor="text1"/>
          <w:sz w:val="32"/>
          <w:szCs w:val="32"/>
        </w:rPr>
        <w:t>民政</w:t>
      </w:r>
      <w:r>
        <w:rPr>
          <w:rFonts w:ascii="Times New Roman" w:eastAsia="方正仿宋_GBK" w:hAnsi="Times New Roman" w:cs="Times New Roman"/>
          <w:color w:val="000000" w:themeColor="text1"/>
          <w:sz w:val="32"/>
          <w:szCs w:val="32"/>
        </w:rPr>
        <w:t>部门和同级档案行政管理部门的指导。</w:t>
      </w:r>
    </w:p>
    <w:p w14:paraId="7F798BB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（数字档案建设）县级以上地方人民政府应当推动地名数字档案建设工作。</w:t>
      </w:r>
    </w:p>
    <w:p w14:paraId="6A03AD7F"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第二十九条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【地名信息数据共建共享】</w:t>
      </w:r>
    </w:p>
    <w:p w14:paraId="01E968A0" w14:textId="77777777" w:rsidR="00E76B5A" w:rsidRDefault="003F448A">
      <w:pPr>
        <w:overflowPunct w:val="0"/>
        <w:spacing w:line="578" w:lineRule="exac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县级以上地方人民政府民政部门和其他有关部门应当建立健全地名信息资源共建共享机制，依托国家地名信息库促进地名信息广泛应用，推进标准地名信息数字化建设，共同做好地名公共服务建设。</w:t>
      </w:r>
    </w:p>
    <w:p w14:paraId="7F86C3D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【地名信息数据管理】</w:t>
      </w:r>
    </w:p>
    <w:p w14:paraId="0015D5A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县级以上地方人民政府民政部门和其他有关部门应当按照国家有关规定，加强对地名信息数据存储、传输、应用等的管理，确保数据安全。</w:t>
      </w:r>
    </w:p>
    <w:p w14:paraId="55904B54"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第七章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监督检查</w:t>
      </w:r>
    </w:p>
    <w:p w14:paraId="43E7C530"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第三十一条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【监督管理】</w:t>
      </w:r>
    </w:p>
    <w:p w14:paraId="03C2966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上级地方人民政府民政部门和其他有关部门应当加强对下级人民政府相应部门地名管理工作的指导、监督。县级以上地方人民政府民政部门和其他有关部门应当依法加强对地名的命名、更名、使用、标志设置、文化保护的监督检查。</w:t>
      </w:r>
    </w:p>
    <w:p w14:paraId="6C8F863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lastRenderedPageBreak/>
        <w:t>第三十二条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【监管职责】</w:t>
      </w:r>
    </w:p>
    <w:p w14:paraId="665C0CD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县级以上地方人民政府民政部门和其他有关部门在监督检查中发现地名的命名、更名、使用、文化保护</w:t>
      </w:r>
      <w:r>
        <w:rPr>
          <w:rFonts w:ascii="Times New Roman" w:eastAsia="方正仿宋_GBK" w:hAnsi="Times New Roman" w:cs="Times New Roman" w:hint="eastAsia"/>
          <w:color w:val="000000" w:themeColor="text1"/>
          <w:sz w:val="32"/>
          <w:szCs w:val="32"/>
        </w:rPr>
        <w:t>等</w:t>
      </w:r>
      <w:r>
        <w:rPr>
          <w:rFonts w:ascii="Times New Roman" w:eastAsia="方正仿宋_GBK" w:hAnsi="Times New Roman" w:cs="Times New Roman"/>
          <w:color w:val="000000" w:themeColor="text1"/>
          <w:sz w:val="32"/>
          <w:szCs w:val="32"/>
        </w:rPr>
        <w:t>存在问题的，应当按照《地名管理条例》有关规定执行。</w:t>
      </w:r>
    </w:p>
    <w:p w14:paraId="10B78E50" w14:textId="77777777" w:rsidR="00E76B5A" w:rsidRDefault="00E76B5A">
      <w:pPr>
        <w:overflowPunct w:val="0"/>
        <w:spacing w:line="578" w:lineRule="exact"/>
        <w:rPr>
          <w:rFonts w:ascii="Times New Roman" w:eastAsia="方正仿宋_GBK" w:hAnsi="Times New Roman" w:cs="Times New Roman"/>
          <w:color w:val="000000" w:themeColor="text1"/>
          <w:sz w:val="32"/>
          <w:szCs w:val="32"/>
        </w:rPr>
      </w:pPr>
    </w:p>
    <w:p w14:paraId="4F681D50"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第八章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法律责任</w:t>
      </w:r>
    </w:p>
    <w:p w14:paraId="7D717A6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第三十三条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【违法违纪行为处理】</w:t>
      </w:r>
    </w:p>
    <w:p w14:paraId="082658A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民政部门和</w:t>
      </w:r>
      <w:r>
        <w:rPr>
          <w:rFonts w:ascii="Times New Roman" w:eastAsia="方正仿宋_GBK" w:hAnsi="Times New Roman" w:cs="Times New Roman" w:hint="eastAsia"/>
          <w:color w:val="000000" w:themeColor="text1"/>
          <w:sz w:val="32"/>
          <w:szCs w:val="32"/>
        </w:rPr>
        <w:t>其他有关</w:t>
      </w:r>
      <w:r>
        <w:rPr>
          <w:rFonts w:ascii="Times New Roman" w:eastAsia="方正仿宋_GBK" w:hAnsi="Times New Roman" w:cs="Times New Roman"/>
          <w:color w:val="000000" w:themeColor="text1"/>
          <w:sz w:val="32"/>
          <w:szCs w:val="32"/>
        </w:rPr>
        <w:t>部门及其工作人员不依法履行本条例规定的职责，有下列情形之一的，由上级机关责令改正，可以对直接负责的主管人员和其他直接责任人员依法给予处分；构成犯罪的，依法追究刑事责任：</w:t>
      </w:r>
    </w:p>
    <w:p w14:paraId="00D949AC"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（一）不依法办理地名命名、更名等管理事项的；</w:t>
      </w:r>
    </w:p>
    <w:p w14:paraId="18D252B5"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（二）未按规定在路、街、巷（里、弄、坊）交叉路口等设置地名标志的；</w:t>
      </w:r>
    </w:p>
    <w:p w14:paraId="000D9F1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（三）不进行地名标志监督检查，或者在监督检查时发现问题不及时处理的；</w:t>
      </w:r>
    </w:p>
    <w:p w14:paraId="177734F2"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（四）利用职权非法牟取利益的；</w:t>
      </w:r>
    </w:p>
    <w:p w14:paraId="0F3D335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（五）法律、法规规定的其他违法行为。</w:t>
      </w:r>
    </w:p>
    <w:p w14:paraId="6CF7063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任何单位和个人都有权对违反本条例规定的行为进行监督、举报。接到举报的部门应当依法处理，并</w:t>
      </w:r>
      <w:r>
        <w:rPr>
          <w:rFonts w:ascii="Times New Roman" w:eastAsia="方正仿宋_GBK" w:hAnsi="Times New Roman" w:cs="Times New Roman"/>
          <w:color w:val="000000" w:themeColor="text1"/>
          <w:sz w:val="32"/>
          <w:szCs w:val="32"/>
        </w:rPr>
        <w:t>对举报人的相关信息予以保密。</w:t>
      </w:r>
    </w:p>
    <w:p w14:paraId="1392E92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第三十四条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【使用人名、企业名、商标名命名更名的处罚</w:t>
      </w:r>
      <w:r>
        <w:rPr>
          <w:rFonts w:ascii="Times New Roman" w:eastAsia="方正仿宋_GBK" w:hAnsi="Times New Roman" w:cs="Times New Roman"/>
          <w:color w:val="000000" w:themeColor="text1"/>
          <w:sz w:val="32"/>
          <w:szCs w:val="32"/>
        </w:rPr>
        <w:lastRenderedPageBreak/>
        <w:t>规定】</w:t>
      </w:r>
    </w:p>
    <w:p w14:paraId="64BAA9D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违反《地名管理条例》第九条第五项、第六项规定，使用人名的本名以及其别名、化名等，文艺作品中的人物角色名称，企业名、商标名作地名的，但是地名命名所用的字、词与人名、企业名称或者商标名称不存在特定联系的除外，由有审批权的行政机关责令限期改正；逾期不改正的，予以取缔，并对违法单位通报批评。</w:t>
      </w:r>
    </w:p>
    <w:p w14:paraId="0132022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第三十五条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【违反地名命名更名程序规定的处罚】</w:t>
      </w:r>
    </w:p>
    <w:p w14:paraId="09B5B47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违反本条例第九条、第十条、第十一条规定，擅自对地名命名、更名的，由民政部门或者</w:t>
      </w:r>
      <w:r>
        <w:rPr>
          <w:rFonts w:ascii="Times New Roman" w:eastAsia="方正仿宋_GBK" w:hAnsi="Times New Roman" w:cs="Times New Roman" w:hint="eastAsia"/>
          <w:color w:val="000000" w:themeColor="text1"/>
          <w:sz w:val="32"/>
          <w:szCs w:val="32"/>
        </w:rPr>
        <w:t>其他有关</w:t>
      </w:r>
      <w:r>
        <w:rPr>
          <w:rFonts w:ascii="Times New Roman" w:eastAsia="方正仿宋_GBK" w:hAnsi="Times New Roman" w:cs="Times New Roman"/>
          <w:color w:val="000000" w:themeColor="text1"/>
          <w:sz w:val="32"/>
          <w:szCs w:val="32"/>
        </w:rPr>
        <w:t>部门责令限期改正，并可以处</w:t>
      </w:r>
      <w:r>
        <w:rPr>
          <w:rFonts w:ascii="Times New Roman" w:eastAsia="方正仿宋_GBK" w:hAnsi="Times New Roman" w:cs="Times New Roman" w:hint="eastAsia"/>
          <w:color w:val="000000" w:themeColor="text1"/>
          <w:sz w:val="32"/>
          <w:szCs w:val="32"/>
        </w:rPr>
        <w:t>2000</w:t>
      </w:r>
      <w:r>
        <w:rPr>
          <w:rFonts w:ascii="Times New Roman" w:eastAsia="方正仿宋_GBK" w:hAnsi="Times New Roman" w:cs="Times New Roman" w:hint="eastAsia"/>
          <w:color w:val="000000" w:themeColor="text1"/>
          <w:sz w:val="32"/>
          <w:szCs w:val="32"/>
        </w:rPr>
        <w:t>元</w:t>
      </w:r>
      <w:r>
        <w:rPr>
          <w:rFonts w:ascii="Times New Roman" w:eastAsia="方正仿宋_GBK" w:hAnsi="Times New Roman" w:cs="Times New Roman"/>
          <w:color w:val="000000" w:themeColor="text1"/>
          <w:sz w:val="32"/>
          <w:szCs w:val="32"/>
        </w:rPr>
        <w:t>以上</w:t>
      </w:r>
      <w:r>
        <w:rPr>
          <w:rFonts w:ascii="Times New Roman" w:eastAsia="方正仿宋_GBK" w:hAnsi="Times New Roman" w:cs="Times New Roman" w:hint="eastAsia"/>
          <w:color w:val="000000" w:themeColor="text1"/>
          <w:sz w:val="32"/>
          <w:szCs w:val="32"/>
        </w:rPr>
        <w:t>1</w:t>
      </w:r>
      <w:r>
        <w:rPr>
          <w:rFonts w:ascii="Times New Roman" w:eastAsia="方正仿宋_GBK" w:hAnsi="Times New Roman" w:cs="Times New Roman"/>
          <w:color w:val="000000" w:themeColor="text1"/>
          <w:sz w:val="32"/>
          <w:szCs w:val="32"/>
        </w:rPr>
        <w:t>0000</w:t>
      </w:r>
      <w:r>
        <w:rPr>
          <w:rFonts w:ascii="Times New Roman" w:eastAsia="方正仿宋_GBK" w:hAnsi="Times New Roman" w:cs="Times New Roman"/>
          <w:color w:val="000000" w:themeColor="text1"/>
          <w:sz w:val="32"/>
          <w:szCs w:val="32"/>
        </w:rPr>
        <w:t>元以下罚款；情节严重的，处</w:t>
      </w:r>
      <w:r>
        <w:rPr>
          <w:rFonts w:ascii="Times New Roman" w:eastAsia="方正仿宋_GBK" w:hAnsi="Times New Roman" w:cs="Times New Roman" w:hint="eastAsia"/>
          <w:color w:val="000000" w:themeColor="text1"/>
          <w:sz w:val="32"/>
          <w:szCs w:val="32"/>
        </w:rPr>
        <w:t>10000</w:t>
      </w:r>
      <w:r>
        <w:rPr>
          <w:rFonts w:ascii="Times New Roman" w:eastAsia="方正仿宋_GBK" w:hAnsi="Times New Roman" w:cs="Times New Roman"/>
          <w:color w:val="000000" w:themeColor="text1"/>
          <w:sz w:val="32"/>
          <w:szCs w:val="32"/>
        </w:rPr>
        <w:t>元以上</w:t>
      </w:r>
      <w:r>
        <w:rPr>
          <w:rFonts w:ascii="Times New Roman" w:eastAsia="方正仿宋_GBK" w:hAnsi="Times New Roman" w:cs="Times New Roman" w:hint="eastAsia"/>
          <w:color w:val="000000" w:themeColor="text1"/>
          <w:sz w:val="32"/>
          <w:szCs w:val="32"/>
        </w:rPr>
        <w:t>3</w:t>
      </w:r>
      <w:r>
        <w:rPr>
          <w:rFonts w:ascii="Times New Roman" w:eastAsia="方正仿宋_GBK" w:hAnsi="Times New Roman" w:cs="Times New Roman"/>
          <w:color w:val="000000" w:themeColor="text1"/>
          <w:sz w:val="32"/>
          <w:szCs w:val="32"/>
        </w:rPr>
        <w:t>0000</w:t>
      </w:r>
      <w:r>
        <w:rPr>
          <w:rFonts w:ascii="Times New Roman" w:eastAsia="方正仿宋_GBK" w:hAnsi="Times New Roman" w:cs="Times New Roman"/>
          <w:color w:val="000000" w:themeColor="text1"/>
          <w:sz w:val="32"/>
          <w:szCs w:val="32"/>
        </w:rPr>
        <w:t>元以下罚款。</w:t>
      </w:r>
    </w:p>
    <w:p w14:paraId="42A274A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第三十六条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【违反标准地名书写拼写标准规范的处罚】</w:t>
      </w:r>
    </w:p>
    <w:p w14:paraId="65E77C31"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违反本条例第十三条规定，未按国家规范书写、拼写、标注标准地名的，由</w:t>
      </w:r>
      <w:r>
        <w:rPr>
          <w:rFonts w:ascii="Times New Roman" w:eastAsia="方正仿宋_GBK" w:hAnsi="Times New Roman" w:cs="Times New Roman" w:hint="eastAsia"/>
          <w:color w:val="000000" w:themeColor="text1"/>
          <w:sz w:val="32"/>
          <w:szCs w:val="32"/>
        </w:rPr>
        <w:t>民政</w:t>
      </w:r>
      <w:r>
        <w:rPr>
          <w:rFonts w:ascii="Times New Roman" w:eastAsia="方正仿宋_GBK" w:hAnsi="Times New Roman" w:cs="Times New Roman"/>
          <w:color w:val="000000" w:themeColor="text1"/>
          <w:sz w:val="32"/>
          <w:szCs w:val="32"/>
        </w:rPr>
        <w:t>部门责令限期改正，并可以处</w:t>
      </w:r>
      <w:r>
        <w:rPr>
          <w:rFonts w:ascii="Times New Roman" w:eastAsia="方正仿宋_GBK" w:hAnsi="Times New Roman" w:cs="Times New Roman" w:hint="eastAsia"/>
          <w:color w:val="000000" w:themeColor="text1"/>
          <w:sz w:val="32"/>
          <w:szCs w:val="32"/>
        </w:rPr>
        <w:t>2000</w:t>
      </w:r>
      <w:r>
        <w:rPr>
          <w:rFonts w:ascii="Times New Roman" w:eastAsia="方正仿宋_GBK" w:hAnsi="Times New Roman" w:cs="Times New Roman"/>
          <w:color w:val="000000" w:themeColor="text1"/>
          <w:sz w:val="32"/>
          <w:szCs w:val="32"/>
        </w:rPr>
        <w:t>元以上</w:t>
      </w:r>
      <w:r>
        <w:rPr>
          <w:rFonts w:ascii="Times New Roman" w:eastAsia="方正仿宋_GBK" w:hAnsi="Times New Roman" w:cs="Times New Roman" w:hint="eastAsia"/>
          <w:color w:val="000000" w:themeColor="text1"/>
          <w:sz w:val="32"/>
          <w:szCs w:val="32"/>
        </w:rPr>
        <w:t>10000</w:t>
      </w:r>
      <w:r>
        <w:rPr>
          <w:rFonts w:ascii="Times New Roman" w:eastAsia="方正仿宋_GBK" w:hAnsi="Times New Roman" w:cs="Times New Roman"/>
          <w:color w:val="000000" w:themeColor="text1"/>
          <w:sz w:val="32"/>
          <w:szCs w:val="32"/>
        </w:rPr>
        <w:t>元以下罚款。</w:t>
      </w:r>
    </w:p>
    <w:p w14:paraId="36C0ED5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第三十七条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【房地产领域地名推广名和批准名不一致的处罚】</w:t>
      </w:r>
    </w:p>
    <w:p w14:paraId="6BFBA49D"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违反本条例第十四条第二款规定，房地产建设单位、销售单位发布的房地产广告中的地名与申请人提供的标准地名批准文件上的地名不一致的，由</w:t>
      </w:r>
      <w:r>
        <w:rPr>
          <w:rFonts w:ascii="Times New Roman" w:eastAsia="方正仿宋_GBK" w:hAnsi="Times New Roman" w:cs="Times New Roman" w:hint="eastAsia"/>
          <w:color w:val="000000" w:themeColor="text1"/>
          <w:sz w:val="32"/>
          <w:szCs w:val="32"/>
        </w:rPr>
        <w:t>民政</w:t>
      </w:r>
      <w:r>
        <w:rPr>
          <w:rFonts w:ascii="Times New Roman" w:eastAsia="方正仿宋_GBK" w:hAnsi="Times New Roman" w:cs="Times New Roman"/>
          <w:color w:val="000000" w:themeColor="text1"/>
          <w:sz w:val="32"/>
          <w:szCs w:val="32"/>
        </w:rPr>
        <w:t>部门</w:t>
      </w:r>
      <w:r>
        <w:rPr>
          <w:rFonts w:ascii="Times New Roman" w:eastAsia="方正仿宋_GBK" w:hAnsi="Times New Roman" w:cs="Times New Roman" w:hint="eastAsia"/>
          <w:color w:val="000000" w:themeColor="text1"/>
          <w:sz w:val="32"/>
          <w:szCs w:val="32"/>
        </w:rPr>
        <w:t>或者其他有关部门</w:t>
      </w:r>
      <w:r>
        <w:rPr>
          <w:rFonts w:ascii="Times New Roman" w:eastAsia="方正仿宋_GBK" w:hAnsi="Times New Roman" w:cs="Times New Roman"/>
          <w:color w:val="000000" w:themeColor="text1"/>
          <w:sz w:val="32"/>
          <w:szCs w:val="32"/>
        </w:rPr>
        <w:t>责令限期改正，并可以处</w:t>
      </w:r>
      <w:r>
        <w:rPr>
          <w:rFonts w:ascii="Times New Roman" w:eastAsia="方正仿宋_GBK" w:hAnsi="Times New Roman" w:cs="Times New Roman" w:hint="eastAsia"/>
          <w:color w:val="000000" w:themeColor="text1"/>
          <w:sz w:val="32"/>
          <w:szCs w:val="32"/>
        </w:rPr>
        <w:t>20000</w:t>
      </w:r>
      <w:r>
        <w:rPr>
          <w:rFonts w:ascii="Times New Roman" w:eastAsia="方正仿宋_GBK" w:hAnsi="Times New Roman" w:cs="Times New Roman"/>
          <w:color w:val="000000" w:themeColor="text1"/>
          <w:sz w:val="32"/>
          <w:szCs w:val="32"/>
        </w:rPr>
        <w:t>元以上</w:t>
      </w:r>
      <w:r>
        <w:rPr>
          <w:rFonts w:ascii="Times New Roman" w:eastAsia="方正仿宋_GBK" w:hAnsi="Times New Roman" w:cs="Times New Roman" w:hint="eastAsia"/>
          <w:color w:val="000000" w:themeColor="text1"/>
          <w:sz w:val="32"/>
          <w:szCs w:val="32"/>
        </w:rPr>
        <w:t>10</w:t>
      </w:r>
      <w:r>
        <w:rPr>
          <w:rFonts w:ascii="Times New Roman" w:eastAsia="方正仿宋_GBK" w:hAnsi="Times New Roman" w:cs="Times New Roman"/>
          <w:color w:val="000000" w:themeColor="text1"/>
          <w:sz w:val="32"/>
          <w:szCs w:val="32"/>
        </w:rPr>
        <w:t>0000</w:t>
      </w:r>
      <w:r>
        <w:rPr>
          <w:rFonts w:ascii="Times New Roman" w:eastAsia="方正仿宋_GBK" w:hAnsi="Times New Roman" w:cs="Times New Roman"/>
          <w:color w:val="000000" w:themeColor="text1"/>
          <w:sz w:val="32"/>
          <w:szCs w:val="32"/>
        </w:rPr>
        <w:t>元以下罚款。</w:t>
      </w:r>
    </w:p>
    <w:p w14:paraId="2B619954"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lastRenderedPageBreak/>
        <w:t>第三十八条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【公共交通领域未使用标准地名的处罚】</w:t>
      </w:r>
    </w:p>
    <w:p w14:paraId="5F8EECDE"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违反本条例第十五条第一款规定，省内地方铁路站、长途汽车站、轨道交通站站名未使用当地标准地名，或者与当地标准地名并用其他名称时其他名称置于当地标准地名之前的，由专业主管部门责令限期改正、没收违法所得，并可以处</w:t>
      </w:r>
      <w:r>
        <w:rPr>
          <w:rFonts w:ascii="Times New Roman" w:eastAsia="方正仿宋_GBK" w:hAnsi="Times New Roman" w:cs="Times New Roman" w:hint="eastAsia"/>
          <w:color w:val="000000" w:themeColor="text1"/>
          <w:sz w:val="32"/>
          <w:szCs w:val="32"/>
        </w:rPr>
        <w:t>10000</w:t>
      </w:r>
      <w:r>
        <w:rPr>
          <w:rFonts w:ascii="Times New Roman" w:eastAsia="方正仿宋_GBK" w:hAnsi="Times New Roman" w:cs="Times New Roman"/>
          <w:color w:val="000000" w:themeColor="text1"/>
          <w:sz w:val="32"/>
          <w:szCs w:val="32"/>
        </w:rPr>
        <w:t>元以上</w:t>
      </w:r>
      <w:r>
        <w:rPr>
          <w:rFonts w:ascii="Times New Roman" w:eastAsia="方正仿宋_GBK" w:hAnsi="Times New Roman" w:cs="Times New Roman" w:hint="eastAsia"/>
          <w:color w:val="000000" w:themeColor="text1"/>
          <w:sz w:val="32"/>
          <w:szCs w:val="32"/>
        </w:rPr>
        <w:t>50000</w:t>
      </w:r>
      <w:r>
        <w:rPr>
          <w:rFonts w:ascii="Times New Roman" w:eastAsia="方正仿宋_GBK" w:hAnsi="Times New Roman" w:cs="Times New Roman"/>
          <w:color w:val="000000" w:themeColor="text1"/>
          <w:sz w:val="32"/>
          <w:szCs w:val="32"/>
        </w:rPr>
        <w:t>元以下罚款。</w:t>
      </w:r>
    </w:p>
    <w:p w14:paraId="40647C87"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第三十九条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【未按规定重新设置地名标志的处罚】</w:t>
      </w:r>
    </w:p>
    <w:p w14:paraId="634E4473"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违反本条例第二十三条规定，未按照有关规定重新设置地名标志的，由</w:t>
      </w:r>
      <w:r>
        <w:rPr>
          <w:rFonts w:ascii="Times New Roman" w:eastAsia="方正仿宋_GBK" w:hAnsi="Times New Roman" w:cs="Times New Roman" w:hint="eastAsia"/>
          <w:color w:val="000000" w:themeColor="text1"/>
          <w:sz w:val="32"/>
          <w:szCs w:val="32"/>
        </w:rPr>
        <w:t>民政</w:t>
      </w:r>
      <w:r>
        <w:rPr>
          <w:rFonts w:ascii="Times New Roman" w:eastAsia="方正仿宋_GBK" w:hAnsi="Times New Roman" w:cs="Times New Roman"/>
          <w:color w:val="000000" w:themeColor="text1"/>
          <w:sz w:val="32"/>
          <w:szCs w:val="32"/>
        </w:rPr>
        <w:t>部门</w:t>
      </w:r>
      <w:r>
        <w:rPr>
          <w:rFonts w:ascii="Times New Roman" w:eastAsia="方正仿宋_GBK" w:hAnsi="Times New Roman" w:cs="Times New Roman" w:hint="eastAsia"/>
          <w:color w:val="000000" w:themeColor="text1"/>
          <w:sz w:val="32"/>
          <w:szCs w:val="32"/>
        </w:rPr>
        <w:t>或者其他有关部门</w:t>
      </w:r>
      <w:r>
        <w:rPr>
          <w:rFonts w:ascii="Times New Roman" w:eastAsia="方正仿宋_GBK" w:hAnsi="Times New Roman" w:cs="Times New Roman"/>
          <w:color w:val="000000" w:themeColor="text1"/>
          <w:sz w:val="32"/>
          <w:szCs w:val="32"/>
        </w:rPr>
        <w:t>责令限期改正，并可以处</w:t>
      </w:r>
      <w:r>
        <w:rPr>
          <w:rFonts w:ascii="Times New Roman" w:eastAsia="方正仿宋_GBK" w:hAnsi="Times New Roman" w:cs="Times New Roman" w:hint="eastAsia"/>
          <w:color w:val="000000" w:themeColor="text1"/>
          <w:sz w:val="32"/>
          <w:szCs w:val="32"/>
        </w:rPr>
        <w:t>1000</w:t>
      </w:r>
      <w:r>
        <w:rPr>
          <w:rFonts w:ascii="Times New Roman" w:eastAsia="方正仿宋_GBK" w:hAnsi="Times New Roman" w:cs="Times New Roman"/>
          <w:color w:val="000000" w:themeColor="text1"/>
          <w:sz w:val="32"/>
          <w:szCs w:val="32"/>
        </w:rPr>
        <w:t>元以上</w:t>
      </w:r>
      <w:r>
        <w:rPr>
          <w:rFonts w:ascii="Times New Roman" w:eastAsia="方正仿宋_GBK" w:hAnsi="Times New Roman" w:cs="Times New Roman" w:hint="eastAsia"/>
          <w:color w:val="000000" w:themeColor="text1"/>
          <w:sz w:val="32"/>
          <w:szCs w:val="32"/>
        </w:rPr>
        <w:t>5000</w:t>
      </w:r>
      <w:r>
        <w:rPr>
          <w:rFonts w:ascii="Times New Roman" w:eastAsia="方正仿宋_GBK" w:hAnsi="Times New Roman" w:cs="Times New Roman"/>
          <w:color w:val="000000" w:themeColor="text1"/>
          <w:sz w:val="32"/>
          <w:szCs w:val="32"/>
        </w:rPr>
        <w:t>元以下罚款。</w:t>
      </w:r>
    </w:p>
    <w:p w14:paraId="5FE5863E" w14:textId="77777777" w:rsidR="00E76B5A" w:rsidRDefault="00E76B5A">
      <w:pPr>
        <w:overflowPunct w:val="0"/>
        <w:spacing w:line="578" w:lineRule="exact"/>
        <w:rPr>
          <w:rFonts w:ascii="Times New Roman" w:eastAsia="方正仿宋_GBK" w:hAnsi="Times New Roman" w:cs="Times New Roman"/>
          <w:color w:val="000000" w:themeColor="text1"/>
          <w:sz w:val="32"/>
          <w:szCs w:val="32"/>
        </w:rPr>
      </w:pPr>
    </w:p>
    <w:p w14:paraId="02947009" w14:textId="77777777" w:rsidR="00E76B5A" w:rsidRDefault="003F448A">
      <w:pPr>
        <w:overflowPunct w:val="0"/>
        <w:spacing w:line="578" w:lineRule="exact"/>
        <w:jc w:val="center"/>
        <w:rPr>
          <w:rFonts w:ascii="方正黑体_GBK" w:eastAsia="方正黑体_GBK" w:hAnsi="Times New Roman" w:cs="Times New Roman"/>
          <w:color w:val="000000" w:themeColor="text1"/>
          <w:sz w:val="32"/>
          <w:szCs w:val="32"/>
        </w:rPr>
      </w:pPr>
      <w:r>
        <w:rPr>
          <w:rFonts w:ascii="方正黑体_GBK" w:eastAsia="方正黑体_GBK" w:hAnsi="Times New Roman" w:cs="Times New Roman" w:hint="eastAsia"/>
          <w:color w:val="000000" w:themeColor="text1"/>
          <w:sz w:val="32"/>
          <w:szCs w:val="32"/>
        </w:rPr>
        <w:t>第九章</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附</w:t>
      </w:r>
      <w:r>
        <w:rPr>
          <w:rFonts w:ascii="方正黑体_GBK" w:eastAsia="方正黑体_GBK" w:hAnsi="Times New Roman" w:cs="Times New Roman" w:hint="eastAsia"/>
          <w:color w:val="000000" w:themeColor="text1"/>
          <w:sz w:val="32"/>
          <w:szCs w:val="32"/>
        </w:rPr>
        <w:t xml:space="preserve"> </w:t>
      </w:r>
      <w:r>
        <w:rPr>
          <w:rFonts w:ascii="方正黑体_GBK" w:eastAsia="方正黑体_GBK" w:hAnsi="Times New Roman" w:cs="Times New Roman" w:hint="eastAsia"/>
          <w:color w:val="000000" w:themeColor="text1"/>
          <w:sz w:val="32"/>
          <w:szCs w:val="32"/>
        </w:rPr>
        <w:t>则</w:t>
      </w:r>
    </w:p>
    <w:p w14:paraId="0130612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第四十条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【乡村地名管理】</w:t>
      </w:r>
      <w:r>
        <w:rPr>
          <w:rFonts w:ascii="Times New Roman" w:eastAsia="方正仿宋_GBK" w:hAnsi="Times New Roman" w:cs="Times New Roman"/>
          <w:color w:val="000000" w:themeColor="text1"/>
          <w:sz w:val="32"/>
          <w:szCs w:val="32"/>
        </w:rPr>
        <w:t xml:space="preserve"> </w:t>
      </w:r>
    </w:p>
    <w:p w14:paraId="5E0570B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县级以上地方人民政府应当加强乡村地名命名管理、地名标志设置维护、地名文化保护弘扬、地名信息深化应用和地名赋能产业发展，助力乡村全面振兴。</w:t>
      </w:r>
    </w:p>
    <w:p w14:paraId="7412923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第四十一条</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【相关定义】</w:t>
      </w:r>
    </w:p>
    <w:p w14:paraId="0E76A31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本条例所称的具有重要地理方位意义，是指在一定区域范围内同类地理实体中指位作用相对突出，其名称可供社会公众使用。</w:t>
      </w:r>
    </w:p>
    <w:p w14:paraId="60BC7B15"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本条例第二十五条所称的地名文化遗产，是指具有历史文化价值、体现中华历史文脉并传承使用至今的地名及其相关的文化</w:t>
      </w:r>
      <w:r>
        <w:rPr>
          <w:rFonts w:ascii="Times New Roman" w:eastAsia="方正仿宋_GBK" w:hAnsi="Times New Roman" w:cs="Times New Roman"/>
          <w:color w:val="000000" w:themeColor="text1"/>
          <w:sz w:val="32"/>
          <w:szCs w:val="32"/>
        </w:rPr>
        <w:lastRenderedPageBreak/>
        <w:t>表现形式。</w:t>
      </w:r>
    </w:p>
    <w:p w14:paraId="7D3F2CF9"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t>本条例第二十六条所称的历史地名，是指曾经使用但目前已不再使用的地名。</w:t>
      </w:r>
    </w:p>
    <w:p w14:paraId="705F1B46"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第四十二条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【从其规定要求】法律、法规、国务院部门规章对地名管理已有规定的，从其规定。</w:t>
      </w:r>
    </w:p>
    <w:p w14:paraId="6B89139B" w14:textId="77777777" w:rsidR="00E76B5A" w:rsidRDefault="003F448A">
      <w:pPr>
        <w:overflowPunct w:val="0"/>
        <w:spacing w:line="578"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color w:val="000000" w:themeColor="text1"/>
          <w:sz w:val="32"/>
          <w:szCs w:val="32"/>
        </w:rPr>
        <w:t>第四十三条</w:t>
      </w:r>
      <w:r>
        <w:rPr>
          <w:rFonts w:ascii="方正黑体_GBK" w:eastAsia="方正黑体_GBK" w:hAnsi="Times New Roman" w:cs="Times New Roman" w:hint="eastAsia"/>
          <w:color w:val="000000" w:themeColor="text1"/>
          <w:sz w:val="32"/>
          <w:szCs w:val="32"/>
        </w:rPr>
        <w:t xml:space="preserve"> </w:t>
      </w:r>
      <w:r>
        <w:rPr>
          <w:rFonts w:ascii="Times New Roman" w:eastAsia="方正仿宋_GBK" w:hAnsi="Times New Roman" w:cs="Times New Roman"/>
          <w:color w:val="000000" w:themeColor="text1"/>
          <w:sz w:val="32"/>
          <w:szCs w:val="32"/>
        </w:rPr>
        <w:t>【施行时间】本条例自</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年</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月</w:t>
      </w:r>
      <w:r>
        <w:rPr>
          <w:rFonts w:ascii="Times New Roman" w:eastAsia="方正仿宋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日起施行。</w:t>
      </w:r>
    </w:p>
    <w:sectPr w:rsidR="00E76B5A">
      <w:footerReference w:type="default" r:id="rId6"/>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9BF3BF" w14:textId="77777777" w:rsidR="003F448A" w:rsidRDefault="003F448A"/>
  </w:endnote>
  <w:endnote w:type="continuationSeparator" w:id="0">
    <w:p w14:paraId="6D9FE02B" w14:textId="77777777" w:rsidR="003F448A" w:rsidRDefault="003F44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3756447"/>
      <w:docPartObj>
        <w:docPartGallery w:val="Page Numbers (Bottom of Page)"/>
        <w:docPartUnique/>
      </w:docPartObj>
    </w:sdtPr>
    <w:sdtContent>
      <w:p w14:paraId="0825A38F" w14:textId="4BFD6F9D" w:rsidR="001E3C41" w:rsidRDefault="001E3C41">
        <w:pPr>
          <w:pStyle w:val="a5"/>
          <w:jc w:val="center"/>
        </w:pPr>
        <w:r>
          <w:rPr>
            <w:rFonts w:ascii="宋体" w:eastAsia="宋体" w:hAnsi="宋体" w:hint="eastAsia"/>
            <w:sz w:val="28"/>
          </w:rPr>
          <w:t xml:space="preserve">— </w:t>
        </w:r>
        <w:r w:rsidRPr="00843267">
          <w:rPr>
            <w:rFonts w:ascii="宋体" w:eastAsia="宋体" w:hAnsi="宋体"/>
            <w:sz w:val="28"/>
          </w:rPr>
          <w:fldChar w:fldCharType="begin"/>
        </w:r>
        <w:r w:rsidRPr="00843267">
          <w:rPr>
            <w:rFonts w:ascii="宋体" w:eastAsia="宋体" w:hAnsi="宋体"/>
            <w:sz w:val="28"/>
          </w:rPr>
          <w:instrText>PAGE   \* MERGEFORMAT</w:instrText>
        </w:r>
        <w:r w:rsidRPr="00843267">
          <w:rPr>
            <w:rFonts w:ascii="宋体" w:eastAsia="宋体" w:hAnsi="宋体"/>
            <w:sz w:val="28"/>
          </w:rPr>
          <w:fldChar w:fldCharType="separate"/>
        </w:r>
        <w:r w:rsidRPr="001E3C41">
          <w:rPr>
            <w:rFonts w:ascii="宋体" w:eastAsia="宋体" w:hAnsi="宋体"/>
            <w:noProof/>
            <w:sz w:val="28"/>
            <w:lang w:val="zh-CN"/>
          </w:rPr>
          <w:t>1</w:t>
        </w:r>
        <w:r w:rsidRPr="00843267">
          <w:rPr>
            <w:rFonts w:ascii="宋体" w:eastAsia="宋体" w:hAnsi="宋体"/>
            <w:sz w:val="28"/>
          </w:rPr>
          <w:fldChar w:fldCharType="end"/>
        </w:r>
        <w:r>
          <w:rPr>
            <w:rFonts w:ascii="宋体" w:eastAsia="宋体" w:hAnsi="宋体"/>
            <w:sz w:val="28"/>
          </w:rPr>
          <w:t xml:space="preserve"> </w:t>
        </w:r>
        <w:r>
          <w:rPr>
            <w:rFonts w:ascii="宋体" w:eastAsia="宋体" w:hAnsi="宋体" w:hint="eastAsia"/>
            <w:sz w:val="28"/>
          </w:rPr>
          <w:t>—</w:t>
        </w:r>
      </w:p>
    </w:sdtContent>
  </w:sdt>
  <w:p w14:paraId="02A6F84E" w14:textId="77777777" w:rsidR="001E3C41" w:rsidRDefault="001E3C41">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650520" w14:textId="77777777" w:rsidR="003F448A" w:rsidRDefault="003F448A"/>
  </w:footnote>
  <w:footnote w:type="continuationSeparator" w:id="0">
    <w:p w14:paraId="02E7BAD2" w14:textId="77777777" w:rsidR="003F448A" w:rsidRDefault="003F448A"/>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6"/>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I2NzIzZWNlMmQzODEzNzBmMjhkNGVjZDMzOGQxMmEifQ=="/>
  </w:docVars>
  <w:rsids>
    <w:rsidRoot w:val="00902EBA"/>
    <w:rsid w:val="00027D8F"/>
    <w:rsid w:val="000D39DC"/>
    <w:rsid w:val="000D6225"/>
    <w:rsid w:val="001E3C41"/>
    <w:rsid w:val="002A77DF"/>
    <w:rsid w:val="002C3CD7"/>
    <w:rsid w:val="003A24CA"/>
    <w:rsid w:val="003F448A"/>
    <w:rsid w:val="00400D90"/>
    <w:rsid w:val="00457E7D"/>
    <w:rsid w:val="00470085"/>
    <w:rsid w:val="004A33DB"/>
    <w:rsid w:val="00504733"/>
    <w:rsid w:val="0054777A"/>
    <w:rsid w:val="005B5849"/>
    <w:rsid w:val="007C1700"/>
    <w:rsid w:val="00902EBA"/>
    <w:rsid w:val="009D4AC2"/>
    <w:rsid w:val="00AD39AD"/>
    <w:rsid w:val="00B053A5"/>
    <w:rsid w:val="00C40FC9"/>
    <w:rsid w:val="00CD5438"/>
    <w:rsid w:val="00D50273"/>
    <w:rsid w:val="00D521BE"/>
    <w:rsid w:val="00D534DF"/>
    <w:rsid w:val="00D745AD"/>
    <w:rsid w:val="00D852CE"/>
    <w:rsid w:val="00E76B5A"/>
    <w:rsid w:val="00ED1AF1"/>
    <w:rsid w:val="085409E1"/>
    <w:rsid w:val="10227F58"/>
    <w:rsid w:val="26F96584"/>
    <w:rsid w:val="2F7F2C94"/>
    <w:rsid w:val="2FF86323"/>
    <w:rsid w:val="38C42235"/>
    <w:rsid w:val="46775944"/>
    <w:rsid w:val="469D7E9C"/>
    <w:rsid w:val="5FD0034B"/>
    <w:rsid w:val="6C332FAD"/>
    <w:rsid w:val="6DCF4F15"/>
    <w:rsid w:val="6E336F91"/>
    <w:rsid w:val="73C179F6"/>
    <w:rsid w:val="741D6CE5"/>
    <w:rsid w:val="7D2928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D662A8"/>
  <w15:docId w15:val="{AFE669BE-3976-42B1-B39A-FD351DF90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a4">
    <w:name w:val="批注框文本 字符"/>
    <w:basedOn w:val="a0"/>
    <w:link w:val="a3"/>
    <w:uiPriority w:val="99"/>
    <w:semiHidden/>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1051</Words>
  <Characters>5992</Characters>
  <Application>Microsoft Office Word</Application>
  <DocSecurity>0</DocSecurity>
  <Lines>49</Lines>
  <Paragraphs>14</Paragraphs>
  <ScaleCrop>false</ScaleCrop>
  <Company>HP Inc.</Company>
  <LinksUpToDate>false</LinksUpToDate>
  <CharactersWithSpaces>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沈健健</dc:creator>
  <cp:lastModifiedBy>唐凡</cp:lastModifiedBy>
  <cp:revision>2</cp:revision>
  <cp:lastPrinted>2024-07-02T08:42:00Z</cp:lastPrinted>
  <dcterms:created xsi:type="dcterms:W3CDTF">2024-07-09T06:38:00Z</dcterms:created>
  <dcterms:modified xsi:type="dcterms:W3CDTF">2024-07-09T06:38:00Z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2052-12.1.0.17145</vt:lpwstr>
  </property>
  <property fmtid="{D5CDD505-2E9C-101B-9397-08002B2CF9AE}" pid="3" name="ICV">
    <vt:lpwstr>48DE5656241944E887892820B899BB6B_13</vt:lpwstr>
  </property>
</Properties>
</file>