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7CEC" w:rsidRDefault="000E7CEC">
      <w:pPr>
        <w:jc w:val="center"/>
        <w:rPr>
          <w:rFonts w:ascii="方正小标宋_GBK" w:eastAsia="方正小标宋_GBK"/>
          <w:sz w:val="36"/>
          <w:szCs w:val="36"/>
        </w:rPr>
      </w:pPr>
    </w:p>
    <w:p w:rsidR="000E7CEC" w:rsidRDefault="00F41823">
      <w:pPr>
        <w:jc w:val="center"/>
        <w:rPr>
          <w:rFonts w:ascii="方正小标宋_GBK" w:eastAsia="方正小标宋_GBK"/>
          <w:sz w:val="36"/>
          <w:szCs w:val="36"/>
        </w:rPr>
      </w:pPr>
      <w:r>
        <w:rPr>
          <w:rFonts w:ascii="方正小标宋_GBK" w:eastAsia="方正小标宋_GBK" w:hint="eastAsia"/>
          <w:sz w:val="36"/>
          <w:szCs w:val="36"/>
        </w:rPr>
        <w:t>关于进一步推进普惠养老机构签约和发展工作的通知</w:t>
      </w:r>
    </w:p>
    <w:p w:rsidR="000E7CEC" w:rsidRDefault="000E7CEC"/>
    <w:p w:rsidR="000E7CEC" w:rsidRDefault="000E7CEC"/>
    <w:p w:rsidR="000E7CEC" w:rsidRDefault="00F41823">
      <w:pPr>
        <w:rPr>
          <w:rFonts w:ascii="方正仿宋_GBK" w:eastAsia="方正仿宋_GBK"/>
          <w:sz w:val="32"/>
          <w:szCs w:val="32"/>
        </w:rPr>
      </w:pPr>
      <w:r>
        <w:rPr>
          <w:rFonts w:ascii="方正仿宋_GBK" w:eastAsia="方正仿宋_GBK" w:hint="eastAsia"/>
          <w:sz w:val="32"/>
          <w:szCs w:val="32"/>
        </w:rPr>
        <w:t>各设区市民政局、发展改革委、财政局：</w:t>
      </w:r>
    </w:p>
    <w:p w:rsidR="000E7CEC" w:rsidRDefault="00F41823">
      <w:pPr>
        <w:ind w:firstLine="645"/>
        <w:rPr>
          <w:rFonts w:ascii="方正仿宋_GBK" w:eastAsia="方正仿宋_GBK"/>
          <w:sz w:val="32"/>
          <w:szCs w:val="32"/>
        </w:rPr>
      </w:pPr>
      <w:r>
        <w:rPr>
          <w:rFonts w:ascii="方正仿宋_GBK" w:eastAsia="方正仿宋_GBK" w:hint="eastAsia"/>
          <w:sz w:val="32"/>
          <w:szCs w:val="32"/>
        </w:rPr>
        <w:t>为深入实施积极应对人口老龄化国家战略，进一步调动社会力量参与基本养老服务体系建设积极性，有效扩大质量有保障、价格可承受、运营可持续的普惠养老服务供给，满足广大老年人日益增长的多层次、多样化养老服务需求，现就进一步推进普惠养老机构签约和发展工作通知如下。</w:t>
      </w:r>
    </w:p>
    <w:p w:rsidR="000E7CEC" w:rsidRDefault="00F41823">
      <w:pPr>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一</w:t>
      </w:r>
      <w:r>
        <w:rPr>
          <w:rFonts w:ascii="Times New Roman" w:eastAsia="方正黑体_GBK" w:hAnsi="Times New Roman" w:cs="Times New Roman"/>
          <w:sz w:val="32"/>
          <w:szCs w:val="32"/>
        </w:rPr>
        <w:t>、</w:t>
      </w:r>
      <w:r>
        <w:rPr>
          <w:rFonts w:ascii="Times New Roman" w:eastAsia="方正黑体_GBK" w:hAnsi="Times New Roman" w:cs="Times New Roman" w:hint="eastAsia"/>
          <w:sz w:val="32"/>
          <w:szCs w:val="32"/>
        </w:rPr>
        <w:t>规范</w:t>
      </w:r>
      <w:r>
        <w:rPr>
          <w:rFonts w:ascii="Times New Roman" w:eastAsia="方正黑体_GBK" w:hAnsi="Times New Roman" w:cs="Times New Roman"/>
          <w:sz w:val="32"/>
          <w:szCs w:val="32"/>
        </w:rPr>
        <w:t>合作签约</w:t>
      </w:r>
      <w:r w:rsidR="00465E69">
        <w:rPr>
          <w:rFonts w:ascii="Times New Roman" w:eastAsia="方正黑体_GBK" w:hAnsi="Times New Roman" w:cs="Times New Roman" w:hint="eastAsia"/>
          <w:sz w:val="32"/>
          <w:szCs w:val="32"/>
        </w:rPr>
        <w:t>事项</w:t>
      </w:r>
    </w:p>
    <w:p w:rsidR="000E7CEC" w:rsidRDefault="00F41823">
      <w:pPr>
        <w:ind w:firstLine="645"/>
        <w:rPr>
          <w:rFonts w:ascii="Times New Roman" w:eastAsia="方正仿宋_GBK" w:hAnsi="Times New Roman" w:cs="Times New Roman"/>
          <w:sz w:val="32"/>
          <w:szCs w:val="32"/>
        </w:rPr>
      </w:pPr>
      <w:r>
        <w:rPr>
          <w:rFonts w:ascii="方正楷体_GBK" w:eastAsia="方正楷体_GBK" w:hAnsi="Times New Roman" w:cs="Times New Roman" w:hint="eastAsia"/>
          <w:sz w:val="32"/>
          <w:szCs w:val="32"/>
        </w:rPr>
        <w:t>1. 规范签约对象。</w:t>
      </w:r>
      <w:r>
        <w:rPr>
          <w:rFonts w:ascii="Times New Roman" w:eastAsia="方正仿宋_GBK" w:hAnsi="Times New Roman" w:cs="Times New Roman"/>
          <w:sz w:val="32"/>
          <w:szCs w:val="32"/>
        </w:rPr>
        <w:t>登记性质为社会服务机构（民办非企业单位）的养老机构以及登记为营利性市场主体的养老机构，均可申请签约普惠养老机构。公办和公建民营养老机构不纳入普惠养老机构签约与管理范围。申请签约的养老机构应依法在相关部门登记并在民政部门进行备案，同时</w:t>
      </w:r>
      <w:r>
        <w:rPr>
          <w:rFonts w:ascii="Times New Roman" w:eastAsia="方正仿宋_GBK" w:hAnsi="Times New Roman" w:cs="Times New Roman" w:hint="eastAsia"/>
          <w:sz w:val="32"/>
          <w:szCs w:val="32"/>
        </w:rPr>
        <w:t>依照</w:t>
      </w:r>
      <w:r>
        <w:rPr>
          <w:rFonts w:ascii="Times New Roman" w:eastAsia="方正仿宋_GBK" w:hAnsi="Times New Roman" w:cs="Times New Roman"/>
          <w:sz w:val="32"/>
          <w:szCs w:val="32"/>
        </w:rPr>
        <w:t>国家《养老机构服务安全基本规范》强制性标准和《养老机构服务质量基本规范》开展服务。</w:t>
      </w:r>
    </w:p>
    <w:p w:rsidR="000E7CEC" w:rsidRDefault="00F41823">
      <w:pPr>
        <w:ind w:firstLine="645"/>
        <w:rPr>
          <w:rFonts w:ascii="方正楷体_GBK" w:eastAsia="方正楷体_GBK" w:hAnsi="Times New Roman" w:cs="Times New Roman"/>
          <w:sz w:val="32"/>
          <w:szCs w:val="32"/>
        </w:rPr>
      </w:pPr>
      <w:r>
        <w:rPr>
          <w:rFonts w:ascii="方正楷体_GBK" w:eastAsia="方正楷体_GBK" w:hAnsi="Times New Roman" w:cs="Times New Roman"/>
          <w:sz w:val="32"/>
          <w:szCs w:val="32"/>
        </w:rPr>
        <w:t xml:space="preserve">2. </w:t>
      </w:r>
      <w:r>
        <w:rPr>
          <w:rFonts w:ascii="方正楷体_GBK" w:eastAsia="方正楷体_GBK" w:hAnsi="Times New Roman" w:cs="Times New Roman" w:hint="eastAsia"/>
          <w:sz w:val="32"/>
          <w:szCs w:val="32"/>
        </w:rPr>
        <w:t>规范</w:t>
      </w:r>
      <w:r>
        <w:rPr>
          <w:rFonts w:ascii="方正楷体_GBK" w:eastAsia="方正楷体_GBK" w:hAnsi="Times New Roman" w:cs="Times New Roman"/>
          <w:sz w:val="32"/>
          <w:szCs w:val="32"/>
        </w:rPr>
        <w:t>签约内容。</w:t>
      </w:r>
      <w:r>
        <w:rPr>
          <w:rFonts w:ascii="Times New Roman" w:eastAsia="方正仿宋_GBK" w:hAnsi="Times New Roman" w:cs="Times New Roman" w:hint="eastAsia"/>
          <w:sz w:val="32"/>
          <w:szCs w:val="32"/>
        </w:rPr>
        <w:t>本通知所称签约，是指由设区市、区县级人民政府（或授权的民政和发展改革部门）与符合签约条件的养老机构就提供普惠养老服务达成合作协议。协议应包括签约双方基本情况、合作目标、合作期限、项目情况（包含机构名称、床位数、普惠养老服务</w:t>
      </w:r>
      <w:r w:rsidR="007F6A55">
        <w:rPr>
          <w:rFonts w:ascii="Times New Roman" w:eastAsia="方正仿宋_GBK" w:hAnsi="Times New Roman" w:cs="Times New Roman" w:hint="eastAsia"/>
          <w:sz w:val="32"/>
          <w:szCs w:val="32"/>
        </w:rPr>
        <w:t>质量标准和</w:t>
      </w:r>
      <w:r>
        <w:rPr>
          <w:rFonts w:ascii="Times New Roman" w:eastAsia="方正仿宋_GBK" w:hAnsi="Times New Roman" w:cs="Times New Roman" w:hint="eastAsia"/>
          <w:sz w:val="32"/>
          <w:szCs w:val="32"/>
        </w:rPr>
        <w:t>价格、协议</w:t>
      </w:r>
      <w:r>
        <w:rPr>
          <w:rFonts w:ascii="Times New Roman" w:eastAsia="方正仿宋_GBK" w:hAnsi="Times New Roman" w:cs="Times New Roman" w:hint="eastAsia"/>
          <w:sz w:val="32"/>
          <w:szCs w:val="32"/>
        </w:rPr>
        <w:lastRenderedPageBreak/>
        <w:t>期限等内容）、签约双方权利义务（政府承诺在合作项目上落实的具体政策、养老机构承诺提供普惠养老服务、执行政府确认的普惠养老服务的质量标准和收费标准等内容），以及协议变更终止、违约责任、退出机制等约定事项。签约前，协议文本应进行法制审核。</w:t>
      </w:r>
    </w:p>
    <w:p w:rsidR="000E7CEC" w:rsidRDefault="00F41823">
      <w:pPr>
        <w:ind w:firstLine="645"/>
        <w:rPr>
          <w:rFonts w:ascii="Times New Roman" w:eastAsia="方正仿宋_GBK" w:hAnsi="Times New Roman" w:cs="Times New Roman"/>
          <w:sz w:val="32"/>
          <w:szCs w:val="32"/>
        </w:rPr>
      </w:pPr>
      <w:r>
        <w:rPr>
          <w:rFonts w:ascii="方正楷体_GBK" w:eastAsia="方正楷体_GBK" w:hAnsi="Times New Roman" w:cs="Times New Roman"/>
          <w:sz w:val="32"/>
          <w:szCs w:val="32"/>
        </w:rPr>
        <w:t xml:space="preserve">3. </w:t>
      </w:r>
      <w:r>
        <w:rPr>
          <w:rFonts w:ascii="方正楷体_GBK" w:eastAsia="方正楷体_GBK" w:hAnsi="Times New Roman" w:cs="Times New Roman" w:hint="eastAsia"/>
          <w:sz w:val="32"/>
          <w:szCs w:val="32"/>
        </w:rPr>
        <w:t>规范</w:t>
      </w:r>
      <w:r>
        <w:rPr>
          <w:rFonts w:ascii="方正楷体_GBK" w:eastAsia="方正楷体_GBK" w:hAnsi="Times New Roman" w:cs="Times New Roman"/>
          <w:sz w:val="32"/>
          <w:szCs w:val="32"/>
        </w:rPr>
        <w:t>签约程序。</w:t>
      </w:r>
      <w:r>
        <w:rPr>
          <w:rFonts w:ascii="Times New Roman" w:eastAsia="方正仿宋_GBK" w:hAnsi="Times New Roman" w:cs="Times New Roman" w:hint="eastAsia"/>
          <w:sz w:val="32"/>
          <w:szCs w:val="32"/>
        </w:rPr>
        <w:t>设区市发展改革、民政部门制定完善普惠养老机构签约程序，细化申请条件和审核办法。签约程序一般包括养老机构自愿申请、审核并公示名单、政府（部门）与养老机构签约、送达签约协议、发布公告等环节，原则上签约期限不少于</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年。有效期满后，经养老机构申请，由设区市发展改革、民政部门评估后可重新签约。</w:t>
      </w:r>
      <w:r w:rsidR="00E1389A" w:rsidRPr="00E1389A">
        <w:rPr>
          <w:rFonts w:ascii="Times New Roman" w:eastAsia="方正仿宋_GBK" w:hAnsi="Times New Roman" w:cs="Times New Roman" w:hint="eastAsia"/>
          <w:sz w:val="32"/>
          <w:szCs w:val="32"/>
        </w:rPr>
        <w:t>已按规范完成签约</w:t>
      </w:r>
      <w:proofErr w:type="gramStart"/>
      <w:r w:rsidR="00E1389A" w:rsidRPr="00E1389A">
        <w:rPr>
          <w:rFonts w:ascii="Times New Roman" w:eastAsia="方正仿宋_GBK" w:hAnsi="Times New Roman" w:cs="Times New Roman" w:hint="eastAsia"/>
          <w:sz w:val="32"/>
          <w:szCs w:val="32"/>
        </w:rPr>
        <w:t>且协议</w:t>
      </w:r>
      <w:proofErr w:type="gramEnd"/>
      <w:r w:rsidR="00E1389A" w:rsidRPr="00E1389A">
        <w:rPr>
          <w:rFonts w:ascii="Times New Roman" w:eastAsia="方正仿宋_GBK" w:hAnsi="Times New Roman" w:cs="Times New Roman" w:hint="eastAsia"/>
          <w:sz w:val="32"/>
          <w:szCs w:val="32"/>
        </w:rPr>
        <w:t>在有效期内的机构，无需重新签约。</w:t>
      </w:r>
      <w:r>
        <w:rPr>
          <w:rFonts w:ascii="Times New Roman" w:eastAsia="方正仿宋_GBK" w:hAnsi="Times New Roman" w:cs="Times New Roman" w:hint="eastAsia"/>
          <w:sz w:val="32"/>
          <w:szCs w:val="32"/>
        </w:rPr>
        <w:t>普惠养老机构自愿申请退出的，应依据双方约定，以书面形式提出终止协议申请，经审查后，依据协议约定处理。</w:t>
      </w:r>
    </w:p>
    <w:p w:rsidR="000E7CEC" w:rsidRDefault="00F41823">
      <w:pPr>
        <w:ind w:firstLineChars="200" w:firstLine="640"/>
        <w:rPr>
          <w:rFonts w:ascii="方正黑体_GBK" w:eastAsia="方正黑体_GBK"/>
          <w:sz w:val="32"/>
          <w:szCs w:val="32"/>
        </w:rPr>
      </w:pPr>
      <w:r>
        <w:rPr>
          <w:rFonts w:ascii="方正黑体_GBK" w:eastAsia="方正黑体_GBK" w:hint="eastAsia"/>
          <w:sz w:val="32"/>
          <w:szCs w:val="32"/>
        </w:rPr>
        <w:t>二、健全价格</w:t>
      </w:r>
      <w:r w:rsidR="007F6A55">
        <w:rPr>
          <w:rFonts w:ascii="方正黑体_GBK" w:eastAsia="方正黑体_GBK" w:hint="eastAsia"/>
          <w:sz w:val="32"/>
          <w:szCs w:val="32"/>
        </w:rPr>
        <w:t>形成</w:t>
      </w:r>
      <w:r>
        <w:rPr>
          <w:rFonts w:ascii="方正黑体_GBK" w:eastAsia="方正黑体_GBK" w:hint="eastAsia"/>
          <w:sz w:val="32"/>
          <w:szCs w:val="32"/>
        </w:rPr>
        <w:t>机制</w:t>
      </w:r>
    </w:p>
    <w:p w:rsidR="007F6A55" w:rsidRDefault="007F6A55" w:rsidP="007F6A55">
      <w:pPr>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sz w:val="32"/>
          <w:szCs w:val="32"/>
        </w:rPr>
        <w:t xml:space="preserve">4. </w:t>
      </w:r>
      <w:proofErr w:type="gramStart"/>
      <w:r>
        <w:rPr>
          <w:rFonts w:ascii="方正楷体_GBK" w:eastAsia="方正楷体_GBK" w:hAnsi="Times New Roman" w:cs="Times New Roman" w:hint="eastAsia"/>
          <w:sz w:val="32"/>
          <w:szCs w:val="32"/>
        </w:rPr>
        <w:t>明确普</w:t>
      </w:r>
      <w:proofErr w:type="gramEnd"/>
      <w:r>
        <w:rPr>
          <w:rFonts w:ascii="方正楷体_GBK" w:eastAsia="方正楷体_GBK" w:hAnsi="Times New Roman" w:cs="Times New Roman" w:hint="eastAsia"/>
          <w:sz w:val="32"/>
          <w:szCs w:val="32"/>
        </w:rPr>
        <w:t>惠养老服务价格内容。</w:t>
      </w:r>
      <w:r>
        <w:rPr>
          <w:rFonts w:ascii="Times New Roman" w:eastAsia="方正仿宋_GBK" w:hAnsi="Times New Roman" w:cs="Times New Roman" w:hint="eastAsia"/>
          <w:sz w:val="32"/>
          <w:szCs w:val="32"/>
        </w:rPr>
        <w:t>养老服务价格包括床位、护理、伙食、代办服务和特需服务价格。普惠养老服务价格包括床位、基本护理服务价格。床位价格根据设施配置、管理规范、服务质量、人均建筑面积和养老机构等级等因素分类明确。基本护理价格包括饮食照护、清洁卫生、排泄管理、睡眠照护、体征观测、用药管理、压疮预防管理服务价格，并根据老年人能力评估和养老护理分级</w:t>
      </w:r>
      <w:bookmarkStart w:id="0" w:name="_GoBack"/>
      <w:bookmarkEnd w:id="0"/>
      <w:r>
        <w:rPr>
          <w:rFonts w:ascii="Times New Roman" w:eastAsia="方正仿宋_GBK" w:hAnsi="Times New Roman" w:cs="Times New Roman" w:hint="eastAsia"/>
          <w:sz w:val="32"/>
          <w:szCs w:val="32"/>
        </w:rPr>
        <w:t>标准分级明确。普惠</w:t>
      </w:r>
      <w:r>
        <w:rPr>
          <w:rFonts w:ascii="Times New Roman" w:eastAsia="方正仿宋_GBK" w:hAnsi="Times New Roman" w:cs="Times New Roman" w:hint="eastAsia"/>
          <w:sz w:val="32"/>
          <w:szCs w:val="32"/>
        </w:rPr>
        <w:lastRenderedPageBreak/>
        <w:t>养老服务具体项目内容及质量标准，由设区市、县（市、区）民政部门会同发展改革部门制定。</w:t>
      </w:r>
    </w:p>
    <w:p w:rsidR="000E7CEC" w:rsidRPr="007F6A55" w:rsidRDefault="007F6A55" w:rsidP="007F6A55">
      <w:pPr>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sz w:val="32"/>
          <w:szCs w:val="32"/>
        </w:rPr>
        <w:t>5</w:t>
      </w:r>
      <w:r w:rsidR="00F41823">
        <w:rPr>
          <w:rFonts w:ascii="方正楷体_GBK" w:eastAsia="方正楷体_GBK" w:hAnsi="Times New Roman" w:cs="Times New Roman"/>
          <w:sz w:val="32"/>
          <w:szCs w:val="32"/>
        </w:rPr>
        <w:t xml:space="preserve">. </w:t>
      </w:r>
      <w:r w:rsidR="00F41823">
        <w:rPr>
          <w:rFonts w:ascii="方正楷体_GBK" w:eastAsia="方正楷体_GBK" w:hAnsi="Times New Roman" w:cs="Times New Roman" w:hint="eastAsia"/>
          <w:sz w:val="32"/>
          <w:szCs w:val="32"/>
        </w:rPr>
        <w:t>明确</w:t>
      </w:r>
      <w:r>
        <w:rPr>
          <w:rFonts w:ascii="方正楷体_GBK" w:eastAsia="方正楷体_GBK" w:hAnsi="Times New Roman" w:cs="Times New Roman" w:hint="eastAsia"/>
          <w:sz w:val="32"/>
          <w:szCs w:val="32"/>
        </w:rPr>
        <w:t>签约普惠养老服务价格</w:t>
      </w:r>
      <w:r w:rsidR="003810F2">
        <w:rPr>
          <w:rFonts w:ascii="方正楷体_GBK" w:eastAsia="方正楷体_GBK" w:hAnsi="Times New Roman" w:cs="Times New Roman" w:hint="eastAsia"/>
          <w:sz w:val="32"/>
          <w:szCs w:val="32"/>
        </w:rPr>
        <w:t>标准</w:t>
      </w:r>
      <w:r w:rsidR="00F41823">
        <w:rPr>
          <w:rFonts w:ascii="方正楷体_GBK" w:eastAsia="方正楷体_GBK" w:hAnsi="Times New Roman" w:cs="Times New Roman" w:hint="eastAsia"/>
          <w:sz w:val="32"/>
          <w:szCs w:val="32"/>
        </w:rPr>
        <w:t>。</w:t>
      </w:r>
      <w:r w:rsidRPr="007F6A55">
        <w:rPr>
          <w:rFonts w:ascii="Times New Roman" w:eastAsia="方正仿宋_GBK" w:hAnsi="Times New Roman" w:cs="Times New Roman" w:hint="eastAsia"/>
          <w:sz w:val="32"/>
          <w:szCs w:val="32"/>
        </w:rPr>
        <w:t>城市政府与养老机构参照普惠养老服务价格指导区间，在协议中明确签约普惠养老服务具体价格。</w:t>
      </w:r>
      <w:r>
        <w:rPr>
          <w:rFonts w:ascii="Times New Roman" w:eastAsia="方正仿宋_GBK" w:hAnsi="Times New Roman" w:cs="Times New Roman" w:hint="eastAsia"/>
          <w:sz w:val="32"/>
          <w:szCs w:val="32"/>
        </w:rPr>
        <w:t>普惠养老服务价格指导区间</w:t>
      </w:r>
      <w:r w:rsidR="00F41823">
        <w:rPr>
          <w:rFonts w:ascii="Times New Roman" w:eastAsia="方正仿宋_GBK" w:hAnsi="Times New Roman" w:cs="Times New Roman" w:hint="eastAsia"/>
          <w:sz w:val="32"/>
          <w:szCs w:val="32"/>
        </w:rPr>
        <w:t>由设区市发展改革部门会同民政部门</w:t>
      </w:r>
      <w:r w:rsidR="00F41823">
        <w:rPr>
          <w:rFonts w:ascii="Times New Roman" w:eastAsia="方正仿宋_GBK" w:hAnsi="Times New Roman" w:cs="Times New Roman"/>
          <w:sz w:val="32"/>
          <w:szCs w:val="32"/>
        </w:rPr>
        <w:t>确定</w:t>
      </w:r>
      <w:r w:rsidR="00E1389A">
        <w:rPr>
          <w:rFonts w:ascii="Times New Roman" w:eastAsia="方正仿宋_GBK" w:hAnsi="Times New Roman" w:cs="Times New Roman" w:hint="eastAsia"/>
          <w:sz w:val="32"/>
          <w:szCs w:val="32"/>
        </w:rPr>
        <w:t>，</w:t>
      </w:r>
      <w:r w:rsidR="00E1389A" w:rsidRPr="00E1389A">
        <w:rPr>
          <w:rFonts w:ascii="Times New Roman" w:eastAsia="方正仿宋_GBK" w:hAnsi="Times New Roman" w:cs="Times New Roman" w:hint="eastAsia"/>
          <w:sz w:val="32"/>
          <w:szCs w:val="32"/>
        </w:rPr>
        <w:t>服务价格水平</w:t>
      </w:r>
      <w:proofErr w:type="gramStart"/>
      <w:r w:rsidR="00E1389A" w:rsidRPr="00E1389A">
        <w:rPr>
          <w:rFonts w:ascii="Times New Roman" w:eastAsia="方正仿宋_GBK" w:hAnsi="Times New Roman" w:cs="Times New Roman" w:hint="eastAsia"/>
          <w:sz w:val="32"/>
          <w:szCs w:val="32"/>
        </w:rPr>
        <w:t>应显著</w:t>
      </w:r>
      <w:proofErr w:type="gramEnd"/>
      <w:r w:rsidR="00E1389A" w:rsidRPr="00E1389A">
        <w:rPr>
          <w:rFonts w:ascii="Times New Roman" w:eastAsia="方正仿宋_GBK" w:hAnsi="Times New Roman" w:cs="Times New Roman" w:hint="eastAsia"/>
          <w:sz w:val="32"/>
          <w:szCs w:val="32"/>
        </w:rPr>
        <w:t>低于当地市场化养老机构提供的同等服务价格</w:t>
      </w:r>
      <w:r w:rsidR="00F41823">
        <w:rPr>
          <w:rFonts w:ascii="Times New Roman" w:eastAsia="方正仿宋_GBK" w:hAnsi="Times New Roman" w:cs="Times New Roman"/>
          <w:sz w:val="32"/>
          <w:szCs w:val="32"/>
        </w:rPr>
        <w:t>。各地要</w:t>
      </w:r>
      <w:r w:rsidR="00F41823">
        <w:rPr>
          <w:rFonts w:ascii="Times New Roman" w:eastAsia="方正仿宋_GBK" w:hAnsi="Times New Roman" w:cs="Times New Roman" w:hint="eastAsia"/>
          <w:sz w:val="32"/>
          <w:szCs w:val="32"/>
        </w:rPr>
        <w:t>综合</w:t>
      </w:r>
      <w:r w:rsidR="00F41823">
        <w:rPr>
          <w:rFonts w:ascii="Times New Roman" w:eastAsia="方正仿宋_GBK" w:hAnsi="Times New Roman" w:cs="Times New Roman"/>
          <w:sz w:val="32"/>
          <w:szCs w:val="32"/>
        </w:rPr>
        <w:t>考虑地方经济社会发展水平、人均可支配收入、政策扶持</w:t>
      </w:r>
      <w:r w:rsidR="00E1389A">
        <w:rPr>
          <w:rFonts w:ascii="Times New Roman" w:eastAsia="方正仿宋_GBK" w:hAnsi="Times New Roman" w:cs="Times New Roman" w:hint="eastAsia"/>
          <w:sz w:val="32"/>
          <w:szCs w:val="32"/>
        </w:rPr>
        <w:t>投入</w:t>
      </w:r>
      <w:r w:rsidR="00F41823">
        <w:rPr>
          <w:rFonts w:ascii="Times New Roman" w:eastAsia="方正仿宋_GBK" w:hAnsi="Times New Roman" w:cs="Times New Roman"/>
          <w:sz w:val="32"/>
          <w:szCs w:val="32"/>
        </w:rPr>
        <w:t>、养老服务实际需求、消费者可承受能力、举办者合理利润等因素，</w:t>
      </w:r>
      <w:r w:rsidR="00F41823">
        <w:rPr>
          <w:rFonts w:ascii="Times New Roman" w:eastAsia="方正仿宋_GBK" w:hAnsi="Times New Roman" w:cs="Times New Roman" w:hint="eastAsia"/>
          <w:sz w:val="32"/>
          <w:szCs w:val="32"/>
        </w:rPr>
        <w:t>确保价格运行在合理区间范围。县（市、区）人民政府与养老机构签约的，其价格区间由县（市、区）发展改革部门会同民政部门，在设区市明确的价格区间内确定，报设区市发展改革、民政部门。普惠养老服务价格区间要及时公布，并根据护理用工价格、场地租金水平等因素动态调整，供政府与符合签约条件的养老机构签约时参考使用。</w:t>
      </w:r>
    </w:p>
    <w:p w:rsidR="000E7CEC" w:rsidRDefault="00F41823">
      <w:pPr>
        <w:ind w:firstLineChars="200" w:firstLine="640"/>
        <w:rPr>
          <w:rFonts w:ascii="方正楷体_GBK" w:eastAsia="方正楷体_GBK" w:hAnsi="Times New Roman" w:cs="Times New Roman"/>
          <w:sz w:val="32"/>
          <w:szCs w:val="32"/>
        </w:rPr>
      </w:pPr>
      <w:r>
        <w:rPr>
          <w:rFonts w:ascii="Times New Roman" w:eastAsia="方正黑体_GBK" w:hAnsi="Times New Roman" w:cs="Times New Roman"/>
          <w:sz w:val="32"/>
          <w:szCs w:val="32"/>
        </w:rPr>
        <w:t>三、强化</w:t>
      </w:r>
      <w:r w:rsidR="00465E69">
        <w:rPr>
          <w:rFonts w:ascii="Times New Roman" w:eastAsia="方正黑体_GBK" w:hAnsi="Times New Roman" w:cs="Times New Roman" w:hint="eastAsia"/>
          <w:sz w:val="32"/>
          <w:szCs w:val="32"/>
        </w:rPr>
        <w:t>机构</w:t>
      </w:r>
      <w:r>
        <w:rPr>
          <w:rFonts w:ascii="Times New Roman" w:eastAsia="方正黑体_GBK" w:hAnsi="Times New Roman" w:cs="Times New Roman"/>
          <w:sz w:val="32"/>
          <w:szCs w:val="32"/>
        </w:rPr>
        <w:t>监督管理</w:t>
      </w:r>
    </w:p>
    <w:p w:rsidR="000E7CEC" w:rsidRDefault="00C90278">
      <w:pPr>
        <w:ind w:firstLineChars="200" w:firstLine="640"/>
        <w:rPr>
          <w:rFonts w:ascii="Times New Roman" w:eastAsia="方正仿宋_GBK" w:hAnsi="Times New Roman" w:cs="Times New Roman"/>
          <w:snapToGrid w:val="0"/>
          <w:kern w:val="0"/>
          <w:sz w:val="32"/>
          <w:szCs w:val="32"/>
        </w:rPr>
      </w:pPr>
      <w:r>
        <w:rPr>
          <w:rFonts w:ascii="方正楷体_GBK" w:eastAsia="方正楷体_GBK" w:hAnsi="Times New Roman" w:cs="Times New Roman"/>
          <w:sz w:val="32"/>
          <w:szCs w:val="32"/>
        </w:rPr>
        <w:t>6</w:t>
      </w:r>
      <w:r w:rsidR="00F41823">
        <w:rPr>
          <w:rFonts w:ascii="方正楷体_GBK" w:eastAsia="方正楷体_GBK" w:hAnsi="Times New Roman" w:cs="Times New Roman"/>
          <w:sz w:val="32"/>
          <w:szCs w:val="32"/>
        </w:rPr>
        <w:t xml:space="preserve">. </w:t>
      </w:r>
      <w:r w:rsidR="00F41823">
        <w:rPr>
          <w:rFonts w:ascii="方正楷体_GBK" w:eastAsia="方正楷体_GBK" w:hAnsi="Times New Roman" w:cs="Times New Roman" w:hint="eastAsia"/>
          <w:sz w:val="32"/>
          <w:szCs w:val="32"/>
        </w:rPr>
        <w:t>严把入住对象审核关。</w:t>
      </w:r>
      <w:proofErr w:type="gramStart"/>
      <w:r w:rsidR="00F41823">
        <w:rPr>
          <w:rFonts w:ascii="Times New Roman" w:eastAsia="方正仿宋_GBK" w:hAnsi="Times New Roman" w:cs="Times New Roman" w:hint="eastAsia"/>
          <w:snapToGrid w:val="0"/>
          <w:kern w:val="0"/>
          <w:sz w:val="32"/>
          <w:szCs w:val="32"/>
        </w:rPr>
        <w:t>普惠型养老</w:t>
      </w:r>
      <w:proofErr w:type="gramEnd"/>
      <w:r w:rsidR="00F41823">
        <w:rPr>
          <w:rFonts w:ascii="Times New Roman" w:eastAsia="方正仿宋_GBK" w:hAnsi="Times New Roman" w:cs="Times New Roman" w:hint="eastAsia"/>
          <w:snapToGrid w:val="0"/>
          <w:kern w:val="0"/>
          <w:sz w:val="32"/>
          <w:szCs w:val="32"/>
        </w:rPr>
        <w:t>机构原则上应优先面向本地区经济困难的高龄、失能、空巢独居老年人，以及重点优抚对象、计划生育特殊家庭和符合规定条件为社会</w:t>
      </w:r>
      <w:proofErr w:type="gramStart"/>
      <w:r w:rsidR="00F41823">
        <w:rPr>
          <w:rFonts w:ascii="Times New Roman" w:eastAsia="方正仿宋_GBK" w:hAnsi="Times New Roman" w:cs="Times New Roman" w:hint="eastAsia"/>
          <w:snapToGrid w:val="0"/>
          <w:kern w:val="0"/>
          <w:sz w:val="32"/>
          <w:szCs w:val="32"/>
        </w:rPr>
        <w:t>作出</w:t>
      </w:r>
      <w:proofErr w:type="gramEnd"/>
      <w:r w:rsidR="00F41823">
        <w:rPr>
          <w:rFonts w:ascii="Times New Roman" w:eastAsia="方正仿宋_GBK" w:hAnsi="Times New Roman" w:cs="Times New Roman" w:hint="eastAsia"/>
          <w:snapToGrid w:val="0"/>
          <w:kern w:val="0"/>
          <w:sz w:val="32"/>
          <w:szCs w:val="32"/>
        </w:rPr>
        <w:t>重要贡献的</w:t>
      </w:r>
      <w:r w:rsidR="00E1389A">
        <w:rPr>
          <w:rFonts w:ascii="Times New Roman" w:eastAsia="方正仿宋_GBK" w:hAnsi="Times New Roman" w:cs="Times New Roman" w:hint="eastAsia"/>
          <w:snapToGrid w:val="0"/>
          <w:kern w:val="0"/>
          <w:sz w:val="32"/>
          <w:szCs w:val="32"/>
        </w:rPr>
        <w:t>老年人提供服务。在优先保障上述老年服务对象基础上床位仍有空余的，</w:t>
      </w:r>
      <w:r w:rsidR="00F41823">
        <w:rPr>
          <w:rFonts w:ascii="Times New Roman" w:eastAsia="方正仿宋_GBK" w:hAnsi="Times New Roman" w:cs="Times New Roman" w:hint="eastAsia"/>
          <w:snapToGrid w:val="0"/>
          <w:kern w:val="0"/>
          <w:sz w:val="32"/>
          <w:szCs w:val="32"/>
        </w:rPr>
        <w:t>应重点面向有入住机构需求的高龄、失能等老年人提供</w:t>
      </w:r>
      <w:r w:rsidR="0015622E">
        <w:rPr>
          <w:rFonts w:ascii="Times New Roman" w:eastAsia="方正仿宋_GBK" w:hAnsi="Times New Roman" w:cs="Times New Roman" w:hint="eastAsia"/>
          <w:snapToGrid w:val="0"/>
          <w:kern w:val="0"/>
          <w:sz w:val="32"/>
          <w:szCs w:val="32"/>
        </w:rPr>
        <w:t>长期</w:t>
      </w:r>
      <w:r w:rsidR="0059086B">
        <w:rPr>
          <w:rFonts w:ascii="Times New Roman" w:eastAsia="方正仿宋_GBK" w:hAnsi="Times New Roman" w:cs="Times New Roman" w:hint="eastAsia"/>
          <w:snapToGrid w:val="0"/>
          <w:kern w:val="0"/>
          <w:sz w:val="32"/>
          <w:szCs w:val="32"/>
        </w:rPr>
        <w:t>照护</w:t>
      </w:r>
      <w:r w:rsidR="0015622E">
        <w:rPr>
          <w:rFonts w:ascii="Times New Roman" w:eastAsia="方正仿宋_GBK" w:hAnsi="Times New Roman" w:cs="Times New Roman" w:hint="eastAsia"/>
          <w:snapToGrid w:val="0"/>
          <w:kern w:val="0"/>
          <w:sz w:val="32"/>
          <w:szCs w:val="32"/>
        </w:rPr>
        <w:t>、康复护理等</w:t>
      </w:r>
      <w:r w:rsidR="0059086B">
        <w:rPr>
          <w:rFonts w:ascii="Times New Roman" w:eastAsia="方正仿宋_GBK" w:hAnsi="Times New Roman" w:cs="Times New Roman" w:hint="eastAsia"/>
          <w:snapToGrid w:val="0"/>
          <w:kern w:val="0"/>
          <w:sz w:val="32"/>
          <w:szCs w:val="32"/>
        </w:rPr>
        <w:t>刚性</w:t>
      </w:r>
      <w:r w:rsidR="00F41823">
        <w:rPr>
          <w:rFonts w:ascii="Times New Roman" w:eastAsia="方正仿宋_GBK" w:hAnsi="Times New Roman" w:cs="Times New Roman" w:hint="eastAsia"/>
          <w:snapToGrid w:val="0"/>
          <w:kern w:val="0"/>
          <w:sz w:val="32"/>
          <w:szCs w:val="32"/>
        </w:rPr>
        <w:t>服务。各</w:t>
      </w:r>
      <w:r w:rsidR="00F41823">
        <w:rPr>
          <w:rFonts w:ascii="Times New Roman" w:eastAsia="方正仿宋_GBK" w:hAnsi="Times New Roman" w:cs="Times New Roman" w:hint="eastAsia"/>
          <w:snapToGrid w:val="0"/>
          <w:kern w:val="0"/>
          <w:sz w:val="32"/>
          <w:szCs w:val="32"/>
        </w:rPr>
        <w:lastRenderedPageBreak/>
        <w:t>地要建立健全普惠型养老机构轮候制度，推动普惠养老服务结构合理、供需适配。</w:t>
      </w:r>
    </w:p>
    <w:p w:rsidR="000E7CEC" w:rsidRDefault="00C90278">
      <w:pPr>
        <w:ind w:firstLineChars="200" w:firstLine="640"/>
        <w:rPr>
          <w:rFonts w:ascii="Times New Roman" w:eastAsia="方正仿宋_GBK" w:hAnsi="Times New Roman" w:cs="Times New Roman"/>
          <w:snapToGrid w:val="0"/>
          <w:kern w:val="0"/>
          <w:sz w:val="32"/>
          <w:szCs w:val="32"/>
        </w:rPr>
      </w:pPr>
      <w:r>
        <w:rPr>
          <w:rFonts w:ascii="方正楷体_GBK" w:eastAsia="方正楷体_GBK" w:hAnsi="Times New Roman" w:cs="Times New Roman"/>
          <w:sz w:val="32"/>
          <w:szCs w:val="32"/>
        </w:rPr>
        <w:t>7</w:t>
      </w:r>
      <w:r w:rsidR="00F41823">
        <w:rPr>
          <w:rFonts w:ascii="方正楷体_GBK" w:eastAsia="方正楷体_GBK" w:hAnsi="Times New Roman" w:cs="Times New Roman"/>
          <w:sz w:val="32"/>
          <w:szCs w:val="32"/>
        </w:rPr>
        <w:t xml:space="preserve">. </w:t>
      </w:r>
      <w:r w:rsidR="00F41823">
        <w:rPr>
          <w:rFonts w:ascii="方正楷体_GBK" w:eastAsia="方正楷体_GBK" w:hAnsi="Times New Roman" w:cs="Times New Roman" w:hint="eastAsia"/>
          <w:sz w:val="32"/>
          <w:szCs w:val="32"/>
        </w:rPr>
        <w:t>优化准入退出规则。</w:t>
      </w:r>
      <w:r w:rsidR="00F41823">
        <w:rPr>
          <w:rFonts w:ascii="Times New Roman" w:eastAsia="方正仿宋_GBK" w:hAnsi="Times New Roman" w:cs="Times New Roman" w:hint="eastAsia"/>
          <w:snapToGrid w:val="0"/>
          <w:kern w:val="0"/>
          <w:sz w:val="32"/>
          <w:szCs w:val="32"/>
        </w:rPr>
        <w:t>加强准入审核筛选，签约认定的普惠养老机构应具备硬件设施合格、服务质量好、收费价格适中、群众认可度高等条件。参与普惠签约的养老机构，原则上应达到三级及以上标准，保障普惠养老机构运营管理质效。各地可通过政府购买第三</w:t>
      </w:r>
      <w:proofErr w:type="gramStart"/>
      <w:r w:rsidR="00F41823">
        <w:rPr>
          <w:rFonts w:ascii="Times New Roman" w:eastAsia="方正仿宋_GBK" w:hAnsi="Times New Roman" w:cs="Times New Roman" w:hint="eastAsia"/>
          <w:snapToGrid w:val="0"/>
          <w:kern w:val="0"/>
          <w:sz w:val="32"/>
          <w:szCs w:val="32"/>
        </w:rPr>
        <w:t>方服务</w:t>
      </w:r>
      <w:proofErr w:type="gramEnd"/>
      <w:r w:rsidR="00F41823">
        <w:rPr>
          <w:rFonts w:ascii="Times New Roman" w:eastAsia="方正仿宋_GBK" w:hAnsi="Times New Roman" w:cs="Times New Roman" w:hint="eastAsia"/>
          <w:snapToGrid w:val="0"/>
          <w:kern w:val="0"/>
          <w:sz w:val="32"/>
          <w:szCs w:val="32"/>
        </w:rPr>
        <w:t>等方式，</w:t>
      </w:r>
      <w:r w:rsidR="0015622E">
        <w:rPr>
          <w:rFonts w:ascii="Times New Roman" w:eastAsia="方正仿宋_GBK" w:hAnsi="Times New Roman" w:cs="Times New Roman" w:hint="eastAsia"/>
          <w:snapToGrid w:val="0"/>
          <w:kern w:val="0"/>
          <w:sz w:val="32"/>
          <w:szCs w:val="32"/>
        </w:rPr>
        <w:t>协同落实</w:t>
      </w:r>
      <w:r w:rsidR="00F41823">
        <w:rPr>
          <w:rFonts w:ascii="Times New Roman" w:eastAsia="方正仿宋_GBK" w:hAnsi="Times New Roman" w:cs="Times New Roman" w:hint="eastAsia"/>
          <w:snapToGrid w:val="0"/>
          <w:kern w:val="0"/>
          <w:sz w:val="32"/>
          <w:szCs w:val="32"/>
        </w:rPr>
        <w:t>养老机构等级评定、安全质量检查、普惠养老机构认定等事项。各地要规范事中事后监管，建立普惠养老机构收费信息监测和信用记录制度，对严重违反签约协议、造成不良影响的，依法实施重点关注、警告处罚、取消资格等惩戒措施。</w:t>
      </w:r>
    </w:p>
    <w:p w:rsidR="000E7CEC" w:rsidRDefault="00F41823">
      <w:pPr>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四、完善</w:t>
      </w:r>
      <w:r w:rsidR="00C90278">
        <w:rPr>
          <w:rFonts w:ascii="Times New Roman" w:eastAsia="方正黑体_GBK" w:hAnsi="Times New Roman" w:cs="Times New Roman" w:hint="eastAsia"/>
          <w:sz w:val="32"/>
          <w:szCs w:val="32"/>
        </w:rPr>
        <w:t>保障</w:t>
      </w:r>
      <w:r w:rsidR="00465E69">
        <w:rPr>
          <w:rFonts w:ascii="Times New Roman" w:eastAsia="方正黑体_GBK" w:hAnsi="Times New Roman" w:cs="Times New Roman" w:hint="eastAsia"/>
          <w:sz w:val="32"/>
          <w:szCs w:val="32"/>
        </w:rPr>
        <w:t>支持</w:t>
      </w:r>
      <w:r w:rsidR="00C90278">
        <w:rPr>
          <w:rFonts w:ascii="Times New Roman" w:eastAsia="方正黑体_GBK" w:hAnsi="Times New Roman" w:cs="Times New Roman" w:hint="eastAsia"/>
          <w:sz w:val="32"/>
          <w:szCs w:val="32"/>
        </w:rPr>
        <w:t>措施</w:t>
      </w:r>
    </w:p>
    <w:p w:rsidR="00190D3F" w:rsidRDefault="00C90278" w:rsidP="00190D3F">
      <w:pPr>
        <w:ind w:firstLineChars="200" w:firstLine="640"/>
        <w:rPr>
          <w:rFonts w:ascii="Times New Roman" w:eastAsia="方正仿宋_GBK" w:hAnsi="Times New Roman" w:cs="Times New Roman"/>
          <w:snapToGrid w:val="0"/>
          <w:kern w:val="0"/>
          <w:sz w:val="32"/>
          <w:szCs w:val="32"/>
        </w:rPr>
      </w:pPr>
      <w:r>
        <w:rPr>
          <w:rFonts w:ascii="方正楷体_GBK" w:eastAsia="方正楷体_GBK" w:hAnsi="Times New Roman" w:cs="Times New Roman" w:hint="eastAsia"/>
          <w:sz w:val="32"/>
          <w:szCs w:val="32"/>
        </w:rPr>
        <w:t>8</w:t>
      </w:r>
      <w:r>
        <w:rPr>
          <w:rFonts w:ascii="方正楷体_GBK" w:eastAsia="方正楷体_GBK" w:hAnsi="Times New Roman" w:cs="Times New Roman"/>
          <w:sz w:val="32"/>
          <w:szCs w:val="32"/>
        </w:rPr>
        <w:t xml:space="preserve">. </w:t>
      </w:r>
      <w:r>
        <w:rPr>
          <w:rFonts w:ascii="方正楷体_GBK" w:eastAsia="方正楷体_GBK" w:hAnsi="Times New Roman" w:cs="Times New Roman" w:hint="eastAsia"/>
          <w:sz w:val="32"/>
          <w:szCs w:val="32"/>
        </w:rPr>
        <w:t>加强组织领导。</w:t>
      </w:r>
      <w:r w:rsidR="003A2F7E" w:rsidRPr="00190D3F">
        <w:rPr>
          <w:rFonts w:ascii="Times New Roman" w:eastAsia="方正仿宋_GBK" w:hAnsi="Times New Roman" w:cs="Times New Roman" w:hint="eastAsia"/>
          <w:snapToGrid w:val="0"/>
          <w:kern w:val="0"/>
          <w:sz w:val="32"/>
          <w:szCs w:val="32"/>
        </w:rPr>
        <w:t>省级将发展普惠</w:t>
      </w:r>
      <w:r w:rsidR="00190D3F" w:rsidRPr="00190D3F">
        <w:rPr>
          <w:rFonts w:ascii="Times New Roman" w:eastAsia="方正仿宋_GBK" w:hAnsi="Times New Roman" w:cs="Times New Roman" w:hint="eastAsia"/>
          <w:snapToGrid w:val="0"/>
          <w:kern w:val="0"/>
          <w:sz w:val="32"/>
          <w:szCs w:val="32"/>
        </w:rPr>
        <w:t>养老机构纳入养老服务重点工作</w:t>
      </w:r>
      <w:r w:rsidR="00190D3F">
        <w:rPr>
          <w:rFonts w:ascii="Times New Roman" w:eastAsia="方正仿宋_GBK" w:hAnsi="Times New Roman" w:cs="Times New Roman" w:hint="eastAsia"/>
          <w:snapToGrid w:val="0"/>
          <w:kern w:val="0"/>
          <w:sz w:val="32"/>
          <w:szCs w:val="32"/>
        </w:rPr>
        <w:t>、纳入基本养老服务体系建设内容，完善相应制度、法规、政策设计。</w:t>
      </w:r>
      <w:r w:rsidR="00E3649A" w:rsidRPr="00E3649A">
        <w:rPr>
          <w:rFonts w:ascii="Times New Roman" w:eastAsia="方正仿宋_GBK" w:hAnsi="Times New Roman" w:cs="Times New Roman" w:hint="eastAsia"/>
          <w:snapToGrid w:val="0"/>
          <w:kern w:val="0"/>
          <w:sz w:val="32"/>
          <w:szCs w:val="32"/>
        </w:rPr>
        <w:t>各地要</w:t>
      </w:r>
      <w:r w:rsidR="003A2F7E">
        <w:rPr>
          <w:rFonts w:ascii="Times New Roman" w:eastAsia="方正仿宋_GBK" w:hAnsi="Times New Roman" w:cs="Times New Roman" w:hint="eastAsia"/>
          <w:snapToGrid w:val="0"/>
          <w:kern w:val="0"/>
          <w:sz w:val="32"/>
          <w:szCs w:val="32"/>
        </w:rPr>
        <w:t>站在实施积极应对人口老龄化国家战略的</w:t>
      </w:r>
      <w:r w:rsidR="00E3649A" w:rsidRPr="00E3649A">
        <w:rPr>
          <w:rFonts w:ascii="Times New Roman" w:eastAsia="方正仿宋_GBK" w:hAnsi="Times New Roman" w:cs="Times New Roman" w:hint="eastAsia"/>
          <w:snapToGrid w:val="0"/>
          <w:kern w:val="0"/>
          <w:sz w:val="32"/>
          <w:szCs w:val="32"/>
        </w:rPr>
        <w:t>高度</w:t>
      </w:r>
      <w:r w:rsidR="003A2F7E">
        <w:rPr>
          <w:rFonts w:ascii="Times New Roman" w:eastAsia="方正仿宋_GBK" w:hAnsi="Times New Roman" w:cs="Times New Roman" w:hint="eastAsia"/>
          <w:snapToGrid w:val="0"/>
          <w:kern w:val="0"/>
          <w:sz w:val="32"/>
          <w:szCs w:val="32"/>
        </w:rPr>
        <w:t>，充分认识</w:t>
      </w:r>
      <w:r w:rsidR="00E3649A" w:rsidRPr="00E3649A">
        <w:rPr>
          <w:rFonts w:ascii="Times New Roman" w:eastAsia="方正仿宋_GBK" w:hAnsi="Times New Roman" w:cs="Times New Roman" w:hint="eastAsia"/>
          <w:snapToGrid w:val="0"/>
          <w:kern w:val="0"/>
          <w:sz w:val="32"/>
          <w:szCs w:val="32"/>
        </w:rPr>
        <w:t>发展普惠养老服务的重要意义，</w:t>
      </w:r>
      <w:r w:rsidR="003A2F7E" w:rsidRPr="003A2F7E">
        <w:rPr>
          <w:rFonts w:ascii="Times New Roman" w:eastAsia="方正仿宋_GBK" w:hAnsi="Times New Roman" w:cs="Times New Roman" w:hint="eastAsia"/>
          <w:snapToGrid w:val="0"/>
          <w:kern w:val="0"/>
          <w:sz w:val="32"/>
          <w:szCs w:val="32"/>
        </w:rPr>
        <w:t>指导有意愿且符合条件的养老机构完成签约工作</w:t>
      </w:r>
      <w:r w:rsidR="003A2F7E">
        <w:rPr>
          <w:rFonts w:ascii="Times New Roman" w:eastAsia="方正仿宋_GBK" w:hAnsi="Times New Roman" w:cs="Times New Roman" w:hint="eastAsia"/>
          <w:snapToGrid w:val="0"/>
          <w:kern w:val="0"/>
          <w:sz w:val="32"/>
          <w:szCs w:val="32"/>
        </w:rPr>
        <w:t>，为广大老年人提供价格适中、优质高效的养老服务</w:t>
      </w:r>
      <w:r w:rsidR="0059086B">
        <w:rPr>
          <w:rFonts w:ascii="Times New Roman" w:eastAsia="方正仿宋_GBK" w:hAnsi="Times New Roman" w:cs="Times New Roman" w:hint="eastAsia"/>
          <w:snapToGrid w:val="0"/>
          <w:kern w:val="0"/>
          <w:sz w:val="32"/>
          <w:szCs w:val="32"/>
        </w:rPr>
        <w:t>。</w:t>
      </w:r>
      <w:r w:rsidR="00190D3F">
        <w:rPr>
          <w:rFonts w:ascii="Times New Roman" w:eastAsia="方正仿宋_GBK" w:hAnsi="Times New Roman" w:cs="Times New Roman" w:hint="eastAsia"/>
          <w:snapToGrid w:val="0"/>
          <w:kern w:val="0"/>
          <w:sz w:val="32"/>
          <w:szCs w:val="32"/>
        </w:rPr>
        <w:t>力争今年年底前，全省普惠养老机构签约率不低于</w:t>
      </w:r>
      <w:r w:rsidR="00190D3F">
        <w:rPr>
          <w:rFonts w:ascii="Times New Roman" w:eastAsia="方正仿宋_GBK" w:hAnsi="Times New Roman" w:cs="Times New Roman" w:hint="eastAsia"/>
          <w:snapToGrid w:val="0"/>
          <w:kern w:val="0"/>
          <w:sz w:val="32"/>
          <w:szCs w:val="32"/>
        </w:rPr>
        <w:t>2</w:t>
      </w:r>
      <w:r w:rsidR="00190D3F">
        <w:rPr>
          <w:rFonts w:ascii="Times New Roman" w:eastAsia="方正仿宋_GBK" w:hAnsi="Times New Roman" w:cs="Times New Roman"/>
          <w:snapToGrid w:val="0"/>
          <w:kern w:val="0"/>
          <w:sz w:val="32"/>
          <w:szCs w:val="32"/>
        </w:rPr>
        <w:t>0%</w:t>
      </w:r>
      <w:r w:rsidR="00190D3F">
        <w:rPr>
          <w:rFonts w:ascii="Times New Roman" w:eastAsia="方正仿宋_GBK" w:hAnsi="Times New Roman" w:cs="Times New Roman" w:hint="eastAsia"/>
          <w:snapToGrid w:val="0"/>
          <w:kern w:val="0"/>
          <w:sz w:val="32"/>
          <w:szCs w:val="32"/>
        </w:rPr>
        <w:t>。</w:t>
      </w:r>
    </w:p>
    <w:p w:rsidR="000E7CEC" w:rsidRPr="00E1389A" w:rsidRDefault="00190D3F" w:rsidP="00E1389A">
      <w:pPr>
        <w:ind w:firstLineChars="200" w:firstLine="640"/>
        <w:rPr>
          <w:rFonts w:ascii="Times New Roman" w:eastAsia="方正仿宋_GBK" w:hAnsi="Times New Roman" w:cs="Times New Roman"/>
          <w:snapToGrid w:val="0"/>
          <w:kern w:val="0"/>
          <w:sz w:val="32"/>
          <w:szCs w:val="32"/>
        </w:rPr>
      </w:pPr>
      <w:r>
        <w:rPr>
          <w:rFonts w:ascii="方正楷体_GBK" w:eastAsia="方正楷体_GBK" w:hAnsi="Times New Roman" w:cs="Times New Roman"/>
          <w:sz w:val="32"/>
          <w:szCs w:val="32"/>
        </w:rPr>
        <w:t>9</w:t>
      </w:r>
      <w:r w:rsidR="00F41823">
        <w:rPr>
          <w:rFonts w:ascii="方正楷体_GBK" w:eastAsia="方正楷体_GBK" w:hAnsi="Times New Roman" w:cs="Times New Roman"/>
          <w:sz w:val="32"/>
          <w:szCs w:val="32"/>
        </w:rPr>
        <w:t xml:space="preserve">. </w:t>
      </w:r>
      <w:r w:rsidR="00C90278">
        <w:rPr>
          <w:rFonts w:ascii="方正楷体_GBK" w:eastAsia="方正楷体_GBK" w:hAnsi="Times New Roman" w:cs="Times New Roman" w:hint="eastAsia"/>
          <w:sz w:val="32"/>
          <w:szCs w:val="32"/>
        </w:rPr>
        <w:t>优化财政投入</w:t>
      </w:r>
      <w:r w:rsidR="00F41823">
        <w:rPr>
          <w:rFonts w:ascii="Times New Roman" w:eastAsia="方正仿宋_GBK" w:hAnsi="Times New Roman" w:cs="Times New Roman" w:hint="eastAsia"/>
          <w:sz w:val="32"/>
          <w:szCs w:val="32"/>
        </w:rPr>
        <w:t>。</w:t>
      </w:r>
      <w:r w:rsidR="003A2F7E">
        <w:rPr>
          <w:rFonts w:ascii="Times New Roman" w:eastAsia="方正仿宋_GBK" w:hAnsi="Times New Roman" w:cs="Times New Roman" w:hint="eastAsia"/>
          <w:snapToGrid w:val="0"/>
          <w:kern w:val="0"/>
          <w:sz w:val="32"/>
          <w:szCs w:val="32"/>
        </w:rPr>
        <w:t>省民政厅、财政厅将普惠养老机构发展指标列入省</w:t>
      </w:r>
      <w:r w:rsidR="003A2F7E" w:rsidRPr="003A2F7E">
        <w:rPr>
          <w:rFonts w:ascii="Times New Roman" w:eastAsia="方正仿宋_GBK" w:hAnsi="Times New Roman" w:cs="Times New Roman" w:hint="eastAsia"/>
          <w:snapToGrid w:val="0"/>
          <w:kern w:val="0"/>
          <w:sz w:val="32"/>
          <w:szCs w:val="32"/>
        </w:rPr>
        <w:t>社会养老服务体系建设补助资金</w:t>
      </w:r>
      <w:r w:rsidR="00E1389A" w:rsidRPr="00E1389A">
        <w:rPr>
          <w:rFonts w:ascii="Times New Roman" w:eastAsia="方正仿宋_GBK" w:hAnsi="Times New Roman" w:cs="Times New Roman" w:hint="eastAsia"/>
          <w:snapToGrid w:val="0"/>
          <w:kern w:val="0"/>
          <w:sz w:val="32"/>
          <w:szCs w:val="32"/>
        </w:rPr>
        <w:t>任务清单。各地要制定分级分类的养老机构运营补贴政策，推动养老机构</w:t>
      </w:r>
      <w:r w:rsidR="00E1389A" w:rsidRPr="00E1389A">
        <w:rPr>
          <w:rFonts w:ascii="Times New Roman" w:eastAsia="方正仿宋_GBK" w:hAnsi="Times New Roman" w:cs="Times New Roman" w:hint="eastAsia"/>
          <w:snapToGrid w:val="0"/>
          <w:kern w:val="0"/>
          <w:sz w:val="32"/>
          <w:szCs w:val="32"/>
        </w:rPr>
        <w:lastRenderedPageBreak/>
        <w:t>补贴发放精细化管理。对在认定签约期内，符合标准条件的普惠养老机构，可在基准运营补贴基础上适当上浮补贴标准，体现差异化补贴原则。对于其他服务价格水平显著高于当地市场化养老机构，可在基准运营补贴基础上适当下浮补贴标准。支持参与签约积极性高、机构数多的连锁型养老企业符合条件的在建养老服务设施申报中央预算内投资。</w:t>
      </w:r>
      <w:r w:rsidR="0015622E">
        <w:rPr>
          <w:rFonts w:ascii="Times New Roman" w:eastAsia="方正仿宋_GBK" w:hAnsi="Times New Roman" w:cs="Times New Roman" w:hint="eastAsia"/>
          <w:sz w:val="32"/>
          <w:szCs w:val="32"/>
        </w:rPr>
        <w:t>鼓励各地对品牌化、连锁化运营的普惠养老机构</w:t>
      </w:r>
      <w:proofErr w:type="gramStart"/>
      <w:r w:rsidR="0015622E">
        <w:rPr>
          <w:rFonts w:ascii="Times New Roman" w:eastAsia="方正仿宋_GBK" w:hAnsi="Times New Roman" w:cs="Times New Roman" w:hint="eastAsia"/>
          <w:sz w:val="32"/>
          <w:szCs w:val="32"/>
        </w:rPr>
        <w:t>实施</w:t>
      </w:r>
      <w:r w:rsidR="00F41823">
        <w:rPr>
          <w:rFonts w:ascii="Times New Roman" w:eastAsia="方正仿宋_GBK" w:hAnsi="Times New Roman" w:cs="Times New Roman" w:hint="eastAsia"/>
          <w:sz w:val="32"/>
          <w:szCs w:val="32"/>
        </w:rPr>
        <w:t>奖补</w:t>
      </w:r>
      <w:proofErr w:type="gramEnd"/>
      <w:r w:rsidR="00F41823">
        <w:rPr>
          <w:rFonts w:ascii="Times New Roman" w:eastAsia="方正仿宋_GBK" w:hAnsi="Times New Roman" w:cs="Times New Roman" w:hint="eastAsia"/>
          <w:sz w:val="32"/>
          <w:szCs w:val="32"/>
        </w:rPr>
        <w:t>。</w:t>
      </w:r>
    </w:p>
    <w:p w:rsidR="000E7CEC" w:rsidRDefault="00C90278" w:rsidP="006A1604">
      <w:pPr>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sz w:val="32"/>
          <w:szCs w:val="32"/>
        </w:rPr>
        <w:t>10</w:t>
      </w:r>
      <w:r w:rsidR="00F41823">
        <w:rPr>
          <w:rFonts w:ascii="方正楷体_GBK" w:eastAsia="方正楷体_GBK" w:hAnsi="Times New Roman" w:cs="Times New Roman"/>
          <w:sz w:val="32"/>
          <w:szCs w:val="32"/>
        </w:rPr>
        <w:t xml:space="preserve">. </w:t>
      </w:r>
      <w:r w:rsidR="00F41823">
        <w:rPr>
          <w:rFonts w:ascii="方正楷体_GBK" w:eastAsia="方正楷体_GBK" w:hAnsi="Times New Roman" w:cs="Times New Roman" w:hint="eastAsia"/>
          <w:sz w:val="32"/>
          <w:szCs w:val="32"/>
        </w:rPr>
        <w:t>完善</w:t>
      </w:r>
      <w:r w:rsidR="0059086B">
        <w:rPr>
          <w:rFonts w:ascii="方正楷体_GBK" w:eastAsia="方正楷体_GBK" w:hAnsi="Times New Roman" w:cs="Times New Roman" w:hint="eastAsia"/>
          <w:sz w:val="32"/>
          <w:szCs w:val="32"/>
        </w:rPr>
        <w:t>配套政策</w:t>
      </w:r>
      <w:r w:rsidR="00F41823">
        <w:rPr>
          <w:rFonts w:ascii="方正楷体_GBK" w:eastAsia="方正楷体_GBK" w:hAnsi="Times New Roman" w:cs="Times New Roman" w:hint="eastAsia"/>
          <w:sz w:val="32"/>
          <w:szCs w:val="32"/>
        </w:rPr>
        <w:t>。</w:t>
      </w:r>
      <w:r w:rsidR="00E1389A" w:rsidRPr="00E1389A">
        <w:rPr>
          <w:rFonts w:ascii="Times New Roman" w:eastAsia="方正仿宋_GBK" w:hAnsi="Times New Roman" w:cs="Times New Roman" w:hint="eastAsia"/>
          <w:sz w:val="32"/>
          <w:szCs w:val="32"/>
        </w:rPr>
        <w:t>继续实施普惠养老专项再贷款，支持完成签约的养老机构通过江苏省融资信用服务平台发布融资需求，加强普惠养老机构与商业银行的贷款需求衔接。各地要依托本级老龄工作委员会，联合相关部门进一步</w:t>
      </w:r>
      <w:proofErr w:type="gramStart"/>
      <w:r w:rsidR="00E1389A" w:rsidRPr="00E1389A">
        <w:rPr>
          <w:rFonts w:ascii="Times New Roman" w:eastAsia="方正仿宋_GBK" w:hAnsi="Times New Roman" w:cs="Times New Roman" w:hint="eastAsia"/>
          <w:sz w:val="32"/>
          <w:szCs w:val="32"/>
        </w:rPr>
        <w:t>完善普</w:t>
      </w:r>
      <w:proofErr w:type="gramEnd"/>
      <w:r w:rsidR="00E1389A" w:rsidRPr="00E1389A">
        <w:rPr>
          <w:rFonts w:ascii="Times New Roman" w:eastAsia="方正仿宋_GBK" w:hAnsi="Times New Roman" w:cs="Times New Roman" w:hint="eastAsia"/>
          <w:sz w:val="32"/>
          <w:szCs w:val="32"/>
        </w:rPr>
        <w:t>惠养老机构发展的规划、土地、设施、财税、人才等配套政策，持续推动普惠养老服务高质量发展。</w:t>
      </w:r>
    </w:p>
    <w:p w:rsidR="006A1604" w:rsidRPr="006A1604" w:rsidRDefault="006A1604" w:rsidP="006A1604">
      <w:pPr>
        <w:ind w:firstLineChars="200" w:firstLine="640"/>
        <w:rPr>
          <w:rFonts w:ascii="方正楷体_GBK" w:eastAsia="方正楷体_GBK" w:hAnsi="Times New Roman" w:cs="Times New Roman"/>
          <w:sz w:val="32"/>
          <w:szCs w:val="32"/>
        </w:rPr>
      </w:pPr>
    </w:p>
    <w:p w:rsidR="000E7CEC" w:rsidRDefault="000E7CEC">
      <w:pPr>
        <w:ind w:firstLineChars="200" w:firstLine="640"/>
        <w:rPr>
          <w:rFonts w:ascii="Times New Roman" w:eastAsia="方正仿宋_GBK" w:hAnsi="Times New Roman" w:cs="Times New Roman"/>
          <w:sz w:val="32"/>
          <w:szCs w:val="32"/>
        </w:rPr>
      </w:pPr>
    </w:p>
    <w:p w:rsidR="000E7CEC" w:rsidRDefault="000E7CEC">
      <w:pPr>
        <w:ind w:firstLineChars="200" w:firstLine="640"/>
        <w:rPr>
          <w:rFonts w:ascii="Times New Roman" w:eastAsia="方正仿宋_GBK" w:hAnsi="Times New Roman" w:cs="Times New Roman"/>
          <w:sz w:val="32"/>
          <w:szCs w:val="32"/>
        </w:rPr>
      </w:pPr>
    </w:p>
    <w:sectPr w:rsidR="000E7CEC">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4F2E" w:rsidRDefault="00034F2E">
      <w:r>
        <w:separator/>
      </w:r>
    </w:p>
  </w:endnote>
  <w:endnote w:type="continuationSeparator" w:id="0">
    <w:p w:rsidR="00034F2E" w:rsidRDefault="00034F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7379537"/>
    </w:sdtPr>
    <w:sdtEndPr/>
    <w:sdtContent>
      <w:p w:rsidR="000E7CEC" w:rsidRDefault="00F41823">
        <w:pPr>
          <w:pStyle w:val="a3"/>
          <w:jc w:val="center"/>
        </w:pPr>
        <w:r>
          <w:fldChar w:fldCharType="begin"/>
        </w:r>
        <w:r>
          <w:instrText>PAGE   \* MERGEFORMAT</w:instrText>
        </w:r>
        <w:r>
          <w:fldChar w:fldCharType="separate"/>
        </w:r>
        <w:r w:rsidR="003810F2" w:rsidRPr="003810F2">
          <w:rPr>
            <w:noProof/>
            <w:lang w:val="zh-CN"/>
          </w:rPr>
          <w:t>5</w:t>
        </w:r>
        <w:r>
          <w:fldChar w:fldCharType="end"/>
        </w:r>
      </w:p>
    </w:sdtContent>
  </w:sdt>
  <w:p w:rsidR="000E7CEC" w:rsidRDefault="000E7CEC">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4F2E" w:rsidRDefault="00034F2E">
      <w:r>
        <w:separator/>
      </w:r>
    </w:p>
  </w:footnote>
  <w:footnote w:type="continuationSeparator" w:id="0">
    <w:p w:rsidR="00034F2E" w:rsidRDefault="00034F2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U0ZDk3MDlmYzdlNzA0ZWRkMDE4ZGRiNjMzMjM4ZTAifQ=="/>
  </w:docVars>
  <w:rsids>
    <w:rsidRoot w:val="00580ADB"/>
    <w:rsid w:val="00034F2E"/>
    <w:rsid w:val="000525C3"/>
    <w:rsid w:val="00080849"/>
    <w:rsid w:val="000A29A7"/>
    <w:rsid w:val="000B1451"/>
    <w:rsid w:val="000E7CEC"/>
    <w:rsid w:val="00123481"/>
    <w:rsid w:val="0015622E"/>
    <w:rsid w:val="00190D3F"/>
    <w:rsid w:val="001F7BEC"/>
    <w:rsid w:val="002879B6"/>
    <w:rsid w:val="002B2150"/>
    <w:rsid w:val="003543D4"/>
    <w:rsid w:val="003810F2"/>
    <w:rsid w:val="003A2F7E"/>
    <w:rsid w:val="00430DB4"/>
    <w:rsid w:val="00465E69"/>
    <w:rsid w:val="00466911"/>
    <w:rsid w:val="00471D50"/>
    <w:rsid w:val="00487ACC"/>
    <w:rsid w:val="004A1A7B"/>
    <w:rsid w:val="00511CB5"/>
    <w:rsid w:val="00543626"/>
    <w:rsid w:val="00580ADB"/>
    <w:rsid w:val="00580B50"/>
    <w:rsid w:val="0059086B"/>
    <w:rsid w:val="0062578B"/>
    <w:rsid w:val="00662C79"/>
    <w:rsid w:val="00680B40"/>
    <w:rsid w:val="0068411C"/>
    <w:rsid w:val="00691B11"/>
    <w:rsid w:val="006A1604"/>
    <w:rsid w:val="006F47D4"/>
    <w:rsid w:val="00743CD6"/>
    <w:rsid w:val="00785EE2"/>
    <w:rsid w:val="007F68E4"/>
    <w:rsid w:val="007F6A55"/>
    <w:rsid w:val="008022D7"/>
    <w:rsid w:val="00821BD7"/>
    <w:rsid w:val="0087781E"/>
    <w:rsid w:val="008841C4"/>
    <w:rsid w:val="0092676F"/>
    <w:rsid w:val="009847F6"/>
    <w:rsid w:val="00A43E20"/>
    <w:rsid w:val="00A46218"/>
    <w:rsid w:val="00B36004"/>
    <w:rsid w:val="00B76ABB"/>
    <w:rsid w:val="00BA4F83"/>
    <w:rsid w:val="00BD3693"/>
    <w:rsid w:val="00C472BC"/>
    <w:rsid w:val="00C90278"/>
    <w:rsid w:val="00D2230A"/>
    <w:rsid w:val="00D603B4"/>
    <w:rsid w:val="00E1389A"/>
    <w:rsid w:val="00E167F2"/>
    <w:rsid w:val="00E217F5"/>
    <w:rsid w:val="00E31AC1"/>
    <w:rsid w:val="00E3649A"/>
    <w:rsid w:val="00E44002"/>
    <w:rsid w:val="00E81CE5"/>
    <w:rsid w:val="00EF3F6D"/>
    <w:rsid w:val="00F41823"/>
    <w:rsid w:val="00F83A95"/>
    <w:rsid w:val="00FD149B"/>
    <w:rsid w:val="1FA4445E"/>
    <w:rsid w:val="58D740C7"/>
    <w:rsid w:val="62FE3B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ABC9E39-0577-4C42-9CFA-D26F2B5C5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autoRedefine/>
    <w:uiPriority w:val="99"/>
    <w:unhideWhenUsed/>
    <w:qFormat/>
    <w:pPr>
      <w:tabs>
        <w:tab w:val="center" w:pos="4153"/>
        <w:tab w:val="right" w:pos="8306"/>
      </w:tabs>
      <w:snapToGrid w:val="0"/>
      <w:jc w:val="left"/>
    </w:pPr>
    <w:rPr>
      <w:sz w:val="18"/>
      <w:szCs w:val="18"/>
    </w:rPr>
  </w:style>
  <w:style w:type="paragraph" w:styleId="a5">
    <w:name w:val="header"/>
    <w:basedOn w:val="a"/>
    <w:link w:val="a6"/>
    <w:autoRedefine/>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autoRedefine/>
    <w:uiPriority w:val="99"/>
    <w:qFormat/>
    <w:rPr>
      <w:sz w:val="18"/>
      <w:szCs w:val="18"/>
    </w:rPr>
  </w:style>
  <w:style w:type="character" w:customStyle="1" w:styleId="a4">
    <w:name w:val="页脚 字符"/>
    <w:basedOn w:val="a0"/>
    <w:link w:val="a3"/>
    <w:autoRedefine/>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279</TotalTime>
  <Pages>5</Pages>
  <Words>364</Words>
  <Characters>2076</Characters>
  <Application>Microsoft Office Word</Application>
  <DocSecurity>0</DocSecurity>
  <Lines>17</Lines>
  <Paragraphs>4</Paragraphs>
  <ScaleCrop>false</ScaleCrop>
  <Company>HP Inc.</Company>
  <LinksUpToDate>false</LinksUpToDate>
  <CharactersWithSpaces>2436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叶翔宇</dc:creator>
  <cp:lastModifiedBy>叶翔宇</cp:lastModifiedBy>
  <cp:revision>13</cp:revision>
  <dcterms:created xsi:type="dcterms:W3CDTF">2024-06-12T08:14:00Z</dcterms:created>
  <dcterms:modified xsi:type="dcterms:W3CDTF">2024-07-10T00:35:00Z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5453F9CBBA254655ACECE44D6EB4D7CF_12</vt:lpwstr>
  </property>
</Properties>
</file>