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E1D" w:rsidRDefault="00D24E1D">
      <w:pPr>
        <w:rPr>
          <w:rFonts w:ascii="方正小标宋_GBK" w:eastAsia="方正小标宋_GBK"/>
          <w:sz w:val="44"/>
          <w:szCs w:val="44"/>
        </w:rPr>
      </w:pPr>
    </w:p>
    <w:p w:rsidR="00D24E1D" w:rsidRDefault="00D24E1D" w:rsidP="00CD17BF">
      <w:pPr>
        <w:spacing w:line="600" w:lineRule="exact"/>
        <w:ind w:leftChars="100" w:left="1530" w:hangingChars="300" w:hanging="1320"/>
        <w:rPr>
          <w:rFonts w:ascii="方正小标宋_GBK" w:eastAsia="方正小标宋_GBK"/>
          <w:sz w:val="44"/>
          <w:szCs w:val="44"/>
        </w:rPr>
      </w:pPr>
      <w:r w:rsidRPr="00D24E1D">
        <w:rPr>
          <w:rFonts w:ascii="方正小标宋_GBK" w:eastAsia="方正小标宋_GBK" w:hint="eastAsia"/>
          <w:sz w:val="44"/>
          <w:szCs w:val="44"/>
        </w:rPr>
        <w:t>《关于进一步推进普惠养老机构签约和</w:t>
      </w:r>
    </w:p>
    <w:p w:rsidR="004532F5" w:rsidRDefault="00D24E1D" w:rsidP="00CD17BF">
      <w:pPr>
        <w:spacing w:line="600" w:lineRule="exact"/>
        <w:ind w:leftChars="400" w:left="840" w:firstLineChars="100" w:firstLine="440"/>
        <w:rPr>
          <w:rFonts w:ascii="方正小标宋_GBK" w:eastAsia="方正小标宋_GBK"/>
          <w:sz w:val="44"/>
          <w:szCs w:val="44"/>
        </w:rPr>
      </w:pPr>
      <w:r w:rsidRPr="00D24E1D">
        <w:rPr>
          <w:rFonts w:ascii="方正小标宋_GBK" w:eastAsia="方正小标宋_GBK" w:hint="eastAsia"/>
          <w:sz w:val="44"/>
          <w:szCs w:val="44"/>
        </w:rPr>
        <w:t>发展工作的通知》的制定说明</w:t>
      </w:r>
    </w:p>
    <w:p w:rsidR="00D24E1D" w:rsidRDefault="00D24E1D" w:rsidP="00D24E1D">
      <w:pPr>
        <w:spacing w:line="600" w:lineRule="exact"/>
        <w:rPr>
          <w:rFonts w:ascii="方正仿宋_GBK" w:eastAsia="方正仿宋_GBK"/>
          <w:sz w:val="32"/>
          <w:szCs w:val="32"/>
        </w:rPr>
      </w:pPr>
    </w:p>
    <w:p w:rsidR="00D24E1D" w:rsidRDefault="00D24E1D" w:rsidP="00D24E1D">
      <w:pPr>
        <w:spacing w:line="600" w:lineRule="exact"/>
        <w:ind w:firstLineChars="200" w:firstLine="640"/>
        <w:rPr>
          <w:rFonts w:ascii="方正黑体_GBK" w:eastAsia="方正黑体_GBK"/>
          <w:sz w:val="32"/>
          <w:szCs w:val="32"/>
        </w:rPr>
      </w:pPr>
      <w:r w:rsidRPr="00D24E1D">
        <w:rPr>
          <w:rFonts w:ascii="方正黑体_GBK" w:eastAsia="方正黑体_GBK" w:hint="eastAsia"/>
          <w:sz w:val="32"/>
          <w:szCs w:val="32"/>
        </w:rPr>
        <w:t>一、制定背景</w:t>
      </w:r>
    </w:p>
    <w:p w:rsidR="00D24E1D" w:rsidRDefault="00D24E1D" w:rsidP="00CD17BF">
      <w:pPr>
        <w:spacing w:line="600" w:lineRule="exact"/>
        <w:ind w:firstLineChars="200" w:firstLine="640"/>
        <w:rPr>
          <w:rFonts w:ascii="Times New Roman" w:eastAsia="方正仿宋_GBK" w:hAnsi="Times New Roman" w:cs="Times New Roman"/>
          <w:snapToGrid w:val="0"/>
          <w:kern w:val="0"/>
          <w:sz w:val="32"/>
          <w:szCs w:val="32"/>
          <w:lang w:bidi="zh-TW"/>
        </w:rPr>
      </w:pPr>
      <w:r w:rsidRPr="00D24E1D">
        <w:rPr>
          <w:rFonts w:ascii="Times New Roman" w:eastAsia="方正仿宋_GBK" w:hAnsi="Times New Roman" w:cs="Times New Roman" w:hint="eastAsia"/>
          <w:snapToGrid w:val="0"/>
          <w:kern w:val="0"/>
          <w:sz w:val="32"/>
          <w:szCs w:val="32"/>
          <w:lang w:bidi="zh-TW"/>
        </w:rPr>
        <w:t>党的二十大报告提出“实施积极应对人口老龄化国家战略，发展养老事业和养老产业，优化孤寡老人服务，推动实现全体老年人享有基本养老服务”。</w:t>
      </w:r>
      <w:r>
        <w:rPr>
          <w:rFonts w:ascii="Times New Roman" w:eastAsia="方正仿宋_GBK" w:hAnsi="Times New Roman" w:cs="Times New Roman" w:hint="eastAsia"/>
          <w:snapToGrid w:val="0"/>
          <w:kern w:val="0"/>
          <w:sz w:val="32"/>
          <w:szCs w:val="32"/>
          <w:lang w:bidi="zh-TW"/>
        </w:rPr>
        <w:t>当前，我省养老机构发展形势总体较好，</w:t>
      </w:r>
      <w:r w:rsidR="00CD17BF">
        <w:rPr>
          <w:rFonts w:ascii="Times New Roman" w:eastAsia="方正仿宋_GBK" w:hAnsi="Times New Roman" w:cs="Times New Roman" w:hint="eastAsia"/>
          <w:snapToGrid w:val="0"/>
          <w:kern w:val="0"/>
          <w:sz w:val="32"/>
          <w:szCs w:val="32"/>
          <w:lang w:bidi="zh-TW"/>
        </w:rPr>
        <w:t>床位入住率日趋稳定，服务质量不断提升，运营质态持续优化。</w:t>
      </w:r>
      <w:r w:rsidR="0041326F">
        <w:rPr>
          <w:rFonts w:ascii="Times New Roman" w:eastAsia="方正仿宋_GBK" w:hAnsi="Times New Roman" w:cs="Times New Roman" w:hint="eastAsia"/>
          <w:snapToGrid w:val="0"/>
          <w:kern w:val="0"/>
          <w:sz w:val="32"/>
          <w:szCs w:val="32"/>
          <w:lang w:bidi="zh-TW"/>
        </w:rPr>
        <w:t>同时也要看到，</w:t>
      </w:r>
      <w:r w:rsidR="00CD17BF">
        <w:rPr>
          <w:rFonts w:ascii="Times New Roman" w:eastAsia="方正仿宋_GBK" w:hAnsi="Times New Roman" w:cs="Times New Roman" w:hint="eastAsia"/>
          <w:snapToGrid w:val="0"/>
          <w:kern w:val="0"/>
          <w:sz w:val="32"/>
          <w:szCs w:val="32"/>
          <w:lang w:bidi="zh-TW"/>
        </w:rPr>
        <w:t>随着</w:t>
      </w:r>
      <w:r w:rsidR="0041326F">
        <w:rPr>
          <w:rFonts w:ascii="Times New Roman" w:eastAsia="方正仿宋_GBK" w:hAnsi="Times New Roman" w:cs="Times New Roman" w:hint="eastAsia"/>
          <w:snapToGrid w:val="0"/>
          <w:kern w:val="0"/>
          <w:sz w:val="32"/>
          <w:szCs w:val="32"/>
          <w:lang w:bidi="zh-TW"/>
        </w:rPr>
        <w:t>人口老龄化形势的加速加深</w:t>
      </w:r>
      <w:r w:rsidR="00CD17BF">
        <w:rPr>
          <w:rFonts w:ascii="Times New Roman" w:eastAsia="方正仿宋_GBK" w:hAnsi="Times New Roman" w:cs="Times New Roman" w:hint="eastAsia"/>
          <w:snapToGrid w:val="0"/>
          <w:kern w:val="0"/>
          <w:sz w:val="32"/>
          <w:szCs w:val="32"/>
          <w:lang w:bidi="zh-TW"/>
        </w:rPr>
        <w:t>，迫切需要</w:t>
      </w:r>
      <w:r w:rsidR="0041326F">
        <w:rPr>
          <w:rFonts w:ascii="Times New Roman" w:eastAsia="方正仿宋_GBK" w:hAnsi="Times New Roman" w:cs="Times New Roman" w:hint="eastAsia"/>
          <w:snapToGrid w:val="0"/>
          <w:kern w:val="0"/>
          <w:sz w:val="32"/>
          <w:szCs w:val="32"/>
          <w:lang w:bidi="zh-TW"/>
        </w:rPr>
        <w:t>政府部门</w:t>
      </w:r>
      <w:r w:rsidR="00CD17BF">
        <w:rPr>
          <w:rFonts w:ascii="Times New Roman" w:eastAsia="方正仿宋_GBK" w:hAnsi="Times New Roman" w:cs="Times New Roman" w:hint="eastAsia"/>
          <w:snapToGrid w:val="0"/>
          <w:kern w:val="0"/>
          <w:sz w:val="32"/>
          <w:szCs w:val="32"/>
          <w:lang w:bidi="zh-TW"/>
        </w:rPr>
        <w:t>支持更多质量有保障、价格可承受、方便可及的普惠养老机构发展，更好满足越来越多高龄、失能、经济困难老年人入住</w:t>
      </w:r>
      <w:r w:rsidR="0041326F">
        <w:rPr>
          <w:rFonts w:ascii="Times New Roman" w:eastAsia="方正仿宋_GBK" w:hAnsi="Times New Roman" w:cs="Times New Roman" w:hint="eastAsia"/>
          <w:snapToGrid w:val="0"/>
          <w:kern w:val="0"/>
          <w:sz w:val="32"/>
          <w:szCs w:val="32"/>
          <w:lang w:bidi="zh-TW"/>
        </w:rPr>
        <w:t>养老</w:t>
      </w:r>
      <w:r w:rsidR="00CD17BF">
        <w:rPr>
          <w:rFonts w:ascii="Times New Roman" w:eastAsia="方正仿宋_GBK" w:hAnsi="Times New Roman" w:cs="Times New Roman" w:hint="eastAsia"/>
          <w:snapToGrid w:val="0"/>
          <w:kern w:val="0"/>
          <w:sz w:val="32"/>
          <w:szCs w:val="32"/>
          <w:lang w:bidi="zh-TW"/>
        </w:rPr>
        <w:t>机构的服务需求，</w:t>
      </w:r>
      <w:r w:rsidR="0041326F">
        <w:rPr>
          <w:rFonts w:ascii="Times New Roman" w:eastAsia="方正仿宋_GBK" w:hAnsi="Times New Roman" w:cs="Times New Roman" w:hint="eastAsia"/>
          <w:snapToGrid w:val="0"/>
          <w:kern w:val="0"/>
          <w:sz w:val="32"/>
          <w:szCs w:val="32"/>
          <w:lang w:bidi="zh-TW"/>
        </w:rPr>
        <w:t>以</w:t>
      </w:r>
      <w:r w:rsidR="00CD17BF">
        <w:rPr>
          <w:rFonts w:ascii="Times New Roman" w:eastAsia="方正仿宋_GBK" w:hAnsi="Times New Roman" w:cs="Times New Roman" w:hint="eastAsia"/>
          <w:snapToGrid w:val="0"/>
          <w:kern w:val="0"/>
          <w:sz w:val="32"/>
          <w:szCs w:val="32"/>
          <w:lang w:bidi="zh-TW"/>
        </w:rPr>
        <w:t>合理</w:t>
      </w:r>
      <w:r w:rsidR="0041326F">
        <w:rPr>
          <w:rFonts w:ascii="Times New Roman" w:eastAsia="方正仿宋_GBK" w:hAnsi="Times New Roman" w:cs="Times New Roman" w:hint="eastAsia"/>
          <w:snapToGrid w:val="0"/>
          <w:kern w:val="0"/>
          <w:sz w:val="32"/>
          <w:szCs w:val="32"/>
          <w:lang w:bidi="zh-TW"/>
        </w:rPr>
        <w:t>的</w:t>
      </w:r>
      <w:r w:rsidR="00CD17BF">
        <w:rPr>
          <w:rFonts w:ascii="Times New Roman" w:eastAsia="方正仿宋_GBK" w:hAnsi="Times New Roman" w:cs="Times New Roman" w:hint="eastAsia"/>
          <w:snapToGrid w:val="0"/>
          <w:kern w:val="0"/>
          <w:sz w:val="32"/>
          <w:szCs w:val="32"/>
          <w:lang w:bidi="zh-TW"/>
        </w:rPr>
        <w:t>价格获得专业、安全、放心的养老服务，提升广大老年人</w:t>
      </w:r>
      <w:r w:rsidR="0041326F">
        <w:rPr>
          <w:rFonts w:ascii="Times New Roman" w:eastAsia="方正仿宋_GBK" w:hAnsi="Times New Roman" w:cs="Times New Roman" w:hint="eastAsia"/>
          <w:snapToGrid w:val="0"/>
          <w:kern w:val="0"/>
          <w:sz w:val="32"/>
          <w:szCs w:val="32"/>
          <w:lang w:bidi="zh-TW"/>
        </w:rPr>
        <w:t>的</w:t>
      </w:r>
      <w:r w:rsidR="00CD17BF">
        <w:rPr>
          <w:rFonts w:ascii="Times New Roman" w:eastAsia="方正仿宋_GBK" w:hAnsi="Times New Roman" w:cs="Times New Roman" w:hint="eastAsia"/>
          <w:snapToGrid w:val="0"/>
          <w:kern w:val="0"/>
          <w:sz w:val="32"/>
          <w:szCs w:val="32"/>
          <w:lang w:bidi="zh-TW"/>
        </w:rPr>
        <w:t>幸福感、获得感、安全感。</w:t>
      </w:r>
      <w:r w:rsidR="0041326F">
        <w:rPr>
          <w:rFonts w:ascii="Times New Roman" w:eastAsia="方正仿宋_GBK" w:hAnsi="Times New Roman" w:cs="Times New Roman" w:hint="eastAsia"/>
          <w:snapToGrid w:val="0"/>
          <w:kern w:val="0"/>
          <w:sz w:val="32"/>
          <w:szCs w:val="32"/>
          <w:lang w:bidi="zh-TW"/>
        </w:rPr>
        <w:t>根据年度工作安排，</w:t>
      </w:r>
      <w:r w:rsidR="00CD17BF">
        <w:rPr>
          <w:rFonts w:ascii="Times New Roman" w:eastAsia="方正仿宋_GBK" w:hAnsi="Times New Roman" w:cs="Times New Roman" w:hint="eastAsia"/>
          <w:snapToGrid w:val="0"/>
          <w:kern w:val="0"/>
          <w:sz w:val="32"/>
          <w:szCs w:val="32"/>
          <w:lang w:bidi="zh-TW"/>
        </w:rPr>
        <w:t>省民政厅坚持</w:t>
      </w:r>
      <w:r w:rsidR="0041326F">
        <w:rPr>
          <w:rFonts w:ascii="Times New Roman" w:eastAsia="方正仿宋_GBK" w:hAnsi="Times New Roman" w:cs="Times New Roman" w:hint="eastAsia"/>
          <w:snapToGrid w:val="0"/>
          <w:kern w:val="0"/>
          <w:sz w:val="32"/>
          <w:szCs w:val="32"/>
          <w:lang w:bidi="zh-TW"/>
        </w:rPr>
        <w:t>问题导向、</w:t>
      </w:r>
      <w:r w:rsidR="00CD17BF">
        <w:rPr>
          <w:rFonts w:ascii="Times New Roman" w:eastAsia="方正仿宋_GBK" w:hAnsi="Times New Roman" w:cs="Times New Roman" w:hint="eastAsia"/>
          <w:snapToGrid w:val="0"/>
          <w:kern w:val="0"/>
          <w:sz w:val="32"/>
          <w:szCs w:val="32"/>
          <w:lang w:bidi="zh-TW"/>
        </w:rPr>
        <w:t>需求导向，联合省发展改革委、省财政厅起草了</w:t>
      </w:r>
      <w:r w:rsidR="00CD17BF" w:rsidRPr="00CD17BF">
        <w:rPr>
          <w:rFonts w:ascii="Times New Roman" w:eastAsia="方正仿宋_GBK" w:hAnsi="Times New Roman" w:cs="Times New Roman" w:hint="eastAsia"/>
          <w:snapToGrid w:val="0"/>
          <w:kern w:val="0"/>
          <w:sz w:val="32"/>
          <w:szCs w:val="32"/>
          <w:lang w:bidi="zh-TW"/>
        </w:rPr>
        <w:t>《关于进一步推进普惠养老机构签约和发展工作的通知》</w:t>
      </w:r>
      <w:r w:rsidR="00BF1018">
        <w:rPr>
          <w:rFonts w:ascii="Times New Roman" w:eastAsia="方正仿宋_GBK" w:hAnsi="Times New Roman" w:cs="Times New Roman" w:hint="eastAsia"/>
          <w:snapToGrid w:val="0"/>
          <w:kern w:val="0"/>
          <w:sz w:val="32"/>
          <w:szCs w:val="32"/>
          <w:lang w:bidi="zh-TW"/>
        </w:rPr>
        <w:t>（以下简称《通知》）</w:t>
      </w:r>
      <w:r w:rsidR="00CD17BF">
        <w:rPr>
          <w:rFonts w:ascii="Times New Roman" w:eastAsia="方正仿宋_GBK" w:hAnsi="Times New Roman" w:cs="Times New Roman" w:hint="eastAsia"/>
          <w:snapToGrid w:val="0"/>
          <w:kern w:val="0"/>
          <w:sz w:val="32"/>
          <w:szCs w:val="32"/>
          <w:lang w:bidi="zh-TW"/>
        </w:rPr>
        <w:t>，</w:t>
      </w:r>
      <w:r w:rsidR="0041326F">
        <w:rPr>
          <w:rFonts w:ascii="Times New Roman" w:eastAsia="方正仿宋_GBK" w:hAnsi="Times New Roman" w:cs="Times New Roman" w:hint="eastAsia"/>
          <w:snapToGrid w:val="0"/>
          <w:kern w:val="0"/>
          <w:sz w:val="32"/>
          <w:szCs w:val="32"/>
          <w:lang w:bidi="zh-TW"/>
        </w:rPr>
        <w:t>着力</w:t>
      </w:r>
      <w:r w:rsidR="00CD17BF">
        <w:rPr>
          <w:rFonts w:ascii="Times New Roman" w:eastAsia="方正仿宋_GBK" w:hAnsi="Times New Roman" w:cs="Times New Roman" w:hint="eastAsia"/>
          <w:snapToGrid w:val="0"/>
          <w:kern w:val="0"/>
          <w:sz w:val="32"/>
          <w:szCs w:val="32"/>
          <w:lang w:bidi="zh-TW"/>
        </w:rPr>
        <w:t>为</w:t>
      </w:r>
      <w:r w:rsidR="00911B8B">
        <w:rPr>
          <w:rFonts w:ascii="Times New Roman" w:eastAsia="方正仿宋_GBK" w:hAnsi="Times New Roman" w:cs="Times New Roman" w:hint="eastAsia"/>
          <w:snapToGrid w:val="0"/>
          <w:kern w:val="0"/>
          <w:sz w:val="32"/>
          <w:szCs w:val="32"/>
          <w:lang w:bidi="zh-TW"/>
        </w:rPr>
        <w:t>进一步</w:t>
      </w:r>
      <w:r w:rsidR="00CD17BF">
        <w:rPr>
          <w:rFonts w:ascii="Times New Roman" w:eastAsia="方正仿宋_GBK" w:hAnsi="Times New Roman" w:cs="Times New Roman" w:hint="eastAsia"/>
          <w:snapToGrid w:val="0"/>
          <w:kern w:val="0"/>
          <w:sz w:val="32"/>
          <w:szCs w:val="32"/>
          <w:lang w:bidi="zh-TW"/>
        </w:rPr>
        <w:t>加强普惠养老机构建设</w:t>
      </w:r>
      <w:r w:rsidR="0041326F">
        <w:rPr>
          <w:rFonts w:ascii="Times New Roman" w:eastAsia="方正仿宋_GBK" w:hAnsi="Times New Roman" w:cs="Times New Roman" w:hint="eastAsia"/>
          <w:snapToGrid w:val="0"/>
          <w:kern w:val="0"/>
          <w:sz w:val="32"/>
          <w:szCs w:val="32"/>
          <w:lang w:bidi="zh-TW"/>
        </w:rPr>
        <w:t>发展</w:t>
      </w:r>
      <w:r w:rsidR="00CD17BF">
        <w:rPr>
          <w:rFonts w:ascii="Times New Roman" w:eastAsia="方正仿宋_GBK" w:hAnsi="Times New Roman" w:cs="Times New Roman" w:hint="eastAsia"/>
          <w:snapToGrid w:val="0"/>
          <w:kern w:val="0"/>
          <w:sz w:val="32"/>
          <w:szCs w:val="32"/>
          <w:lang w:bidi="zh-TW"/>
        </w:rPr>
        <w:t>提供制度基础和政策保障。</w:t>
      </w:r>
    </w:p>
    <w:p w:rsidR="00CD17BF" w:rsidRPr="00CD17BF" w:rsidRDefault="00CD17BF" w:rsidP="00CD17BF">
      <w:pPr>
        <w:spacing w:line="600" w:lineRule="exact"/>
        <w:ind w:firstLineChars="200" w:firstLine="640"/>
        <w:rPr>
          <w:rFonts w:ascii="方正黑体_GBK" w:eastAsia="方正黑体_GBK"/>
          <w:sz w:val="32"/>
          <w:szCs w:val="32"/>
        </w:rPr>
      </w:pPr>
      <w:r w:rsidRPr="00CD17BF">
        <w:rPr>
          <w:rFonts w:ascii="方正黑体_GBK" w:eastAsia="方正黑体_GBK" w:hint="eastAsia"/>
          <w:sz w:val="32"/>
          <w:szCs w:val="32"/>
        </w:rPr>
        <w:t>二、主要内容</w:t>
      </w:r>
    </w:p>
    <w:p w:rsidR="00911B8B" w:rsidRPr="00911B8B" w:rsidRDefault="00BF1018" w:rsidP="00911B8B">
      <w:pPr>
        <w:spacing w:line="600" w:lineRule="exact"/>
        <w:ind w:firstLineChars="200" w:firstLine="640"/>
        <w:rPr>
          <w:rFonts w:ascii="Times New Roman" w:eastAsia="方正仿宋_GBK" w:hAnsi="Times New Roman" w:cs="Times New Roman"/>
          <w:snapToGrid w:val="0"/>
          <w:kern w:val="0"/>
          <w:sz w:val="32"/>
          <w:szCs w:val="32"/>
          <w:lang w:bidi="zh-TW"/>
        </w:rPr>
      </w:pPr>
      <w:r>
        <w:rPr>
          <w:rFonts w:ascii="Times New Roman" w:eastAsia="方正仿宋_GBK" w:hAnsi="Times New Roman" w:cs="Times New Roman" w:hint="eastAsia"/>
          <w:snapToGrid w:val="0"/>
          <w:kern w:val="0"/>
          <w:sz w:val="32"/>
          <w:szCs w:val="32"/>
          <w:lang w:bidi="zh-TW"/>
        </w:rPr>
        <w:t>《通知》主要包括四项措施，十项内容。</w:t>
      </w:r>
      <w:r w:rsidRPr="00E05902">
        <w:rPr>
          <w:rFonts w:ascii="黑体" w:eastAsia="黑体" w:hAnsi="黑体" w:cs="Times New Roman" w:hint="eastAsia"/>
          <w:snapToGrid w:val="0"/>
          <w:kern w:val="0"/>
          <w:sz w:val="32"/>
          <w:szCs w:val="32"/>
          <w:lang w:bidi="zh-TW"/>
        </w:rPr>
        <w:t>一是规范合作签约事项。</w:t>
      </w:r>
      <w:r w:rsidRPr="00BF1018">
        <w:rPr>
          <w:rFonts w:ascii="Times New Roman" w:eastAsia="方正仿宋_GBK" w:hAnsi="Times New Roman" w:cs="Times New Roman" w:hint="eastAsia"/>
          <w:snapToGrid w:val="0"/>
          <w:kern w:val="0"/>
          <w:sz w:val="32"/>
          <w:szCs w:val="32"/>
          <w:lang w:bidi="zh-TW"/>
        </w:rPr>
        <w:t>登记性质为社会服务机构（民办非企业单位）的</w:t>
      </w:r>
      <w:r w:rsidRPr="00BF1018">
        <w:rPr>
          <w:rFonts w:ascii="Times New Roman" w:eastAsia="方正仿宋_GBK" w:hAnsi="Times New Roman" w:cs="Times New Roman" w:hint="eastAsia"/>
          <w:snapToGrid w:val="0"/>
          <w:kern w:val="0"/>
          <w:sz w:val="32"/>
          <w:szCs w:val="32"/>
          <w:lang w:bidi="zh-TW"/>
        </w:rPr>
        <w:lastRenderedPageBreak/>
        <w:t>养老机构以及登记为营利性市场主体的养老机构，均可申请签约普惠养老机构。公办和公建民营养老机构不纳入普惠养老机构签约与管理范围。</w:t>
      </w:r>
      <w:r>
        <w:rPr>
          <w:rFonts w:ascii="Times New Roman" w:eastAsia="方正仿宋_GBK" w:hAnsi="Times New Roman" w:cs="Times New Roman" w:hint="eastAsia"/>
          <w:snapToGrid w:val="0"/>
          <w:kern w:val="0"/>
          <w:sz w:val="32"/>
          <w:szCs w:val="32"/>
          <w:lang w:bidi="zh-TW"/>
        </w:rPr>
        <w:t>签约</w:t>
      </w:r>
      <w:r w:rsidRPr="00BF1018">
        <w:rPr>
          <w:rFonts w:ascii="Times New Roman" w:eastAsia="方正仿宋_GBK" w:hAnsi="Times New Roman" w:cs="Times New Roman" w:hint="eastAsia"/>
          <w:snapToGrid w:val="0"/>
          <w:kern w:val="0"/>
          <w:sz w:val="32"/>
          <w:szCs w:val="32"/>
          <w:lang w:bidi="zh-TW"/>
        </w:rPr>
        <w:t>协议应包括签约双方基本情况、合作目标、合作期限、项目情况、签约双方权利义务，以及协议变更终止、违约责任、退出机制等约定事项。签约期限原则上不少于</w:t>
      </w:r>
      <w:r w:rsidRPr="00BF1018">
        <w:rPr>
          <w:rFonts w:ascii="Times New Roman" w:eastAsia="方正仿宋_GBK" w:hAnsi="Times New Roman" w:cs="Times New Roman"/>
          <w:snapToGrid w:val="0"/>
          <w:kern w:val="0"/>
          <w:sz w:val="32"/>
          <w:szCs w:val="32"/>
          <w:lang w:bidi="zh-TW"/>
        </w:rPr>
        <w:t>3</w:t>
      </w:r>
      <w:r w:rsidRPr="00BF1018">
        <w:rPr>
          <w:rFonts w:ascii="Times New Roman" w:eastAsia="方正仿宋_GBK" w:hAnsi="Times New Roman" w:cs="Times New Roman"/>
          <w:snapToGrid w:val="0"/>
          <w:kern w:val="0"/>
          <w:sz w:val="32"/>
          <w:szCs w:val="32"/>
          <w:lang w:bidi="zh-TW"/>
        </w:rPr>
        <w:t>年。</w:t>
      </w:r>
      <w:r w:rsidRPr="00E05902">
        <w:rPr>
          <w:rFonts w:ascii="黑体" w:eastAsia="黑体" w:hAnsi="黑体" w:cs="Times New Roman" w:hint="eastAsia"/>
          <w:snapToGrid w:val="0"/>
          <w:kern w:val="0"/>
          <w:sz w:val="32"/>
          <w:szCs w:val="32"/>
          <w:lang w:bidi="zh-TW"/>
        </w:rPr>
        <w:t>二是健全价格形成机制。</w:t>
      </w:r>
      <w:r>
        <w:rPr>
          <w:rFonts w:ascii="Times New Roman" w:eastAsia="方正仿宋_GBK" w:hAnsi="Times New Roman" w:cs="Times New Roman" w:hint="eastAsia"/>
          <w:snapToGrid w:val="0"/>
          <w:kern w:val="0"/>
          <w:sz w:val="32"/>
          <w:szCs w:val="32"/>
          <w:lang w:bidi="zh-TW"/>
        </w:rPr>
        <w:t>明确养老服务价格包括床位、护理、伙食、代办服务和特需服务价格，</w:t>
      </w:r>
      <w:r w:rsidRPr="00BF1018">
        <w:rPr>
          <w:rFonts w:ascii="Times New Roman" w:eastAsia="方正仿宋_GBK" w:hAnsi="Times New Roman" w:cs="Times New Roman" w:hint="eastAsia"/>
          <w:snapToGrid w:val="0"/>
          <w:kern w:val="0"/>
          <w:sz w:val="32"/>
          <w:szCs w:val="32"/>
          <w:lang w:bidi="zh-TW"/>
        </w:rPr>
        <w:t>普惠养老服务价格包括床位、基本护理服务价格。普惠养老服务具体项目内容及质量标准，由设区市、县（市、区）民政部门会同发展改革部门制定。</w:t>
      </w:r>
      <w:r>
        <w:rPr>
          <w:rFonts w:ascii="Times New Roman" w:eastAsia="方正仿宋_GBK" w:hAnsi="Times New Roman" w:cs="Times New Roman" w:hint="eastAsia"/>
          <w:snapToGrid w:val="0"/>
          <w:kern w:val="0"/>
          <w:sz w:val="32"/>
          <w:szCs w:val="32"/>
          <w:lang w:bidi="zh-TW"/>
        </w:rPr>
        <w:t>要求各地</w:t>
      </w:r>
      <w:r w:rsidRPr="00BF1018">
        <w:rPr>
          <w:rFonts w:ascii="Times New Roman" w:eastAsia="方正仿宋_GBK" w:hAnsi="Times New Roman" w:cs="Times New Roman" w:hint="eastAsia"/>
          <w:snapToGrid w:val="0"/>
          <w:kern w:val="0"/>
          <w:sz w:val="32"/>
          <w:szCs w:val="32"/>
          <w:lang w:bidi="zh-TW"/>
        </w:rPr>
        <w:t>综合考虑地方经济社会发展水平、人均可支配收入、政策扶持投入、养老服务实际需求、消费者可承受能力、举办者合理利润等因素，确保价格运行在合理区间范围。</w:t>
      </w:r>
      <w:r w:rsidRPr="00E05902">
        <w:rPr>
          <w:rFonts w:ascii="黑体" w:eastAsia="黑体" w:hAnsi="黑体" w:cs="Times New Roman" w:hint="eastAsia"/>
          <w:snapToGrid w:val="0"/>
          <w:kern w:val="0"/>
          <w:sz w:val="32"/>
          <w:szCs w:val="32"/>
          <w:lang w:bidi="zh-TW"/>
        </w:rPr>
        <w:t>三是强化机构监督管理。</w:t>
      </w:r>
      <w:r w:rsidRPr="00BF1018">
        <w:rPr>
          <w:rFonts w:ascii="Times New Roman" w:eastAsia="方正仿宋_GBK" w:hAnsi="Times New Roman" w:cs="Times New Roman" w:hint="eastAsia"/>
          <w:snapToGrid w:val="0"/>
          <w:kern w:val="0"/>
          <w:sz w:val="32"/>
          <w:szCs w:val="32"/>
          <w:lang w:bidi="zh-TW"/>
        </w:rPr>
        <w:t>普惠养老机构原则上应优先面向本地区经济困难的高龄、失能、空巢独居老年人，以及重点优抚对象、计划生育特殊家庭和符合规定条件为社会作出重要贡献的老年人提供服务。在优先保障上述老年服务对象基础上床位仍有空余的，应重点面向有入住机构需求的高龄、失能等</w:t>
      </w:r>
      <w:r w:rsidR="00AD50FE">
        <w:rPr>
          <w:rFonts w:ascii="Times New Roman" w:eastAsia="方正仿宋_GBK" w:hAnsi="Times New Roman" w:cs="Times New Roman" w:hint="eastAsia"/>
          <w:snapToGrid w:val="0"/>
          <w:kern w:val="0"/>
          <w:sz w:val="32"/>
          <w:szCs w:val="32"/>
          <w:lang w:bidi="zh-TW"/>
        </w:rPr>
        <w:t>社会</w:t>
      </w:r>
      <w:r w:rsidRPr="00BF1018">
        <w:rPr>
          <w:rFonts w:ascii="Times New Roman" w:eastAsia="方正仿宋_GBK" w:hAnsi="Times New Roman" w:cs="Times New Roman" w:hint="eastAsia"/>
          <w:snapToGrid w:val="0"/>
          <w:kern w:val="0"/>
          <w:sz w:val="32"/>
          <w:szCs w:val="32"/>
          <w:lang w:bidi="zh-TW"/>
        </w:rPr>
        <w:t>老年人提供长期照护、康复护理等刚性服务。建立普惠养老机构收费信息监测和信用记录制度，对严重违反签约协议、造成不良影响的，依法实施重点关注、警告处罚、取消资格等惩戒措施。</w:t>
      </w:r>
      <w:r w:rsidRPr="00E05902">
        <w:rPr>
          <w:rFonts w:ascii="黑体" w:eastAsia="黑体" w:hAnsi="黑体" w:cs="Times New Roman" w:hint="eastAsia"/>
          <w:snapToGrid w:val="0"/>
          <w:kern w:val="0"/>
          <w:sz w:val="32"/>
          <w:szCs w:val="32"/>
          <w:lang w:bidi="zh-TW"/>
        </w:rPr>
        <w:t>四是</w:t>
      </w:r>
      <w:r w:rsidR="00911B8B" w:rsidRPr="00E05902">
        <w:rPr>
          <w:rFonts w:ascii="黑体" w:eastAsia="黑体" w:hAnsi="黑体" w:cs="Times New Roman" w:hint="eastAsia"/>
          <w:snapToGrid w:val="0"/>
          <w:kern w:val="0"/>
          <w:sz w:val="32"/>
          <w:szCs w:val="32"/>
          <w:lang w:bidi="zh-TW"/>
        </w:rPr>
        <w:t>完善保障支持措施。</w:t>
      </w:r>
      <w:r w:rsidR="00911B8B" w:rsidRPr="00190D3F">
        <w:rPr>
          <w:rFonts w:ascii="Times New Roman" w:eastAsia="方正仿宋_GBK" w:hAnsi="Times New Roman" w:cs="Times New Roman" w:hint="eastAsia"/>
          <w:snapToGrid w:val="0"/>
          <w:kern w:val="0"/>
          <w:sz w:val="32"/>
          <w:szCs w:val="32"/>
        </w:rPr>
        <w:t>省级将发展普惠养老机构纳入养老服务重点工作</w:t>
      </w:r>
      <w:r w:rsidR="00911B8B">
        <w:rPr>
          <w:rFonts w:ascii="Times New Roman" w:eastAsia="方正仿宋_GBK" w:hAnsi="Times New Roman" w:cs="Times New Roman" w:hint="eastAsia"/>
          <w:snapToGrid w:val="0"/>
          <w:kern w:val="0"/>
          <w:sz w:val="32"/>
          <w:szCs w:val="32"/>
        </w:rPr>
        <w:t>、纳入基本养老服务体系建设内容，完善相应制度、法</w:t>
      </w:r>
      <w:r w:rsidR="00911B8B">
        <w:rPr>
          <w:rFonts w:ascii="Times New Roman" w:eastAsia="方正仿宋_GBK" w:hAnsi="Times New Roman" w:cs="Times New Roman" w:hint="eastAsia"/>
          <w:snapToGrid w:val="0"/>
          <w:kern w:val="0"/>
          <w:sz w:val="32"/>
          <w:szCs w:val="32"/>
        </w:rPr>
        <w:lastRenderedPageBreak/>
        <w:t>规、政策设计。</w:t>
      </w:r>
      <w:r w:rsidR="00911B8B" w:rsidRPr="00E1389A">
        <w:rPr>
          <w:rFonts w:ascii="Times New Roman" w:eastAsia="方正仿宋_GBK" w:hAnsi="Times New Roman" w:cs="Times New Roman" w:hint="eastAsia"/>
          <w:snapToGrid w:val="0"/>
          <w:kern w:val="0"/>
          <w:sz w:val="32"/>
          <w:szCs w:val="32"/>
        </w:rPr>
        <w:t>对在认定签约期内，符合标准条件的普惠养老机构，可在基准运营补贴基础上适当上浮补贴标准，体现差异化补贴原则。对于其他服务价格水平显著高于当地市场化</w:t>
      </w:r>
      <w:r w:rsidR="00AD50FE">
        <w:rPr>
          <w:rFonts w:ascii="Times New Roman" w:eastAsia="方正仿宋_GBK" w:hAnsi="Times New Roman" w:cs="Times New Roman" w:hint="eastAsia"/>
          <w:snapToGrid w:val="0"/>
          <w:kern w:val="0"/>
          <w:sz w:val="32"/>
          <w:szCs w:val="32"/>
        </w:rPr>
        <w:t>的</w:t>
      </w:r>
      <w:r w:rsidR="00911B8B" w:rsidRPr="00E1389A">
        <w:rPr>
          <w:rFonts w:ascii="Times New Roman" w:eastAsia="方正仿宋_GBK" w:hAnsi="Times New Roman" w:cs="Times New Roman" w:hint="eastAsia"/>
          <w:snapToGrid w:val="0"/>
          <w:kern w:val="0"/>
          <w:sz w:val="32"/>
          <w:szCs w:val="32"/>
        </w:rPr>
        <w:t>养老机构，可在基准运营补贴基础上适当下浮补贴标准。</w:t>
      </w:r>
      <w:r w:rsidR="00911B8B">
        <w:rPr>
          <w:rFonts w:ascii="Times New Roman" w:eastAsia="方正仿宋_GBK" w:hAnsi="Times New Roman" w:cs="Times New Roman" w:hint="eastAsia"/>
          <w:sz w:val="32"/>
          <w:szCs w:val="32"/>
        </w:rPr>
        <w:t>各地</w:t>
      </w:r>
      <w:r w:rsidR="00911B8B" w:rsidRPr="00E1389A">
        <w:rPr>
          <w:rFonts w:ascii="Times New Roman" w:eastAsia="方正仿宋_GBK" w:hAnsi="Times New Roman" w:cs="Times New Roman" w:hint="eastAsia"/>
          <w:sz w:val="32"/>
          <w:szCs w:val="32"/>
        </w:rPr>
        <w:t>依托本级老龄工作</w:t>
      </w:r>
      <w:r w:rsidR="00AD50FE">
        <w:rPr>
          <w:rFonts w:ascii="Times New Roman" w:eastAsia="方正仿宋_GBK" w:hAnsi="Times New Roman" w:cs="Times New Roman" w:hint="eastAsia"/>
          <w:sz w:val="32"/>
          <w:szCs w:val="32"/>
        </w:rPr>
        <w:t>协调议事机构</w:t>
      </w:r>
      <w:r w:rsidR="00911B8B" w:rsidRPr="00E1389A">
        <w:rPr>
          <w:rFonts w:ascii="Times New Roman" w:eastAsia="方正仿宋_GBK" w:hAnsi="Times New Roman" w:cs="Times New Roman" w:hint="eastAsia"/>
          <w:sz w:val="32"/>
          <w:szCs w:val="32"/>
        </w:rPr>
        <w:t>，联合相关部门进一步完善普惠养老机构发展的规划、土地、设施、财税、人才等配套政策，持续推动普惠养老服务高质量发展。</w:t>
      </w:r>
    </w:p>
    <w:p w:rsidR="00911B8B" w:rsidRPr="006A1604" w:rsidRDefault="00911B8B" w:rsidP="00911B8B">
      <w:pPr>
        <w:ind w:firstLineChars="200" w:firstLine="640"/>
        <w:rPr>
          <w:rFonts w:ascii="方正楷体_GBK" w:eastAsia="方正楷体_GBK" w:hAnsi="Times New Roman" w:cs="Times New Roman"/>
          <w:sz w:val="32"/>
          <w:szCs w:val="32"/>
        </w:rPr>
      </w:pPr>
    </w:p>
    <w:p w:rsidR="00911B8B" w:rsidRPr="00911B8B" w:rsidRDefault="00911B8B" w:rsidP="00BF1018">
      <w:pPr>
        <w:spacing w:line="600" w:lineRule="exact"/>
        <w:ind w:firstLineChars="200" w:firstLine="640"/>
        <w:rPr>
          <w:rFonts w:ascii="Times New Roman" w:eastAsia="方正仿宋_GBK" w:hAnsi="Times New Roman" w:cs="Times New Roman"/>
          <w:snapToGrid w:val="0"/>
          <w:kern w:val="0"/>
          <w:sz w:val="32"/>
          <w:szCs w:val="32"/>
          <w:lang w:bidi="zh-TW"/>
        </w:rPr>
      </w:pPr>
      <w:bookmarkStart w:id="0" w:name="_GoBack"/>
      <w:bookmarkEnd w:id="0"/>
    </w:p>
    <w:sectPr w:rsidR="00911B8B" w:rsidRPr="00911B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59D" w:rsidRDefault="0031059D" w:rsidP="00D24E1D">
      <w:r>
        <w:separator/>
      </w:r>
    </w:p>
  </w:endnote>
  <w:endnote w:type="continuationSeparator" w:id="0">
    <w:p w:rsidR="0031059D" w:rsidRDefault="0031059D" w:rsidP="00D2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59D" w:rsidRDefault="0031059D" w:rsidP="00D24E1D">
      <w:r>
        <w:separator/>
      </w:r>
    </w:p>
  </w:footnote>
  <w:footnote w:type="continuationSeparator" w:id="0">
    <w:p w:rsidR="0031059D" w:rsidRDefault="0031059D" w:rsidP="00D24E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48F"/>
    <w:rsid w:val="0031059D"/>
    <w:rsid w:val="0041326F"/>
    <w:rsid w:val="004532F5"/>
    <w:rsid w:val="006C7E2B"/>
    <w:rsid w:val="0075748F"/>
    <w:rsid w:val="00911B8B"/>
    <w:rsid w:val="00AD50FE"/>
    <w:rsid w:val="00AE498A"/>
    <w:rsid w:val="00BF1018"/>
    <w:rsid w:val="00CD17BF"/>
    <w:rsid w:val="00D24E1D"/>
    <w:rsid w:val="00DA1E3E"/>
    <w:rsid w:val="00E05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CF381E-065B-406F-9CCC-322EA41D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4E1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24E1D"/>
    <w:rPr>
      <w:sz w:val="18"/>
      <w:szCs w:val="18"/>
    </w:rPr>
  </w:style>
  <w:style w:type="paragraph" w:styleId="a5">
    <w:name w:val="footer"/>
    <w:basedOn w:val="a"/>
    <w:link w:val="a6"/>
    <w:uiPriority w:val="99"/>
    <w:unhideWhenUsed/>
    <w:rsid w:val="00D24E1D"/>
    <w:pPr>
      <w:tabs>
        <w:tab w:val="center" w:pos="4153"/>
        <w:tab w:val="right" w:pos="8306"/>
      </w:tabs>
      <w:snapToGrid w:val="0"/>
      <w:jc w:val="left"/>
    </w:pPr>
    <w:rPr>
      <w:sz w:val="18"/>
      <w:szCs w:val="18"/>
    </w:rPr>
  </w:style>
  <w:style w:type="character" w:customStyle="1" w:styleId="a6">
    <w:name w:val="页脚 字符"/>
    <w:basedOn w:val="a0"/>
    <w:link w:val="a5"/>
    <w:uiPriority w:val="99"/>
    <w:rsid w:val="00D24E1D"/>
    <w:rPr>
      <w:sz w:val="18"/>
      <w:szCs w:val="18"/>
    </w:rPr>
  </w:style>
  <w:style w:type="paragraph" w:styleId="a7">
    <w:name w:val="Balloon Text"/>
    <w:basedOn w:val="a"/>
    <w:link w:val="a8"/>
    <w:uiPriority w:val="99"/>
    <w:semiHidden/>
    <w:unhideWhenUsed/>
    <w:rsid w:val="0041326F"/>
    <w:rPr>
      <w:sz w:val="18"/>
      <w:szCs w:val="18"/>
    </w:rPr>
  </w:style>
  <w:style w:type="character" w:customStyle="1" w:styleId="a8">
    <w:name w:val="批注框文本 字符"/>
    <w:basedOn w:val="a0"/>
    <w:link w:val="a7"/>
    <w:uiPriority w:val="99"/>
    <w:semiHidden/>
    <w:rsid w:val="004132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184</Words>
  <Characters>1049</Characters>
  <Application>Microsoft Office Word</Application>
  <DocSecurity>0</DocSecurity>
  <Lines>8</Lines>
  <Paragraphs>2</Paragraphs>
  <ScaleCrop>false</ScaleCrop>
  <Company>HP Inc.</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叶翔宇</dc:creator>
  <cp:keywords/>
  <dc:description/>
  <cp:lastModifiedBy>叶翔宇</cp:lastModifiedBy>
  <cp:revision>5</cp:revision>
  <dcterms:created xsi:type="dcterms:W3CDTF">2024-07-10T08:31:00Z</dcterms:created>
  <dcterms:modified xsi:type="dcterms:W3CDTF">2024-07-10T09:44:00Z</dcterms:modified>
</cp:coreProperties>
</file>