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jc w:val="center"/>
        <w:textAlignment w:val="auto"/>
        <w:rPr>
          <w:rFonts w:hint="eastAsia" w:ascii="方正小标宋_GBK" w:hAnsi="方正小标宋_GBK" w:eastAsia="方正小标宋_GBK" w:cs="方正小标宋_GBK"/>
          <w:color w:val="000000" w:themeColor="text1"/>
          <w:sz w:val="44"/>
          <w:szCs w:val="44"/>
          <w:shd w:val="clear" w:color="auto" w:fill="FFFFFF"/>
          <w14:textFill>
            <w14:solidFill>
              <w14:schemeClr w14:val="tx1"/>
            </w14:solidFill>
          </w14:textFill>
        </w:rPr>
      </w:pP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jc w:val="center"/>
        <w:textAlignment w:val="auto"/>
        <w:rPr>
          <w:rFonts w:hint="eastAsia" w:ascii="方正小标宋_GBK" w:hAnsi="方正小标宋_GBK" w:eastAsia="方正小标宋_GBK" w:cs="方正小标宋_GBK"/>
          <w:color w:val="000000" w:themeColor="text1"/>
          <w:sz w:val="44"/>
          <w:szCs w:val="44"/>
          <w:shd w:val="clear" w:color="auto" w:fill="FFFFFF"/>
          <w14:textFill>
            <w14:solidFill>
              <w14:schemeClr w14:val="tx1"/>
            </w14:solidFill>
          </w14:textFill>
        </w:rPr>
      </w:pP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jc w:val="center"/>
        <w:textAlignment w:val="auto"/>
        <w:rPr>
          <w:rFonts w:hint="eastAsia" w:ascii="方正小标宋_GBK" w:hAnsi="方正小标宋_GBK" w:eastAsia="方正小标宋_GBK" w:cs="方正小标宋_GBK"/>
          <w:color w:val="000000" w:themeColor="text1"/>
          <w:sz w:val="44"/>
          <w:szCs w:val="44"/>
          <w:shd w:val="clear" w:color="auto" w:fill="FFFFFF"/>
          <w14:textFill>
            <w14:solidFill>
              <w14:schemeClr w14:val="tx1"/>
            </w14:solidFill>
          </w14:textFill>
        </w:rPr>
      </w:pPr>
      <w:r>
        <w:rPr>
          <w:rFonts w:hint="eastAsia" w:ascii="方正小标宋_GBK" w:hAnsi="方正小标宋_GBK" w:eastAsia="方正小标宋_GBK" w:cs="方正小标宋_GBK"/>
          <w:color w:val="000000" w:themeColor="text1"/>
          <w:sz w:val="44"/>
          <w:szCs w:val="44"/>
          <w:shd w:val="clear" w:color="auto" w:fill="FFFFFF"/>
          <w14:textFill>
            <w14:solidFill>
              <w14:schemeClr w14:val="tx1"/>
            </w14:solidFill>
          </w14:textFill>
        </w:rPr>
        <w:t>关于进一步完善困难残疾人生活补贴和重度残疾人护理补贴制度的实施意见</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jc w:val="center"/>
        <w:textAlignment w:val="auto"/>
        <w:rPr>
          <w:rFonts w:ascii="方正小标宋_GBK" w:hAnsi="方正小标宋_GBK" w:eastAsia="方正小标宋_GBK" w:cs="方正小标宋_GBK"/>
          <w:color w:val="000000" w:themeColor="text1"/>
          <w:sz w:val="44"/>
          <w:szCs w:val="44"/>
          <w14:textFill>
            <w14:solidFill>
              <w14:schemeClr w14:val="tx1"/>
            </w14:solidFill>
          </w14:textFill>
        </w:rPr>
      </w:pPr>
      <w:r>
        <w:rPr>
          <w:rFonts w:hint="eastAsia" w:ascii="方正小标宋_GBK" w:hAnsi="方正小标宋_GBK" w:eastAsia="方正小标宋_GBK" w:cs="方正小标宋_GBK"/>
          <w:color w:val="000000" w:themeColor="text1"/>
          <w:sz w:val="44"/>
          <w:szCs w:val="44"/>
          <w:shd w:val="clear" w:color="auto" w:fill="FFFFFF"/>
          <w:lang w:eastAsia="zh-CN"/>
          <w14:textFill>
            <w14:solidFill>
              <w14:schemeClr w14:val="tx1"/>
            </w14:solidFill>
          </w14:textFill>
        </w:rPr>
        <w:t>（</w:t>
      </w:r>
      <w:r>
        <w:rPr>
          <w:rFonts w:hint="eastAsia" w:ascii="方正小标宋_GBK" w:hAnsi="方正小标宋_GBK" w:eastAsia="方正小标宋_GBK" w:cs="方正小标宋_GBK"/>
          <w:color w:val="000000" w:themeColor="text1"/>
          <w:sz w:val="44"/>
          <w:szCs w:val="44"/>
          <w:shd w:val="clear" w:color="auto" w:fill="FFFFFF"/>
          <w:lang w:val="en-US" w:eastAsia="zh-CN"/>
          <w14:textFill>
            <w14:solidFill>
              <w14:schemeClr w14:val="tx1"/>
            </w14:solidFill>
          </w14:textFill>
        </w:rPr>
        <w:t>征求意见稿</w:t>
      </w:r>
      <w:r>
        <w:rPr>
          <w:rFonts w:hint="eastAsia" w:ascii="方正小标宋_GBK" w:hAnsi="方正小标宋_GBK" w:eastAsia="方正小标宋_GBK" w:cs="方正小标宋_GBK"/>
          <w:color w:val="000000" w:themeColor="text1"/>
          <w:sz w:val="44"/>
          <w:szCs w:val="44"/>
          <w:shd w:val="clear" w:color="auto" w:fill="FFFFFF"/>
          <w:lang w:eastAsia="zh-CN"/>
          <w14:textFill>
            <w14:solidFill>
              <w14:schemeClr w14:val="tx1"/>
            </w14:solidFill>
          </w14:textFill>
        </w:rPr>
        <w:t>）</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textAlignment w:val="auto"/>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pP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jc w:val="left"/>
        <w:textAlignment w:val="auto"/>
        <w:rPr>
          <w:rFonts w:hint="eastAsia" w:ascii="仿宋" w:hAnsi="仿宋" w:eastAsia="仿宋" w:cs="仿宋"/>
          <w:color w:val="000000" w:themeColor="text1"/>
          <w:sz w:val="32"/>
          <w:szCs w:val="32"/>
          <w14:textFill>
            <w14:solidFill>
              <w14:schemeClr w14:val="tx1"/>
            </w14:solidFill>
          </w14:textFill>
        </w:rPr>
      </w:pP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    </w:t>
      </w:r>
      <w:r>
        <w:rPr>
          <w:rFonts w:hint="eastAsia" w:ascii="仿宋" w:hAnsi="仿宋" w:eastAsia="仿宋" w:cs="仿宋"/>
          <w:color w:val="000000" w:themeColor="text1"/>
          <w:sz w:val="32"/>
          <w:szCs w:val="32"/>
          <w:shd w:val="clear" w:color="auto" w:fill="FFFFFF"/>
          <w14:textFill>
            <w14:solidFill>
              <w14:schemeClr w14:val="tx1"/>
            </w14:solidFill>
          </w14:textFill>
        </w:rPr>
        <w:t>为贯彻落实民政部、财政部、中国残联《关于进一步完善困难残疾人生活补贴和重度残疾人护理补贴制度的意见》（民发〔2021〕70号）</w:t>
      </w:r>
      <w:r>
        <w:rPr>
          <w:rFonts w:hint="eastAsia" w:ascii="仿宋" w:hAnsi="仿宋" w:eastAsia="仿宋" w:cs="仿宋"/>
          <w:i w:val="0"/>
          <w:iCs w:val="0"/>
          <w:caps w:val="0"/>
          <w:color w:val="333333"/>
          <w:spacing w:val="0"/>
          <w:sz w:val="32"/>
          <w:szCs w:val="32"/>
          <w:shd w:val="clear" w:color="auto" w:fill="FFFFFF"/>
          <w:lang w:val="en-US" w:eastAsia="zh-CN"/>
        </w:rPr>
        <w:t>等文件精神</w:t>
      </w:r>
      <w:r>
        <w:rPr>
          <w:rFonts w:hint="eastAsia" w:ascii="仿宋" w:hAnsi="仿宋" w:eastAsia="仿宋" w:cs="仿宋"/>
          <w:color w:val="000000" w:themeColor="text1"/>
          <w:sz w:val="32"/>
          <w:szCs w:val="32"/>
          <w:shd w:val="clear" w:color="auto" w:fill="FFFFFF"/>
          <w14:textFill>
            <w14:solidFill>
              <w14:schemeClr w14:val="tx1"/>
            </w14:solidFill>
          </w14:textFill>
        </w:rPr>
        <w:t>，充分发挥困难残疾人生活补贴和重度残疾人护理补贴（以下</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统</w:t>
      </w:r>
      <w:r>
        <w:rPr>
          <w:rFonts w:hint="eastAsia" w:ascii="仿宋" w:hAnsi="仿宋" w:eastAsia="仿宋" w:cs="仿宋"/>
          <w:color w:val="000000" w:themeColor="text1"/>
          <w:sz w:val="32"/>
          <w:szCs w:val="32"/>
          <w:shd w:val="clear" w:color="auto" w:fill="FFFFFF"/>
          <w14:textFill>
            <w14:solidFill>
              <w14:schemeClr w14:val="tx1"/>
            </w14:solidFill>
          </w14:textFill>
        </w:rPr>
        <w:t>称残疾人两项补贴）基本民生保障功能，全面提升全省残疾人两项补贴管理服务水平，现就进一步完善残疾人两项补贴制度提出如下实施意见。</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ascii="方正黑体_GBK" w:hAnsi="方正黑体_GBK" w:eastAsia="方正黑体_GBK" w:cs="方正黑体_GBK"/>
          <w:color w:val="000000" w:themeColor="text1"/>
          <w:sz w:val="32"/>
          <w:szCs w:val="32"/>
          <w:shd w:val="clear" w:color="auto" w:fill="FFFFFF"/>
          <w14:textFill>
            <w14:solidFill>
              <w14:schemeClr w14:val="tx1"/>
            </w14:solidFill>
          </w14:textFill>
        </w:rPr>
        <w:t>一、总体要求</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color w:val="000000" w:themeColor="text1"/>
          <w:sz w:val="32"/>
          <w:szCs w:val="32"/>
          <w14:textFill>
            <w14:solidFill>
              <w14:schemeClr w14:val="tx1"/>
            </w14:solidFill>
          </w14:textFill>
        </w:rPr>
      </w:pP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以习近平新时代中国特色社会主义思想为指导，全面贯彻党的十九大和十九届</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历次</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全会精神，</w:t>
      </w:r>
      <w:r>
        <w:rPr>
          <w:rFonts w:hint="eastAsia" w:ascii="仿宋" w:hAnsi="仿宋" w:eastAsia="仿宋" w:cs="仿宋"/>
          <w:sz w:val="32"/>
          <w:szCs w:val="32"/>
        </w:rPr>
        <w:t>坚决扛起“争当表率、争做示范、走在前列”光荣使命，</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坚持以人民为中心的发展思想，健全帮扶残疾人</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社会</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福利制度，增进残疾人福祉，推动残疾人两项补贴制度高质量发展。“十四五”期间，健全完善保障功能有效发挥、运转机制高效顺畅、管理服务精准便民的残疾人两项补贴制度。到</w:t>
      </w:r>
      <w:r>
        <w:rPr>
          <w:rFonts w:ascii="Times New Roman" w:hAnsi="Times New Roman" w:eastAsia="方正仿宋_GBK"/>
          <w:color w:val="000000" w:themeColor="text1"/>
          <w:sz w:val="32"/>
          <w:szCs w:val="32"/>
          <w:shd w:val="clear" w:color="auto" w:fill="FFFFFF"/>
          <w14:textFill>
            <w14:solidFill>
              <w14:schemeClr w14:val="tx1"/>
            </w14:solidFill>
          </w14:textFill>
        </w:rPr>
        <w:t>2035</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年，残疾人两项补贴制度成熟定型，残疾人基本民生福祉达到新水平。</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Fonts w:eastAsia="方正黑体_GBK"/>
          <w:color w:val="000000" w:themeColor="text1"/>
          <w:sz w:val="32"/>
          <w:szCs w:val="32"/>
          <w14:textFill>
            <w14:solidFill>
              <w14:schemeClr w14:val="tx1"/>
            </w14:solidFill>
          </w14:textFill>
        </w:rPr>
      </w:pPr>
      <w:r>
        <w:rPr>
          <w:rFonts w:ascii="方正黑体_GBK" w:hAnsi="方正黑体_GBK" w:eastAsia="方正黑体_GBK" w:cs="方正黑体_GBK"/>
          <w:color w:val="000000" w:themeColor="text1"/>
          <w:sz w:val="32"/>
          <w:szCs w:val="32"/>
          <w:shd w:val="clear" w:color="auto" w:fill="FFFFFF"/>
          <w14:textFill>
            <w14:solidFill>
              <w14:schemeClr w14:val="tx1"/>
            </w14:solidFill>
          </w14:textFill>
        </w:rPr>
        <w:t>二、</w:t>
      </w:r>
      <w:r>
        <w:rPr>
          <w:rFonts w:hint="eastAsia" w:ascii="方正黑体_GBK" w:hAnsi="方正黑体_GBK" w:eastAsia="方正黑体_GBK" w:cs="方正黑体_GBK"/>
          <w:color w:val="000000" w:themeColor="text1"/>
          <w:sz w:val="32"/>
          <w:szCs w:val="32"/>
          <w:shd w:val="clear" w:color="auto" w:fill="FFFFFF"/>
          <w14:textFill>
            <w14:solidFill>
              <w14:schemeClr w14:val="tx1"/>
            </w14:solidFill>
          </w14:textFill>
        </w:rPr>
        <w:t>重点工作</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（一）</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明确补贴对象范围</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1.</w:t>
      </w:r>
      <w:r>
        <w:rPr>
          <w:rFonts w:hint="eastAsia" w:ascii="仿宋" w:hAnsi="仿宋" w:eastAsia="仿宋" w:cs="仿宋"/>
          <w:color w:val="000000" w:themeColor="text1"/>
          <w:sz w:val="32"/>
          <w:szCs w:val="32"/>
          <w:shd w:val="clear" w:color="auto" w:fill="FFFFFF"/>
          <w14:textFill>
            <w14:solidFill>
              <w14:schemeClr w14:val="tx1"/>
            </w14:solidFill>
          </w14:textFill>
        </w:rPr>
        <w:t>困难残疾人生活补贴对象和重度残疾人护理补贴对象应具有江苏省户籍，持有在有效期内的《中华人民共和国残疾人证》，符合政策衔接</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相关要求</w:t>
      </w:r>
      <w:r>
        <w:rPr>
          <w:rFonts w:hint="eastAsia" w:ascii="仿宋" w:hAnsi="仿宋" w:eastAsia="仿宋" w:cs="仿宋"/>
          <w:color w:val="000000" w:themeColor="text1"/>
          <w:sz w:val="32"/>
          <w:szCs w:val="32"/>
          <w:shd w:val="clear" w:color="auto" w:fill="FFFFFF"/>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2</w:t>
      </w:r>
      <w:r>
        <w:rPr>
          <w:rFonts w:hint="eastAsia" w:ascii="仿宋" w:hAnsi="仿宋" w:eastAsia="仿宋" w:cs="仿宋"/>
          <w:color w:val="000000" w:themeColor="text1"/>
          <w:sz w:val="32"/>
          <w:szCs w:val="32"/>
          <w:shd w:val="clear" w:color="auto" w:fill="FFFFFF"/>
          <w14:textFill>
            <w14:solidFill>
              <w14:schemeClr w14:val="tx1"/>
            </w14:solidFill>
          </w14:textFill>
        </w:rPr>
        <w:t>.困难残疾人生活补贴对象为低保家庭内的残疾人，低保家庭外</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无固定收入（是指连续六个月工资性收入、经营净收入、财产净收入、转移净收入等各类收入的月平均值低于当地最低生活保障标准）</w:t>
      </w:r>
      <w:r>
        <w:rPr>
          <w:rFonts w:hint="eastAsia" w:ascii="仿宋" w:hAnsi="仿宋" w:eastAsia="仿宋" w:cs="仿宋"/>
          <w:color w:val="000000" w:themeColor="text1"/>
          <w:sz w:val="32"/>
          <w:szCs w:val="32"/>
          <w:shd w:val="clear" w:color="auto" w:fill="FFFFFF"/>
          <w14:textFill>
            <w14:solidFill>
              <w14:schemeClr w14:val="tx1"/>
            </w14:solidFill>
          </w14:textFill>
        </w:rPr>
        <w:t>的智力、肢体、精神、盲视力重度残疾人，家庭人均收入在当地低保标准2倍以内的一户多残、依老养残特殊困难残疾人。有条件的地区可优先考虑三、四级智力、精神残疾人，逐步扩大到低收入残疾人及其他困难残疾人。家庭人均收入</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是指共同生活的家庭成员的人均收入</w:t>
      </w:r>
      <w:r>
        <w:rPr>
          <w:rFonts w:hint="eastAsia" w:ascii="仿宋" w:hAnsi="仿宋" w:eastAsia="仿宋" w:cs="仿宋"/>
          <w:color w:val="000000" w:themeColor="text1"/>
          <w:sz w:val="32"/>
          <w:szCs w:val="32"/>
          <w:shd w:val="clear" w:color="auto" w:fill="FFFFFF"/>
          <w:lang w:eastAsia="zh-CN"/>
          <w14:textFill>
            <w14:solidFill>
              <w14:schemeClr w14:val="tx1"/>
            </w14:solidFill>
          </w14:textFill>
        </w:rPr>
        <w:t>，</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共同生活的家庭成员包括:（1）申请人；（2）申请人配偶；（3）申请人未成年子女和在校接受全日制学历教育的成年子女；（4）同一户籍下，其他与申请人共同生活且具有法定赡养、扶养、抚养义务关系的人员（含长期或者阶段性在外务工人员）；（5）</w:t>
      </w:r>
      <w:r>
        <w:rPr>
          <w:rFonts w:hint="eastAsia" w:ascii="仿宋" w:hAnsi="仿宋" w:eastAsia="仿宋" w:cs="仿宋"/>
          <w:color w:val="000000" w:themeColor="text1"/>
          <w:sz w:val="32"/>
          <w:szCs w:val="32"/>
          <w14:textFill>
            <w14:solidFill>
              <w14:schemeClr w14:val="tx1"/>
            </w14:solidFill>
          </w14:textFill>
        </w:rPr>
        <w:t>县级以上民政部门根据有关规定和实际情况认定的其他人员</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下列人员不计入共同生活的家庭成员：（1）在军队服役的义务兵；（2）连续三年以上（含三年）脱离家庭独立生活的宗教教职人员；（3）在监狱内服刑、在戒毒所强制隔离戒毒人员；（4）经人民法院宣告失踪的人员；（5）未经人民法院宣告失踪，但能够提供登报寻人启事、公安部门出具的立案通知书等材料，证明连续两年以上（含两年）下落不明、与家庭失去联系人员；（6）</w:t>
      </w:r>
      <w:r>
        <w:rPr>
          <w:rFonts w:hint="eastAsia" w:ascii="仿宋" w:hAnsi="仿宋" w:eastAsia="仿宋" w:cs="仿宋"/>
          <w:color w:val="000000" w:themeColor="text1"/>
          <w:sz w:val="32"/>
          <w:szCs w:val="32"/>
          <w14:textFill>
            <w14:solidFill>
              <w14:schemeClr w14:val="tx1"/>
            </w14:solidFill>
          </w14:textFill>
        </w:rPr>
        <w:t>县级以上民政部门根据有关规定和实际情况认定的其他人员</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shd w:val="clear" w:color="auto" w:fill="FFFFFF"/>
          <w14:textFill>
            <w14:solidFill>
              <w14:schemeClr w14:val="tx1"/>
            </w14:solidFill>
          </w14:textFill>
        </w:rPr>
        <w:t>一户多残</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是指共同生活的家庭成员中有2名（含）以上残疾人。</w:t>
      </w:r>
      <w:r>
        <w:rPr>
          <w:rFonts w:hint="eastAsia" w:ascii="仿宋" w:hAnsi="仿宋" w:eastAsia="仿宋" w:cs="仿宋"/>
          <w:color w:val="000000" w:themeColor="text1"/>
          <w:sz w:val="32"/>
          <w:szCs w:val="32"/>
          <w:shd w:val="clear" w:color="auto" w:fill="FFFFFF"/>
          <w14:textFill>
            <w14:solidFill>
              <w14:schemeClr w14:val="tx1"/>
            </w14:solidFill>
          </w14:textFill>
        </w:rPr>
        <w:t>依老养残</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是指</w:t>
      </w:r>
      <w:r>
        <w:rPr>
          <w:rFonts w:hint="eastAsia" w:ascii="仿宋" w:hAnsi="仿宋" w:eastAsia="仿宋" w:cs="仿宋"/>
          <w:color w:val="000000" w:themeColor="text1"/>
          <w:sz w:val="32"/>
          <w:szCs w:val="32"/>
          <w:shd w:val="clear" w:color="auto" w:fill="FFFFFF"/>
          <w14:textFill>
            <w14:solidFill>
              <w14:schemeClr w14:val="tx1"/>
            </w14:solidFill>
          </w14:textFill>
        </w:rPr>
        <w:t>残疾人由父母供养且父母一方达到</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60周岁</w:t>
      </w:r>
      <w:r>
        <w:rPr>
          <w:rFonts w:hint="eastAsia" w:ascii="仿宋" w:hAnsi="仿宋" w:eastAsia="仿宋" w:cs="仿宋"/>
          <w:color w:val="000000" w:themeColor="text1"/>
          <w:sz w:val="32"/>
          <w:szCs w:val="32"/>
          <w:shd w:val="clear" w:color="auto" w:fill="FFFFFF"/>
          <w14:textFill>
            <w14:solidFill>
              <w14:schemeClr w14:val="tx1"/>
            </w14:solidFill>
          </w14:textFill>
        </w:rPr>
        <w:t>，或依法由祖父母、外祖父母、其他亲属供养且供养人有一方达到</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60周岁</w:t>
      </w:r>
      <w:r>
        <w:rPr>
          <w:rFonts w:hint="eastAsia" w:ascii="仿宋" w:hAnsi="仿宋" w:eastAsia="仿宋" w:cs="仿宋"/>
          <w:color w:val="000000" w:themeColor="text1"/>
          <w:sz w:val="32"/>
          <w:szCs w:val="32"/>
          <w:shd w:val="clear" w:color="auto" w:fill="FFFFFF"/>
          <w14:textFill>
            <w14:solidFill>
              <w14:schemeClr w14:val="tx1"/>
            </w14:solidFill>
          </w14:textFill>
        </w:rPr>
        <w:t>。</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无固定收入和家庭人均收入</w:t>
      </w:r>
      <w:r>
        <w:rPr>
          <w:rFonts w:hint="eastAsia" w:ascii="仿宋" w:hAnsi="仿宋" w:eastAsia="仿宋" w:cs="仿宋"/>
          <w:color w:val="000000" w:themeColor="text1"/>
          <w:sz w:val="32"/>
          <w:szCs w:val="32"/>
          <w:shd w:val="clear" w:color="auto" w:fill="FFFFFF"/>
          <w14:textFill>
            <w14:solidFill>
              <w14:schemeClr w14:val="tx1"/>
            </w14:solidFill>
          </w14:textFill>
        </w:rPr>
        <w:t>依托居民家庭经济状况核对机制进行核定。</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3.</w:t>
      </w:r>
      <w:r>
        <w:rPr>
          <w:rFonts w:hint="eastAsia" w:ascii="仿宋" w:hAnsi="仿宋" w:eastAsia="仿宋" w:cs="仿宋"/>
          <w:color w:val="000000" w:themeColor="text1"/>
          <w:sz w:val="32"/>
          <w:szCs w:val="32"/>
          <w:shd w:val="clear" w:color="auto" w:fill="FFFFFF"/>
          <w14:textFill>
            <w14:solidFill>
              <w14:schemeClr w14:val="tx1"/>
            </w14:solidFill>
          </w14:textFill>
        </w:rPr>
        <w:t>重度残疾人护理补贴对象为残疾等级评定为一级、二级且需要长期照护的重度残疾人，有条件的地区可以优先考虑三、四级智力、精神残疾人，逐步扩大到其他非重度残疾人，推动形成面向所有需要长期照护残疾人的护理补贴制度。</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Style w:val="7"/>
          <w:rFonts w:ascii="楷体" w:hAnsi="楷体" w:eastAsia="楷体" w:cs="楷体"/>
          <w:b w:val="0"/>
          <w:bCs/>
          <w:color w:val="000000" w:themeColor="text1"/>
          <w:sz w:val="32"/>
          <w:szCs w:val="32"/>
          <w:shd w:val="clear" w:color="auto" w:fill="FFFFFF"/>
          <w14:textFill>
            <w14:solidFill>
              <w14:schemeClr w14:val="tx1"/>
            </w14:solidFill>
          </w14:textFill>
        </w:rPr>
      </w:pPr>
      <w:r>
        <w:rPr>
          <w:rStyle w:val="7"/>
          <w:rFonts w:hint="eastAsia" w:ascii="楷体" w:hAnsi="楷体" w:eastAsia="楷体" w:cs="楷体"/>
          <w:b w:val="0"/>
          <w:bCs/>
          <w:color w:val="000000" w:themeColor="text1"/>
          <w:sz w:val="32"/>
          <w:szCs w:val="32"/>
          <w:shd w:val="clear" w:color="auto" w:fill="FFFFFF"/>
          <w14:textFill>
            <w14:solidFill>
              <w14:schemeClr w14:val="tx1"/>
            </w14:solidFill>
          </w14:textFill>
        </w:rPr>
        <w:t>（二）落实补贴标准动态调整。</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14:textFill>
            <w14:solidFill>
              <w14:schemeClr w14:val="tx1"/>
            </w14:solidFill>
          </w14:textFill>
        </w:rPr>
        <w:t>困难残疾人生活补贴标准按照低保标准调整同步调整。重度残疾人护理补贴标准统筹考虑城乡居民收入增长、物价变动和最低生活保障等社会救助和保障标准调整及照护市场劳动力价格变化等情况，在省定标准基础上进行合理测算，适时进行调整。</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Style w:val="7"/>
          <w:rFonts w:ascii="楷体" w:hAnsi="楷体" w:eastAsia="楷体" w:cs="楷体"/>
          <w:b w:val="0"/>
          <w:bCs/>
          <w:color w:val="000000" w:themeColor="text1"/>
          <w:sz w:val="32"/>
          <w:szCs w:val="32"/>
          <w:shd w:val="clear" w:color="auto" w:fill="FFFFFF"/>
          <w14:textFill>
            <w14:solidFill>
              <w14:schemeClr w14:val="tx1"/>
            </w14:solidFill>
          </w14:textFill>
        </w:rPr>
      </w:pPr>
      <w:r>
        <w:rPr>
          <w:rStyle w:val="7"/>
          <w:rFonts w:hint="eastAsia" w:ascii="楷体" w:hAnsi="楷体" w:eastAsia="楷体" w:cs="楷体"/>
          <w:b w:val="0"/>
          <w:bCs/>
          <w:color w:val="000000" w:themeColor="text1"/>
          <w:sz w:val="32"/>
          <w:szCs w:val="32"/>
          <w:shd w:val="clear" w:color="auto" w:fill="FFFFFF"/>
          <w14:textFill>
            <w14:solidFill>
              <w14:schemeClr w14:val="tx1"/>
            </w14:solidFill>
          </w14:textFill>
        </w:rPr>
        <w:t>（三）</w:t>
      </w:r>
      <w:r>
        <w:rPr>
          <w:rStyle w:val="7"/>
          <w:rFonts w:hint="eastAsia" w:ascii="楷体" w:hAnsi="楷体" w:eastAsia="楷体" w:cs="楷体"/>
          <w:b w:val="0"/>
          <w:bCs/>
          <w:color w:val="000000" w:themeColor="text1"/>
          <w:sz w:val="32"/>
          <w:szCs w:val="32"/>
          <w:shd w:val="clear" w:color="auto" w:fill="FFFFFF"/>
          <w:lang w:val="en-US" w:eastAsia="zh-CN"/>
          <w14:textFill>
            <w14:solidFill>
              <w14:schemeClr w14:val="tx1"/>
            </w14:solidFill>
          </w14:textFill>
        </w:rPr>
        <w:t>规范</w:t>
      </w:r>
      <w:r>
        <w:rPr>
          <w:rStyle w:val="7"/>
          <w:rFonts w:hint="eastAsia" w:ascii="楷体" w:hAnsi="楷体" w:eastAsia="楷体" w:cs="楷体"/>
          <w:b w:val="0"/>
          <w:bCs/>
          <w:color w:val="000000" w:themeColor="text1"/>
          <w:sz w:val="32"/>
          <w:szCs w:val="32"/>
          <w:shd w:val="clear" w:color="auto" w:fill="FFFFFF"/>
          <w14:textFill>
            <w14:solidFill>
              <w14:schemeClr w14:val="tx1"/>
            </w14:solidFill>
          </w14:textFill>
        </w:rPr>
        <w:t>政策衔接。</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1.</w:t>
      </w:r>
      <w:r>
        <w:rPr>
          <w:rFonts w:hint="eastAsia" w:ascii="仿宋" w:hAnsi="仿宋" w:eastAsia="仿宋" w:cs="仿宋"/>
          <w:color w:val="000000" w:themeColor="text1"/>
          <w:sz w:val="32"/>
          <w:szCs w:val="32"/>
          <w:shd w:val="clear" w:color="auto" w:fill="FFFFFF"/>
          <w14:textFill>
            <w14:solidFill>
              <w14:schemeClr w14:val="tx1"/>
            </w14:solidFill>
          </w14:textFill>
        </w:rPr>
        <w:t>符合条件的残疾人，可同时申领困难残疾人生活补贴和重度残疾人护理补贴。</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pacing w:val="0"/>
          <w:sz w:val="32"/>
          <w:szCs w:val="32"/>
          <w:lang w:val="en-US" w:eastAsia="zh-CN"/>
          <w14:textFill>
            <w14:solidFill>
              <w14:schemeClr w14:val="tx1"/>
            </w14:solidFill>
          </w14:textFill>
        </w:rPr>
        <w:t>2.既符合残疾人两项补贴条件，又符合养老服务补贴、经济困难高龄失能老年人补贴、高龄津贴条件的残疾老年人可以叠加享受。</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方正仿宋_GBK" w:hAnsi="方正仿宋_GBK" w:eastAsia="方正仿宋_GBK" w:cs="方正仿宋_GBK"/>
          <w:color w:val="000000" w:themeColor="text1"/>
          <w:sz w:val="32"/>
          <w:szCs w:val="32"/>
          <w:shd w:val="clear" w:color="auto" w:fill="FFFFFF"/>
          <w:lang w:val="zh-CN"/>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3.</w:t>
      </w:r>
      <w:r>
        <w:rPr>
          <w:rFonts w:hint="eastAsia" w:ascii="方正仿宋_GBK" w:hAnsi="方正仿宋_GBK" w:eastAsia="方正仿宋_GBK" w:cs="方正仿宋_GBK"/>
          <w:color w:val="000000" w:themeColor="text1"/>
          <w:sz w:val="32"/>
          <w:szCs w:val="32"/>
          <w:shd w:val="clear" w:color="auto" w:fill="FFFFFF"/>
          <w:lang w:val="zh-CN"/>
          <w14:textFill>
            <w14:solidFill>
              <w14:schemeClr w14:val="tx1"/>
            </w14:solidFill>
          </w14:textFill>
        </w:rPr>
        <w:t>享受孤儿基本生活保障政策的残疾儿童不享受困难残疾人生活补贴，可享受重度残疾人护理补贴。</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4.</w:t>
      </w:r>
      <w:r>
        <w:rPr>
          <w:rFonts w:hint="eastAsia" w:ascii="仿宋" w:hAnsi="仿宋" w:eastAsia="仿宋" w:cs="仿宋"/>
          <w:color w:val="000000" w:themeColor="text1"/>
          <w:sz w:val="32"/>
          <w:szCs w:val="32"/>
          <w:shd w:val="clear" w:color="auto" w:fill="FFFFFF"/>
          <w14:textFill>
            <w14:solidFill>
              <w14:schemeClr w14:val="tx1"/>
            </w14:solidFill>
          </w14:textFill>
        </w:rPr>
        <w:t>领取工伤保险生活护理费或纳入特困人员供养的残疾人不享受残疾人两项补贴。</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5.</w:t>
      </w:r>
      <w:r>
        <w:rPr>
          <w:rFonts w:hint="eastAsia" w:ascii="仿宋" w:hAnsi="仿宋" w:eastAsia="仿宋" w:cs="仿宋"/>
          <w:color w:val="000000" w:themeColor="text1"/>
          <w:sz w:val="32"/>
          <w:szCs w:val="32"/>
          <w:shd w:val="clear" w:color="auto" w:fill="FFFFFF"/>
          <w14:textFill>
            <w14:solidFill>
              <w14:schemeClr w14:val="tx1"/>
            </w14:solidFill>
          </w14:textFill>
        </w:rPr>
        <w:t>纳入伤残抚恤对象范围且已经享受补贴的，与残疾人两项补贴</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按</w:t>
      </w:r>
      <w:r>
        <w:rPr>
          <w:rFonts w:hint="eastAsia" w:ascii="仿宋" w:hAnsi="仿宋" w:eastAsia="仿宋" w:cs="仿宋"/>
          <w:color w:val="000000" w:themeColor="text1"/>
          <w:sz w:val="32"/>
          <w:szCs w:val="32"/>
          <w:shd w:val="clear" w:color="auto" w:fill="FFFFFF"/>
          <w14:textFill>
            <w14:solidFill>
              <w14:schemeClr w14:val="tx1"/>
            </w14:solidFill>
          </w14:textFill>
        </w:rPr>
        <w:t>择高</w:t>
      </w:r>
      <w:r>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t>原则进行政策衔接，不重复享受</w:t>
      </w:r>
      <w:r>
        <w:rPr>
          <w:rFonts w:hint="eastAsia" w:ascii="仿宋" w:hAnsi="仿宋" w:eastAsia="仿宋" w:cs="仿宋"/>
          <w:color w:val="000000" w:themeColor="text1"/>
          <w:sz w:val="32"/>
          <w:szCs w:val="32"/>
          <w:shd w:val="clear" w:color="auto" w:fill="FFFFFF"/>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方正仿宋_GBK" w:hAnsi="方正仿宋_GBK" w:eastAsia="方正仿宋_GBK" w:cs="方正仿宋_GBK"/>
          <w:color w:val="000000" w:themeColor="text1"/>
          <w:sz w:val="32"/>
          <w:szCs w:val="32"/>
          <w:shd w:val="clear" w:color="auto" w:fill="FFFFFF"/>
          <w:lang w:val="en-US" w:eastAsia="zh-CN"/>
          <w14:textFill>
            <w14:solidFill>
              <w14:schemeClr w14:val="tx1"/>
            </w14:solidFill>
          </w14:textFill>
        </w:rPr>
      </w:pPr>
      <w:r>
        <w:rPr>
          <w:rFonts w:hint="eastAsia" w:ascii="方正仿宋_GBK" w:hAnsi="方正仿宋_GBK" w:eastAsia="方正仿宋_GBK" w:cs="方正仿宋_GBK"/>
          <w:color w:val="000000" w:themeColor="text1"/>
          <w:sz w:val="32"/>
          <w:szCs w:val="32"/>
          <w:shd w:val="clear" w:color="auto" w:fill="FFFFFF"/>
          <w:lang w:val="en-US" w:eastAsia="zh-CN"/>
          <w14:textFill>
            <w14:solidFill>
              <w14:schemeClr w14:val="tx1"/>
            </w14:solidFill>
          </w14:textFill>
        </w:rPr>
        <w:t>各地要严格落实政策衔接规定，不得新增尚未明确的政策要求。对各地已细化的政策衔接要求，如与国务院有关规定不一致，应及时、稳妥、有序进行纠正。</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四</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）改革</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完善</w:t>
      </w:r>
      <w:r>
        <w:rPr>
          <w:rFonts w:hint="eastAsia" w:ascii="方正楷体_GBK" w:hAnsi="方正楷体_GBK" w:eastAsia="方正楷体_GBK" w:cs="方正楷体_GBK"/>
          <w:color w:val="000000" w:themeColor="text1"/>
          <w:sz w:val="32"/>
          <w:szCs w:val="32"/>
          <w:shd w:val="clear" w:color="auto" w:fill="FFFFFF"/>
          <w:lang w:val="en-US" w:eastAsia="zh-CN"/>
          <w14:textFill>
            <w14:solidFill>
              <w14:schemeClr w14:val="tx1"/>
            </w14:solidFill>
          </w14:textFill>
        </w:rPr>
        <w:t>补贴申办</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流程。</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pP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1.申请。坚持自愿申请原则。残疾人可以向全国范围内任何乡镇（街道）设立的一门受理窗口或相关政务服务申请受理平台提出申请，补贴由户籍地审核发放。残疾人本人申请有困难的，可由其法定监护人，法定赡养、抚养、扶养义务人，所在村（居）民委员会或其他被委托人代为办理申请事宜。到户籍地以外接受学历教育的残疾学生，应视为原户籍家庭成员，原则上向原户籍地申领补贴。申请残疾人两项补贴应填写《困难残疾人生活补贴申请审核表》《重度残疾人护理补贴申请审核表》，并提供身份证、户口薄、残疾人证原件和复印件；委托他人代为办理申请的还应提供委托书、被委托人身份证原件和复印件；需要核对经济状况的应提供经济状况核对授权书；实行告知承诺制的证明事项可由申请人选择提交告知承诺书。能够通过部门数据共享获得权威数据信息的，申请人免于提供实体证件。</w:t>
      </w:r>
    </w:p>
    <w:p>
      <w:pPr>
        <w:pStyle w:val="5"/>
        <w:keepNext w:val="0"/>
        <w:keepLines w:val="0"/>
        <w:pageBreakBefore w:val="0"/>
        <w:widowControl/>
        <w:suppressLineNumbers w:val="0"/>
        <w:kinsoku/>
        <w:wordWrap/>
        <w:overflowPunct/>
        <w:topLinePunct w:val="0"/>
        <w:autoSpaceDE/>
        <w:autoSpaceDN/>
        <w:bidi w:val="0"/>
        <w:adjustRightInd/>
        <w:snapToGrid/>
        <w:spacing w:beforeAutospacing="0" w:afterAutospacing="0" w:line="580" w:lineRule="exact"/>
        <w:ind w:left="0" w:leftChars="0" w:right="0" w:rightChars="0" w:firstLine="480" w:firstLineChars="0"/>
        <w:jc w:val="both"/>
        <w:textAlignment w:val="auto"/>
        <w:outlineLvl w:val="9"/>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2.受理。乡镇（街道）设立的一门受理窗口负责接收申请材料，对申请材料齐全、符合规定形式的，应当及时受理并出具《受理告知单》；材料不齐全或不符合规定形式的，应当一次性通知申请人补正；补正后仍不符合要求的，应当出具《不予受理决定书》，并说明理由。残疾人通过相关政务服务申请受理平台提出申请的，受理结果通过对应的线上渠道进行反馈。</w:t>
      </w:r>
    </w:p>
    <w:p>
      <w:pPr>
        <w:pStyle w:val="5"/>
        <w:keepNext w:val="0"/>
        <w:keepLines w:val="0"/>
        <w:pageBreakBefore w:val="0"/>
        <w:widowControl/>
        <w:suppressLineNumbers w:val="0"/>
        <w:kinsoku/>
        <w:wordWrap/>
        <w:overflowPunct/>
        <w:topLinePunct w:val="0"/>
        <w:autoSpaceDE/>
        <w:autoSpaceDN/>
        <w:bidi w:val="0"/>
        <w:adjustRightInd/>
        <w:snapToGrid/>
        <w:spacing w:beforeAutospacing="0" w:afterAutospacing="0" w:line="580" w:lineRule="exact"/>
        <w:ind w:left="0" w:leftChars="0" w:right="0" w:rightChars="0" w:firstLine="480" w:firstLineChars="0"/>
        <w:jc w:val="both"/>
        <w:textAlignment w:val="auto"/>
        <w:outlineLvl w:val="9"/>
        <w:rPr>
          <w:rFonts w:hint="eastAsia" w:ascii="仿宋" w:hAnsi="仿宋" w:eastAsia="仿宋" w:cs="仿宋"/>
          <w:b w:val="0"/>
          <w:bCs w:val="0"/>
          <w:color w:val="000000"/>
          <w:sz w:val="32"/>
          <w:szCs w:val="32"/>
          <w:lang w:val="en-US" w:eastAsia="zh-CN"/>
        </w:rPr>
      </w:pP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3.初审。乡镇（街道）一门受理窗口</w:t>
      </w:r>
      <w:r>
        <w:rPr>
          <w:rFonts w:hint="eastAsia" w:ascii="仿宋" w:hAnsi="仿宋" w:eastAsia="仿宋" w:cs="仿宋"/>
          <w:b w:val="0"/>
          <w:bCs w:val="0"/>
          <w:i w:val="0"/>
          <w:caps w:val="0"/>
          <w:color w:val="000000"/>
          <w:spacing w:val="0"/>
          <w:sz w:val="32"/>
          <w:szCs w:val="32"/>
        </w:rPr>
        <w:t>自受理申请之日起的3个工作日内完成对申请人信息的核对</w:t>
      </w:r>
      <w:r>
        <w:rPr>
          <w:rFonts w:hint="eastAsia" w:ascii="仿宋" w:hAnsi="仿宋" w:eastAsia="仿宋" w:cs="仿宋"/>
          <w:b w:val="0"/>
          <w:bCs w:val="0"/>
          <w:i w:val="0"/>
          <w:caps w:val="0"/>
          <w:color w:val="000000"/>
          <w:spacing w:val="0"/>
          <w:sz w:val="32"/>
          <w:szCs w:val="32"/>
          <w:lang w:val="en-US" w:eastAsia="zh-CN"/>
        </w:rPr>
        <w:t>和资格初审</w:t>
      </w:r>
      <w:r>
        <w:rPr>
          <w:rFonts w:hint="eastAsia" w:ascii="仿宋" w:hAnsi="仿宋" w:eastAsia="仿宋" w:cs="仿宋"/>
          <w:b w:val="0"/>
          <w:bCs w:val="0"/>
          <w:i w:val="0"/>
          <w:caps w:val="0"/>
          <w:color w:val="000000"/>
          <w:spacing w:val="0"/>
          <w:sz w:val="32"/>
          <w:szCs w:val="32"/>
        </w:rPr>
        <w:t>，在《困难残疾人生活补贴申请审核表》或《重度残疾人护理补贴申请审核表》上</w:t>
      </w:r>
      <w:r>
        <w:rPr>
          <w:rFonts w:hint="eastAsia" w:ascii="仿宋" w:hAnsi="仿宋" w:eastAsia="仿宋" w:cs="仿宋"/>
          <w:b w:val="0"/>
          <w:bCs w:val="0"/>
          <w:i w:val="0"/>
          <w:caps w:val="0"/>
          <w:color w:val="000000"/>
          <w:spacing w:val="0"/>
          <w:sz w:val="32"/>
          <w:szCs w:val="32"/>
          <w:lang w:val="en-US" w:eastAsia="zh-CN"/>
        </w:rPr>
        <w:t>签署初审</w:t>
      </w:r>
      <w:r>
        <w:rPr>
          <w:rFonts w:hint="eastAsia" w:ascii="仿宋" w:hAnsi="仿宋" w:eastAsia="仿宋" w:cs="仿宋"/>
          <w:b w:val="0"/>
          <w:bCs w:val="0"/>
          <w:i w:val="0"/>
          <w:caps w:val="0"/>
          <w:color w:val="000000"/>
          <w:spacing w:val="0"/>
          <w:sz w:val="32"/>
          <w:szCs w:val="32"/>
        </w:rPr>
        <w:t>意见。</w:t>
      </w:r>
      <w:r>
        <w:rPr>
          <w:rFonts w:hint="eastAsia" w:ascii="仿宋" w:hAnsi="仿宋" w:eastAsia="仿宋" w:cs="仿宋"/>
          <w:b w:val="0"/>
          <w:bCs w:val="0"/>
          <w:color w:val="000000"/>
          <w:sz w:val="32"/>
          <w:szCs w:val="32"/>
          <w:lang w:val="en-US" w:eastAsia="zh-CN"/>
        </w:rPr>
        <w:t>初审符合条件的，将初审合格材料报送县级残联进行审核。</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rPr>
          <w:rFonts w:hint="eastAsia" w:ascii="仿宋" w:hAnsi="仿宋" w:eastAsia="仿宋" w:cs="仿宋"/>
          <w:b w:val="0"/>
          <w:bCs w:val="0"/>
          <w:color w:val="000000"/>
          <w:sz w:val="32"/>
          <w:szCs w:val="32"/>
          <w:lang w:val="en-US" w:eastAsia="zh-CN"/>
        </w:rPr>
      </w:pPr>
      <w:r>
        <w:rPr>
          <w:rFonts w:hint="eastAsia" w:ascii="仿宋" w:hAnsi="仿宋" w:eastAsia="仿宋" w:cs="仿宋"/>
          <w:b w:val="0"/>
          <w:bCs w:val="0"/>
          <w:color w:val="000000" w:themeColor="text1"/>
          <w:kern w:val="0"/>
          <w:sz w:val="32"/>
          <w:szCs w:val="32"/>
          <w:shd w:val="clear" w:color="auto" w:fill="FFFFFF"/>
          <w:lang w:val="en-US" w:eastAsia="zh-CN" w:bidi="ar-SA"/>
          <w14:textFill>
            <w14:solidFill>
              <w14:schemeClr w14:val="tx1"/>
            </w14:solidFill>
          </w14:textFill>
        </w:rPr>
        <w:t>4.审核。</w:t>
      </w:r>
      <w:r>
        <w:rPr>
          <w:rFonts w:hint="eastAsia" w:ascii="仿宋" w:hAnsi="仿宋" w:eastAsia="仿宋" w:cs="仿宋"/>
          <w:b w:val="0"/>
          <w:bCs w:val="0"/>
          <w:color w:val="000000"/>
          <w:sz w:val="32"/>
          <w:szCs w:val="32"/>
          <w:lang w:val="en-US" w:eastAsia="zh-CN"/>
        </w:rPr>
        <w:t>县级残联在收到初审材料2个工作日内将审核合格的材料送同级民政部门审定。</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pPr>
      <w:r>
        <w:rPr>
          <w:rFonts w:hint="eastAsia" w:ascii="仿宋" w:hAnsi="仿宋" w:eastAsia="仿宋" w:cs="仿宋"/>
          <w:b w:val="0"/>
          <w:bCs w:val="0"/>
          <w:color w:val="000000"/>
          <w:sz w:val="32"/>
          <w:szCs w:val="32"/>
          <w:lang w:val="en-US" w:eastAsia="zh-CN"/>
        </w:rPr>
        <w:t>5.审定。</w:t>
      </w:r>
      <w:r>
        <w:rPr>
          <w:rFonts w:hint="eastAsia" w:ascii="仿宋" w:hAnsi="仿宋" w:eastAsia="仿宋" w:cs="仿宋"/>
          <w:b w:val="0"/>
          <w:bCs w:val="0"/>
          <w:color w:val="000000"/>
          <w:kern w:val="2"/>
          <w:sz w:val="32"/>
          <w:szCs w:val="32"/>
          <w:lang w:val="en-US" w:eastAsia="zh-CN" w:bidi="ar-SA"/>
        </w:rPr>
        <w:t>县级民政部门收到县级残联审核材料5个工作日内作出审批</w:t>
      </w:r>
      <w:r>
        <w:rPr>
          <w:rFonts w:hint="eastAsia" w:ascii="仿宋" w:hAnsi="仿宋" w:eastAsia="仿宋" w:cs="仿宋"/>
          <w:b w:val="0"/>
          <w:bCs w:val="0"/>
          <w:color w:val="000000"/>
          <w:sz w:val="32"/>
          <w:szCs w:val="32"/>
          <w:lang w:val="en-US" w:eastAsia="zh-CN"/>
        </w:rPr>
        <w:t>决定</w:t>
      </w:r>
      <w:r>
        <w:rPr>
          <w:rFonts w:hint="eastAsia" w:ascii="仿宋" w:hAnsi="仿宋" w:eastAsia="仿宋" w:cs="仿宋"/>
          <w:b w:val="0"/>
          <w:bCs w:val="0"/>
          <w:color w:val="000000"/>
          <w:kern w:val="2"/>
          <w:sz w:val="32"/>
          <w:szCs w:val="32"/>
          <w:lang w:val="en-US" w:eastAsia="zh-CN" w:bidi="ar-SA"/>
        </w:rPr>
        <w:t>，涉及无固定收入和家庭人均收入核定的，按相关流程开展核定工作，核定所需时间不计算在5个工作日之内。补贴资格审定合格的，县级民政部门出具《准予补贴通知书》；审定未通过的，出具《不予补贴通知书》。县级民政部门将审定结果通知乡镇（街道），由乡镇（街道）在收到审定</w:t>
      </w:r>
      <w:r>
        <w:rPr>
          <w:rFonts w:hint="eastAsia" w:ascii="仿宋" w:hAnsi="仿宋" w:eastAsia="仿宋" w:cs="仿宋"/>
          <w:b w:val="0"/>
          <w:bCs w:val="0"/>
          <w:sz w:val="32"/>
          <w:szCs w:val="32"/>
          <w:lang w:val="en-US" w:eastAsia="zh-CN"/>
        </w:rPr>
        <w:t>结果3个工作日内通知申请人，并做好通知记录。</w:t>
      </w: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残疾人通过相关政务服务申请受理平台提出申请的，审定结果通过对应的线上渠道进行反馈。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color w:val="000000"/>
          <w:sz w:val="32"/>
          <w:szCs w:val="32"/>
          <w:lang w:val="en-US" w:eastAsia="zh-CN"/>
        </w:rPr>
      </w:pPr>
      <w:r>
        <w:rPr>
          <w:rFonts w:hint="eastAsia" w:ascii="仿宋" w:hAnsi="仿宋" w:eastAsia="仿宋" w:cs="仿宋"/>
          <w:b w:val="0"/>
          <w:bCs w:val="0"/>
          <w:color w:val="000000"/>
          <w:kern w:val="0"/>
          <w:sz w:val="32"/>
          <w:szCs w:val="32"/>
          <w:lang w:val="en-US" w:eastAsia="zh-CN" w:bidi="ar-SA"/>
        </w:rPr>
        <w:t>6.长期公示。</w:t>
      </w:r>
      <w:r>
        <w:rPr>
          <w:rFonts w:hint="eastAsia" w:ascii="仿宋" w:hAnsi="仿宋" w:eastAsia="仿宋" w:cs="仿宋"/>
          <w:b w:val="0"/>
          <w:bCs w:val="0"/>
          <w:color w:val="000000"/>
          <w:sz w:val="32"/>
          <w:szCs w:val="32"/>
          <w:lang w:val="en-US" w:eastAsia="zh-CN"/>
        </w:rPr>
        <w:t>对审定符合享受残疾人两项补贴的对象，县级民政部门应当在乡镇（街道）或村（居）民委员会固定的政务公开栏、村（居）务公开栏或政务大厅等进行长期公示，有条件的地方可实行网络公示。公示应注意保护个人隐私，主要公示申请人姓名、享受补贴类型、补贴金额等，不得公开与残疾人两项补贴无关的信息。</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pP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7.补贴发放。新申请补贴资格审定合格的残疾人自递交申请当月计发补贴。残疾人两项补贴须按月及时、准确、足额发放，按照国库集中支付制度有关规定，原则上发放至残疾人本人的银行卡账户，非经本人或监护人同意，任何人不得代为保管账户存折，防止和杜绝冒领、克扣现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楷体" w:hAnsi="楷体" w:eastAsia="楷体" w:cs="楷体"/>
          <w:color w:val="000000"/>
          <w:sz w:val="32"/>
          <w:szCs w:val="32"/>
          <w:lang w:val="en-US" w:eastAsia="zh-CN"/>
        </w:rPr>
      </w:pPr>
      <w:r>
        <w:rPr>
          <w:rFonts w:hint="eastAsia" w:ascii="楷体" w:hAnsi="楷体" w:eastAsia="楷体" w:cs="楷体"/>
          <w:color w:val="000000"/>
          <w:sz w:val="32"/>
          <w:szCs w:val="32"/>
          <w:lang w:val="en-US" w:eastAsia="zh-CN"/>
        </w:rPr>
        <w:t>（五）开展“跨省通办”“全程网办”和补贴审核审定权限下放。</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1.“跨省通办”按照《江苏省民政厅  江苏省残联关于全面开展残疾人两项补贴资格认定申请“跨省通办”的通知》（苏民事〔2021〕12号）相关要求办理。“全程网办”参照《民政部办公厅 中国残联办公厅关于全面开展残疾人两项补贴申请“全程网办”的通知》（民办发〔2022〕8号）相关要求办理。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2.按照深化“放管服”改革要求，经县（市、区）人民政府批准，可以将残疾人两项补贴审核审定权限下放到乡镇（街道）。乡镇（街道）要参照申请、受理、初审、审核、审定、长期公示、补贴发放流程明确具体补贴申请办理办法。县（市、区）民政部门、财政部门、残联要做好业务培训指导和日常监督管理。</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方正楷体_GBK" w:hAnsi="方正楷体_GBK" w:eastAsia="方正楷体_GBK" w:cs="方正楷体_GBK"/>
          <w:color w:val="000000" w:themeColor="text1"/>
          <w:kern w:val="0"/>
          <w:sz w:val="32"/>
          <w:szCs w:val="32"/>
          <w:shd w:val="clear" w:color="auto" w:fill="FFFFFF"/>
          <w:lang w:val="en-US" w:eastAsia="zh-CN" w:bidi="ar-SA"/>
          <w14:textFill>
            <w14:solidFill>
              <w14:schemeClr w14:val="tx1"/>
            </w14:solidFill>
          </w14:textFill>
        </w:rPr>
      </w:pPr>
      <w:r>
        <w:rPr>
          <w:rFonts w:hint="eastAsia" w:ascii="方正楷体_GBK" w:hAnsi="方正楷体_GBK" w:eastAsia="方正楷体_GBK" w:cs="方正楷体_GBK"/>
          <w:color w:val="000000" w:themeColor="text1"/>
          <w:kern w:val="0"/>
          <w:sz w:val="32"/>
          <w:szCs w:val="32"/>
          <w:shd w:val="clear" w:color="auto" w:fill="FFFFFF"/>
          <w:lang w:val="en-US" w:eastAsia="zh-CN" w:bidi="ar-SA"/>
          <w14:textFill>
            <w14:solidFill>
              <w14:schemeClr w14:val="tx1"/>
            </w14:solidFill>
          </w14:textFill>
        </w:rPr>
        <w:t>（六）加强补贴退出、变更、发放关系转移工作。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i w:val="0"/>
          <w:caps w:val="0"/>
          <w:color w:val="000000"/>
          <w:spacing w:val="0"/>
          <w:sz w:val="32"/>
          <w:szCs w:val="32"/>
        </w:rPr>
      </w:pPr>
      <w:r>
        <w:rPr>
          <w:rFonts w:hint="eastAsia" w:ascii="仿宋" w:hAnsi="仿宋" w:eastAsia="仿宋" w:cs="仿宋"/>
          <w:b w:val="0"/>
          <w:bCs w:val="0"/>
          <w:color w:val="000000"/>
          <w:kern w:val="0"/>
          <w:sz w:val="32"/>
          <w:szCs w:val="32"/>
          <w:lang w:val="en-US" w:eastAsia="zh-CN" w:bidi="ar-SA"/>
        </w:rPr>
        <w:t>1.健全补贴退出机制。</w:t>
      </w: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残疾人享受补贴期间死亡、户籍迁出、残疾人证过期、残疾人证冻结、残疾人证注销、退出低保、残疾等级变化，不再符合补贴条件的，应于次月停发补贴。享受补贴期间被人民法院判处有期徒刑以上刑罚，且需在监狱服刑的残疾人，自判决生效后次月起停发补贴，服刑期满后符合条件的可按照程序重新申请补贴。享受补贴期间新享受</w:t>
      </w:r>
      <w:r>
        <w:rPr>
          <w:rFonts w:hint="eastAsia" w:ascii="仿宋" w:hAnsi="仿宋" w:eastAsia="仿宋" w:cs="仿宋"/>
          <w:b w:val="0"/>
          <w:bCs w:val="0"/>
          <w:color w:val="000000" w:themeColor="text1"/>
          <w:sz w:val="32"/>
          <w:szCs w:val="32"/>
          <w:shd w:val="clear" w:color="auto" w:fill="FFFFFF"/>
          <w:lang w:val="zh-CN"/>
          <w14:textFill>
            <w14:solidFill>
              <w14:schemeClr w14:val="tx1"/>
            </w14:solidFill>
          </w14:textFill>
        </w:rPr>
        <w:t>孤儿基本生活保障、</w:t>
      </w:r>
      <w:r>
        <w:rPr>
          <w:rFonts w:hint="eastAsia" w:ascii="仿宋" w:hAnsi="仿宋" w:eastAsia="仿宋" w:cs="仿宋"/>
          <w:b w:val="0"/>
          <w:bCs w:val="0"/>
          <w:color w:val="000000" w:themeColor="text1"/>
          <w:sz w:val="32"/>
          <w:szCs w:val="32"/>
          <w:shd w:val="clear" w:color="auto" w:fill="FFFFFF"/>
          <w14:textFill>
            <w14:solidFill>
              <w14:schemeClr w14:val="tx1"/>
            </w14:solidFill>
          </w14:textFill>
        </w:rPr>
        <w:t>特困人员供养</w:t>
      </w:r>
      <w:r>
        <w:rPr>
          <w:rFonts w:hint="eastAsia" w:ascii="仿宋" w:hAnsi="仿宋" w:eastAsia="仿宋" w:cs="仿宋"/>
          <w:b w:val="0"/>
          <w:bCs w:val="0"/>
          <w:color w:val="000000" w:themeColor="text1"/>
          <w:sz w:val="32"/>
          <w:szCs w:val="32"/>
          <w:shd w:val="clear" w:color="auto" w:fill="FFFFFF"/>
          <w:lang w:eastAsia="zh-CN"/>
          <w14:textFill>
            <w14:solidFill>
              <w14:schemeClr w14:val="tx1"/>
            </w14:solidFill>
          </w14:textFill>
        </w:rPr>
        <w:t>、</w:t>
      </w:r>
      <w:r>
        <w:rPr>
          <w:rFonts w:hint="eastAsia" w:ascii="仿宋" w:hAnsi="仿宋" w:eastAsia="仿宋" w:cs="仿宋"/>
          <w:b w:val="0"/>
          <w:bCs w:val="0"/>
          <w:color w:val="000000" w:themeColor="text1"/>
          <w:sz w:val="32"/>
          <w:szCs w:val="32"/>
          <w:shd w:val="clear" w:color="auto" w:fill="FFFFFF"/>
          <w14:textFill>
            <w14:solidFill>
              <w14:schemeClr w14:val="tx1"/>
            </w14:solidFill>
          </w14:textFill>
        </w:rPr>
        <w:t>工伤保险生活护理费</w:t>
      </w: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待遇的，自享受以上待遇的次月起停发涉及政策衔接的补贴。享受困难残疾人生活补贴的</w:t>
      </w:r>
      <w:r>
        <w:rPr>
          <w:rFonts w:hint="eastAsia" w:ascii="仿宋" w:hAnsi="仿宋" w:eastAsia="仿宋" w:cs="仿宋"/>
          <w:b w:val="0"/>
          <w:bCs w:val="0"/>
          <w:color w:val="000000" w:themeColor="text1"/>
          <w:sz w:val="32"/>
          <w:szCs w:val="32"/>
          <w:shd w:val="clear" w:color="auto" w:fill="FFFFFF"/>
          <w14:textFill>
            <w14:solidFill>
              <w14:schemeClr w14:val="tx1"/>
            </w14:solidFill>
          </w14:textFill>
        </w:rPr>
        <w:t>低保家庭外</w:t>
      </w: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无固定收入</w:t>
      </w:r>
      <w:r>
        <w:rPr>
          <w:rFonts w:hint="eastAsia" w:ascii="仿宋" w:hAnsi="仿宋" w:eastAsia="仿宋" w:cs="仿宋"/>
          <w:b w:val="0"/>
          <w:bCs w:val="0"/>
          <w:color w:val="000000" w:themeColor="text1"/>
          <w:sz w:val="32"/>
          <w:szCs w:val="32"/>
          <w:shd w:val="clear" w:color="auto" w:fill="FFFFFF"/>
          <w14:textFill>
            <w14:solidFill>
              <w14:schemeClr w14:val="tx1"/>
            </w14:solidFill>
          </w14:textFill>
        </w:rPr>
        <w:t>的智力、肢体、精神、盲视力重度残疾人，家庭人均收入在当地低保标准2倍以内的一户多残、依老养残特殊困难残疾人</w:t>
      </w:r>
      <w:r>
        <w:rPr>
          <w:rFonts w:hint="eastAsia" w:ascii="仿宋" w:hAnsi="仿宋" w:eastAsia="仿宋" w:cs="仿宋"/>
          <w:b w:val="0"/>
          <w:bCs w:val="0"/>
          <w:color w:val="000000" w:themeColor="text1"/>
          <w:sz w:val="32"/>
          <w:szCs w:val="32"/>
          <w:shd w:val="clear" w:color="auto" w:fill="FFFFFF"/>
          <w:lang w:eastAsia="zh-CN"/>
          <w14:textFill>
            <w14:solidFill>
              <w14:schemeClr w14:val="tx1"/>
            </w14:solidFill>
          </w14:textFill>
        </w:rPr>
        <w:t>，</w:t>
      </w:r>
      <w:r>
        <w:rPr>
          <w:rFonts w:hint="eastAsia" w:ascii="仿宋" w:hAnsi="仿宋" w:eastAsia="仿宋" w:cs="仿宋"/>
          <w:b w:val="0"/>
          <w:bCs w:val="0"/>
          <w:color w:val="000000" w:themeColor="text1"/>
          <w:sz w:val="32"/>
          <w:szCs w:val="32"/>
          <w:shd w:val="clear" w:color="auto" w:fill="FFFFFF"/>
          <w:lang w:val="en-US" w:eastAsia="zh-CN"/>
          <w14:textFill>
            <w14:solidFill>
              <w14:schemeClr w14:val="tx1"/>
            </w14:solidFill>
          </w14:textFill>
        </w:rPr>
        <w:t>每年1月和7月开展全员集中经济状况核定，核定后不再符合补贴享受条件的，应于次月停发补贴。</w:t>
      </w:r>
      <w:r>
        <w:rPr>
          <w:rFonts w:hint="eastAsia" w:ascii="仿宋" w:hAnsi="仿宋" w:eastAsia="仿宋" w:cs="仿宋"/>
          <w:b w:val="0"/>
          <w:bCs w:val="0"/>
          <w:i w:val="0"/>
          <w:caps w:val="0"/>
          <w:color w:val="000000"/>
          <w:spacing w:val="0"/>
          <w:sz w:val="32"/>
          <w:szCs w:val="32"/>
        </w:rPr>
        <w:t>乡镇（街道）通过数据比对</w:t>
      </w:r>
      <w:r>
        <w:rPr>
          <w:rFonts w:hint="eastAsia" w:ascii="仿宋" w:hAnsi="仿宋" w:eastAsia="仿宋" w:cs="仿宋"/>
          <w:b w:val="0"/>
          <w:bCs w:val="0"/>
          <w:i w:val="0"/>
          <w:caps w:val="0"/>
          <w:color w:val="000000"/>
          <w:spacing w:val="0"/>
          <w:sz w:val="32"/>
          <w:szCs w:val="32"/>
          <w:lang w:eastAsia="zh-CN"/>
        </w:rPr>
        <w:t>、</w:t>
      </w:r>
      <w:r>
        <w:rPr>
          <w:rFonts w:hint="eastAsia" w:ascii="仿宋" w:hAnsi="仿宋" w:eastAsia="仿宋" w:cs="仿宋"/>
          <w:b w:val="0"/>
          <w:bCs w:val="0"/>
          <w:i w:val="0"/>
          <w:caps w:val="0"/>
          <w:color w:val="000000"/>
          <w:spacing w:val="0"/>
          <w:sz w:val="32"/>
          <w:szCs w:val="32"/>
          <w:lang w:val="en-US" w:eastAsia="zh-CN"/>
        </w:rPr>
        <w:t>申请人主动申报</w:t>
      </w:r>
      <w:r>
        <w:rPr>
          <w:rFonts w:hint="eastAsia" w:ascii="仿宋" w:hAnsi="仿宋" w:eastAsia="仿宋" w:cs="仿宋"/>
          <w:b w:val="0"/>
          <w:bCs w:val="0"/>
          <w:i w:val="0"/>
          <w:caps w:val="0"/>
          <w:color w:val="000000"/>
          <w:spacing w:val="0"/>
          <w:sz w:val="32"/>
          <w:szCs w:val="32"/>
        </w:rPr>
        <w:t>等方式</w:t>
      </w:r>
      <w:r>
        <w:rPr>
          <w:rFonts w:hint="eastAsia" w:ascii="仿宋" w:hAnsi="仿宋" w:eastAsia="仿宋" w:cs="仿宋"/>
          <w:b w:val="0"/>
          <w:bCs w:val="0"/>
          <w:i w:val="0"/>
          <w:caps w:val="0"/>
          <w:color w:val="000000"/>
          <w:spacing w:val="0"/>
          <w:sz w:val="32"/>
          <w:szCs w:val="32"/>
          <w:lang w:val="en-US" w:eastAsia="zh-CN"/>
        </w:rPr>
        <w:t>掌握以上情况并</w:t>
      </w:r>
      <w:r>
        <w:rPr>
          <w:rFonts w:hint="eastAsia" w:ascii="仿宋" w:hAnsi="仿宋" w:eastAsia="仿宋" w:cs="仿宋"/>
          <w:b w:val="0"/>
          <w:bCs w:val="0"/>
          <w:i w:val="0"/>
          <w:caps w:val="0"/>
          <w:color w:val="000000"/>
          <w:spacing w:val="0"/>
          <w:sz w:val="32"/>
          <w:szCs w:val="32"/>
        </w:rPr>
        <w:t>核实后</w:t>
      </w:r>
      <w:r>
        <w:rPr>
          <w:rFonts w:hint="eastAsia" w:ascii="仿宋" w:hAnsi="仿宋" w:eastAsia="仿宋" w:cs="仿宋"/>
          <w:b w:val="0"/>
          <w:bCs w:val="0"/>
          <w:i w:val="0"/>
          <w:caps w:val="0"/>
          <w:color w:val="000000"/>
          <w:spacing w:val="0"/>
          <w:sz w:val="32"/>
          <w:szCs w:val="32"/>
          <w:lang w:eastAsia="zh-CN"/>
        </w:rPr>
        <w:t>，</w:t>
      </w:r>
      <w:r>
        <w:rPr>
          <w:rFonts w:hint="eastAsia" w:ascii="仿宋" w:hAnsi="仿宋" w:eastAsia="仿宋" w:cs="仿宋"/>
          <w:b w:val="0"/>
          <w:bCs w:val="0"/>
          <w:i w:val="0"/>
          <w:caps w:val="0"/>
          <w:color w:val="000000"/>
          <w:spacing w:val="0"/>
          <w:sz w:val="32"/>
          <w:szCs w:val="32"/>
          <w:lang w:val="en-US" w:eastAsia="zh-CN"/>
        </w:rPr>
        <w:t>办理停发业务，</w:t>
      </w:r>
      <w:r>
        <w:rPr>
          <w:rFonts w:hint="eastAsia" w:ascii="仿宋" w:hAnsi="仿宋" w:eastAsia="仿宋" w:cs="仿宋"/>
          <w:b w:val="0"/>
          <w:bCs w:val="0"/>
          <w:i w:val="0"/>
          <w:caps w:val="0"/>
          <w:color w:val="000000"/>
          <w:spacing w:val="0"/>
          <w:sz w:val="32"/>
          <w:szCs w:val="32"/>
        </w:rPr>
        <w:t>出具《补贴停止发放通知书》，于次月停发补贴。</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2.规范补贴变更程序。</w:t>
      </w:r>
      <w:r>
        <w:rPr>
          <w:rFonts w:hint="eastAsia" w:ascii="仿宋" w:hAnsi="仿宋" w:eastAsia="仿宋" w:cs="仿宋"/>
          <w:b w:val="0"/>
          <w:bCs w:val="0"/>
          <w:i w:val="0"/>
          <w:caps w:val="0"/>
          <w:color w:val="000000"/>
          <w:spacing w:val="0"/>
          <w:sz w:val="32"/>
          <w:szCs w:val="32"/>
        </w:rPr>
        <w:t>已享受补贴的残疾人</w:t>
      </w:r>
      <w:r>
        <w:rPr>
          <w:rFonts w:hint="eastAsia" w:ascii="仿宋" w:hAnsi="仿宋" w:eastAsia="仿宋" w:cs="仿宋"/>
          <w:b w:val="0"/>
          <w:bCs w:val="0"/>
          <w:i w:val="0"/>
          <w:caps w:val="0"/>
          <w:color w:val="000000"/>
          <w:spacing w:val="0"/>
          <w:sz w:val="32"/>
          <w:szCs w:val="32"/>
          <w:lang w:val="en-US" w:eastAsia="zh-CN"/>
        </w:rPr>
        <w:t>发生</w:t>
      </w:r>
      <w:r>
        <w:rPr>
          <w:rFonts w:hint="eastAsia" w:ascii="仿宋" w:hAnsi="仿宋" w:eastAsia="仿宋" w:cs="仿宋"/>
          <w:b w:val="0"/>
          <w:bCs w:val="0"/>
          <w:i w:val="0"/>
          <w:caps w:val="0"/>
          <w:color w:val="000000"/>
          <w:spacing w:val="0"/>
          <w:sz w:val="32"/>
          <w:szCs w:val="32"/>
        </w:rPr>
        <w:t>残疾类别、等级或经济状况变化</w:t>
      </w:r>
      <w:r>
        <w:rPr>
          <w:rFonts w:hint="eastAsia" w:ascii="仿宋" w:hAnsi="仿宋" w:eastAsia="仿宋" w:cs="仿宋"/>
          <w:b w:val="0"/>
          <w:bCs w:val="0"/>
          <w:i w:val="0"/>
          <w:caps w:val="0"/>
          <w:color w:val="000000"/>
          <w:spacing w:val="0"/>
          <w:sz w:val="32"/>
          <w:szCs w:val="32"/>
          <w:lang w:val="en-US" w:eastAsia="zh-CN"/>
        </w:rPr>
        <w:t>等情况</w:t>
      </w:r>
      <w:r>
        <w:rPr>
          <w:rFonts w:hint="eastAsia" w:ascii="仿宋" w:hAnsi="仿宋" w:eastAsia="仿宋" w:cs="仿宋"/>
          <w:b w:val="0"/>
          <w:bCs w:val="0"/>
          <w:i w:val="0"/>
          <w:caps w:val="0"/>
          <w:color w:val="000000"/>
          <w:spacing w:val="0"/>
          <w:sz w:val="32"/>
          <w:szCs w:val="32"/>
        </w:rPr>
        <w:t>导致补贴标准调整的，应提出补贴变更申请</w:t>
      </w:r>
      <w:r>
        <w:rPr>
          <w:rFonts w:hint="eastAsia" w:ascii="仿宋" w:hAnsi="仿宋" w:eastAsia="仿宋" w:cs="仿宋"/>
          <w:b w:val="0"/>
          <w:bCs w:val="0"/>
          <w:i w:val="0"/>
          <w:caps w:val="0"/>
          <w:color w:val="000000"/>
          <w:spacing w:val="0"/>
          <w:sz w:val="32"/>
          <w:szCs w:val="32"/>
          <w:lang w:eastAsia="zh-CN"/>
        </w:rPr>
        <w:t>。</w:t>
      </w:r>
      <w:r>
        <w:rPr>
          <w:rFonts w:hint="eastAsia" w:ascii="仿宋" w:hAnsi="仿宋" w:eastAsia="仿宋" w:cs="仿宋"/>
          <w:b w:val="0"/>
          <w:bCs w:val="0"/>
          <w:i w:val="0"/>
          <w:caps w:val="0"/>
          <w:color w:val="000000"/>
          <w:spacing w:val="0"/>
          <w:sz w:val="32"/>
          <w:szCs w:val="32"/>
        </w:rPr>
        <w:t>残疾人未主动提出变更申请的，</w:t>
      </w:r>
      <w:r>
        <w:rPr>
          <w:rFonts w:hint="eastAsia" w:ascii="仿宋" w:hAnsi="仿宋" w:eastAsia="仿宋" w:cs="仿宋"/>
          <w:b w:val="0"/>
          <w:bCs w:val="0"/>
          <w:i w:val="0"/>
          <w:caps w:val="0"/>
          <w:color w:val="000000"/>
          <w:spacing w:val="0"/>
          <w:sz w:val="32"/>
          <w:szCs w:val="32"/>
          <w:lang w:val="en-US" w:eastAsia="zh-CN"/>
        </w:rPr>
        <w:t>相关部门和乡镇（街道）通过定期数据比对等方式掌握残疾人</w:t>
      </w:r>
      <w:r>
        <w:rPr>
          <w:rFonts w:hint="eastAsia" w:ascii="仿宋" w:hAnsi="仿宋" w:eastAsia="仿宋" w:cs="仿宋"/>
          <w:b w:val="0"/>
          <w:bCs w:val="0"/>
          <w:i w:val="0"/>
          <w:caps w:val="0"/>
          <w:color w:val="000000"/>
          <w:spacing w:val="0"/>
          <w:sz w:val="32"/>
          <w:szCs w:val="32"/>
        </w:rPr>
        <w:t>资格变更信息</w:t>
      </w:r>
      <w:r>
        <w:rPr>
          <w:rFonts w:hint="eastAsia" w:ascii="仿宋" w:hAnsi="仿宋" w:eastAsia="仿宋" w:cs="仿宋"/>
          <w:b w:val="0"/>
          <w:bCs w:val="0"/>
          <w:i w:val="0"/>
          <w:caps w:val="0"/>
          <w:color w:val="000000"/>
          <w:spacing w:val="0"/>
          <w:sz w:val="32"/>
          <w:szCs w:val="32"/>
          <w:lang w:val="en-US" w:eastAsia="zh-CN"/>
        </w:rPr>
        <w:t>后，应主动</w:t>
      </w:r>
      <w:r>
        <w:rPr>
          <w:rFonts w:hint="eastAsia" w:ascii="仿宋" w:hAnsi="仿宋" w:eastAsia="仿宋" w:cs="仿宋"/>
          <w:b w:val="0"/>
          <w:bCs w:val="0"/>
          <w:i w:val="0"/>
          <w:caps w:val="0"/>
          <w:color w:val="000000"/>
          <w:spacing w:val="0"/>
          <w:sz w:val="32"/>
          <w:szCs w:val="32"/>
        </w:rPr>
        <w:t>通知残疾人办理，业务流程参照</w:t>
      </w:r>
      <w:r>
        <w:rPr>
          <w:rFonts w:hint="eastAsia" w:ascii="仿宋" w:hAnsi="仿宋" w:eastAsia="仿宋" w:cs="仿宋"/>
          <w:b w:val="0"/>
          <w:bCs w:val="0"/>
          <w:i w:val="0"/>
          <w:caps w:val="0"/>
          <w:color w:val="000000"/>
          <w:spacing w:val="0"/>
          <w:sz w:val="32"/>
          <w:szCs w:val="32"/>
          <w:lang w:val="en-US" w:eastAsia="zh-CN"/>
        </w:rPr>
        <w:t>补贴</w:t>
      </w:r>
      <w:r>
        <w:rPr>
          <w:rFonts w:hint="eastAsia" w:ascii="仿宋" w:hAnsi="仿宋" w:eastAsia="仿宋" w:cs="仿宋"/>
          <w:b w:val="0"/>
          <w:bCs w:val="0"/>
          <w:i w:val="0"/>
          <w:caps w:val="0"/>
          <w:color w:val="000000"/>
          <w:spacing w:val="0"/>
          <w:sz w:val="32"/>
          <w:szCs w:val="32"/>
        </w:rPr>
        <w:t>申</w:t>
      </w:r>
      <w:r>
        <w:rPr>
          <w:rFonts w:hint="eastAsia" w:ascii="仿宋" w:hAnsi="仿宋" w:eastAsia="仿宋" w:cs="仿宋"/>
          <w:b w:val="0"/>
          <w:bCs w:val="0"/>
          <w:i w:val="0"/>
          <w:caps w:val="0"/>
          <w:color w:val="000000"/>
          <w:spacing w:val="0"/>
          <w:sz w:val="32"/>
          <w:szCs w:val="32"/>
          <w:lang w:val="en-US" w:eastAsia="zh-CN"/>
        </w:rPr>
        <w:t>办</w:t>
      </w:r>
      <w:r>
        <w:rPr>
          <w:rFonts w:hint="eastAsia" w:ascii="仿宋" w:hAnsi="仿宋" w:eastAsia="仿宋" w:cs="仿宋"/>
          <w:b w:val="0"/>
          <w:bCs w:val="0"/>
          <w:i w:val="0"/>
          <w:caps w:val="0"/>
          <w:color w:val="000000"/>
          <w:spacing w:val="0"/>
          <w:sz w:val="32"/>
          <w:szCs w:val="32"/>
        </w:rPr>
        <w:t>流程，</w:t>
      </w:r>
      <w:r>
        <w:rPr>
          <w:rFonts w:hint="eastAsia" w:ascii="仿宋" w:hAnsi="仿宋" w:eastAsia="仿宋" w:cs="仿宋"/>
          <w:b w:val="0"/>
          <w:bCs w:val="0"/>
          <w:i w:val="0"/>
          <w:caps w:val="0"/>
          <w:color w:val="000000"/>
          <w:spacing w:val="0"/>
          <w:sz w:val="32"/>
          <w:szCs w:val="32"/>
          <w:lang w:val="en-US" w:eastAsia="zh-CN"/>
        </w:rPr>
        <w:t>补贴变更申请通过审定后，县级民政部门</w:t>
      </w:r>
      <w:r>
        <w:rPr>
          <w:rFonts w:hint="eastAsia" w:ascii="仿宋" w:hAnsi="仿宋" w:eastAsia="仿宋" w:cs="仿宋"/>
          <w:b w:val="0"/>
          <w:bCs w:val="0"/>
          <w:i w:val="0"/>
          <w:caps w:val="0"/>
          <w:color w:val="000000"/>
          <w:spacing w:val="0"/>
          <w:sz w:val="32"/>
          <w:szCs w:val="32"/>
        </w:rPr>
        <w:t>出具《补贴变更通知书》</w:t>
      </w:r>
      <w:r>
        <w:rPr>
          <w:rFonts w:hint="eastAsia" w:ascii="仿宋" w:hAnsi="仿宋" w:eastAsia="仿宋" w:cs="仿宋"/>
          <w:b w:val="0"/>
          <w:bCs w:val="0"/>
          <w:i w:val="0"/>
          <w:caps w:val="0"/>
          <w:color w:val="000000"/>
          <w:spacing w:val="0"/>
          <w:sz w:val="32"/>
          <w:szCs w:val="32"/>
          <w:lang w:eastAsia="zh-CN"/>
        </w:rPr>
        <w:t>，</w:t>
      </w:r>
      <w:r>
        <w:rPr>
          <w:rFonts w:hint="eastAsia" w:ascii="仿宋" w:hAnsi="仿宋" w:eastAsia="仿宋" w:cs="仿宋"/>
          <w:b w:val="0"/>
          <w:bCs w:val="0"/>
          <w:i w:val="0"/>
          <w:caps w:val="0"/>
          <w:color w:val="000000"/>
          <w:spacing w:val="0"/>
          <w:sz w:val="32"/>
          <w:szCs w:val="32"/>
          <w:lang w:val="en-US" w:eastAsia="zh-CN"/>
        </w:rPr>
        <w:t>并</w:t>
      </w:r>
      <w:r>
        <w:rPr>
          <w:rFonts w:hint="eastAsia" w:ascii="仿宋" w:hAnsi="仿宋" w:eastAsia="仿宋" w:cs="仿宋"/>
          <w:b w:val="0"/>
          <w:bCs w:val="0"/>
          <w:color w:val="000000"/>
          <w:kern w:val="2"/>
          <w:sz w:val="32"/>
          <w:szCs w:val="32"/>
          <w:lang w:val="en-US" w:eastAsia="zh-CN" w:bidi="ar-SA"/>
        </w:rPr>
        <w:t>将变更情况通知乡镇（街道），由乡镇（街道）在收到变更情况</w:t>
      </w:r>
      <w:r>
        <w:rPr>
          <w:rFonts w:hint="eastAsia" w:ascii="仿宋" w:hAnsi="仿宋" w:eastAsia="仿宋" w:cs="仿宋"/>
          <w:b w:val="0"/>
          <w:bCs w:val="0"/>
          <w:sz w:val="32"/>
          <w:szCs w:val="32"/>
          <w:lang w:val="en-US" w:eastAsia="zh-CN"/>
        </w:rPr>
        <w:t>3个工作日内通知残疾人，并做好通知记录。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color w:val="000000" w:themeColor="text1"/>
          <w:sz w:val="32"/>
          <w:szCs w:val="32"/>
          <w:shd w:val="clear" w:color="auto" w:fill="FFFFFF"/>
          <w14:textFill>
            <w14:solidFill>
              <w14:schemeClr w14:val="tx1"/>
            </w14:solidFill>
          </w14:textFill>
        </w:rPr>
      </w:pPr>
      <w:r>
        <w:rPr>
          <w:rFonts w:hint="eastAsia" w:ascii="仿宋" w:hAnsi="仿宋" w:eastAsia="仿宋" w:cs="仿宋"/>
          <w:b w:val="0"/>
          <w:bCs w:val="0"/>
          <w:i w:val="0"/>
          <w:caps w:val="0"/>
          <w:color w:val="000000"/>
          <w:spacing w:val="0"/>
          <w:sz w:val="32"/>
          <w:szCs w:val="32"/>
          <w:lang w:val="en-US" w:eastAsia="zh-CN"/>
        </w:rPr>
        <w:t>3.推进开展补贴发放关系转移。</w:t>
      </w:r>
      <w:r>
        <w:rPr>
          <w:rFonts w:hint="eastAsia" w:ascii="仿宋" w:hAnsi="仿宋" w:eastAsia="仿宋" w:cs="仿宋"/>
          <w:b w:val="0"/>
          <w:bCs w:val="0"/>
          <w:sz w:val="32"/>
          <w:szCs w:val="32"/>
          <w:lang w:val="en-US" w:eastAsia="zh-CN"/>
        </w:rPr>
        <w:t>已享受补贴的残疾人跨</w:t>
      </w:r>
      <w:r>
        <w:rPr>
          <w:rFonts w:hint="eastAsia" w:ascii="仿宋" w:hAnsi="仿宋" w:eastAsia="仿宋" w:cs="仿宋"/>
          <w:b w:val="0"/>
          <w:bCs w:val="0"/>
          <w:i w:val="0"/>
          <w:caps w:val="0"/>
          <w:color w:val="000000"/>
          <w:spacing w:val="0"/>
          <w:sz w:val="32"/>
          <w:szCs w:val="32"/>
        </w:rPr>
        <w:t>乡镇（街道）</w:t>
      </w:r>
      <w:r>
        <w:rPr>
          <w:rFonts w:hint="eastAsia" w:ascii="仿宋" w:hAnsi="仿宋" w:eastAsia="仿宋" w:cs="仿宋"/>
          <w:b w:val="0"/>
          <w:bCs w:val="0"/>
          <w:sz w:val="32"/>
          <w:szCs w:val="32"/>
          <w:lang w:val="en-US" w:eastAsia="zh-CN"/>
        </w:rPr>
        <w:t>户籍迁移的，户籍迁出地应于次月停发其补贴，并在</w:t>
      </w:r>
      <w:r>
        <w:rPr>
          <w:rFonts w:hint="eastAsia" w:ascii="仿宋" w:hAnsi="仿宋" w:eastAsia="仿宋" w:cs="仿宋"/>
          <w:b w:val="0"/>
          <w:bCs w:val="0"/>
          <w:i w:val="0"/>
          <w:caps w:val="0"/>
          <w:color w:val="000000"/>
          <w:spacing w:val="0"/>
          <w:sz w:val="32"/>
          <w:szCs w:val="32"/>
        </w:rPr>
        <w:t>《补贴停止发放通知书》</w:t>
      </w:r>
      <w:r>
        <w:rPr>
          <w:rFonts w:hint="eastAsia" w:ascii="仿宋" w:hAnsi="仿宋" w:eastAsia="仿宋" w:cs="仿宋"/>
          <w:b w:val="0"/>
          <w:bCs w:val="0"/>
          <w:i w:val="0"/>
          <w:caps w:val="0"/>
          <w:color w:val="000000"/>
          <w:spacing w:val="0"/>
          <w:sz w:val="32"/>
          <w:szCs w:val="32"/>
          <w:lang w:val="en-US" w:eastAsia="zh-CN"/>
        </w:rPr>
        <w:t>中提醒残疾人及时到户籍迁入地重新申请办理补贴</w:t>
      </w:r>
      <w:r>
        <w:rPr>
          <w:rFonts w:hint="eastAsia" w:ascii="仿宋" w:hAnsi="仿宋" w:eastAsia="仿宋" w:cs="仿宋"/>
          <w:b w:val="0"/>
          <w:bCs w:val="0"/>
          <w:sz w:val="32"/>
          <w:szCs w:val="32"/>
          <w:lang w:val="en-US" w:eastAsia="zh-CN"/>
        </w:rPr>
        <w:t>。残疾人户籍迁移后应及时到户籍迁入地重新申请办理补贴。在区域间补贴政策一致的地区，条件成熟的，可在区域范围内开展补贴发放关系转移，根据</w:t>
      </w:r>
      <w:r>
        <w:rPr>
          <w:rFonts w:hint="eastAsia" w:ascii="仿宋" w:hAnsi="仿宋" w:eastAsia="仿宋" w:cs="仿宋"/>
          <w:b w:val="0"/>
          <w:bCs w:val="0"/>
          <w:i w:val="0"/>
          <w:caps w:val="0"/>
          <w:color w:val="000000"/>
          <w:spacing w:val="0"/>
          <w:sz w:val="32"/>
          <w:szCs w:val="32"/>
        </w:rPr>
        <w:t>残疾人</w:t>
      </w:r>
      <w:r>
        <w:rPr>
          <w:rFonts w:hint="eastAsia" w:ascii="仿宋" w:hAnsi="仿宋" w:eastAsia="仿宋" w:cs="仿宋"/>
          <w:b w:val="0"/>
          <w:bCs w:val="0"/>
          <w:i w:val="0"/>
          <w:caps w:val="0"/>
          <w:color w:val="000000"/>
          <w:spacing w:val="0"/>
          <w:sz w:val="32"/>
          <w:szCs w:val="32"/>
          <w:lang w:val="en-US" w:eastAsia="zh-CN"/>
        </w:rPr>
        <w:t>本人意愿</w:t>
      </w:r>
      <w:r>
        <w:rPr>
          <w:rFonts w:hint="eastAsia" w:ascii="仿宋" w:hAnsi="仿宋" w:eastAsia="仿宋" w:cs="仿宋"/>
          <w:b w:val="0"/>
          <w:bCs w:val="0"/>
          <w:i w:val="0"/>
          <w:caps w:val="0"/>
          <w:color w:val="000000"/>
          <w:spacing w:val="0"/>
          <w:sz w:val="32"/>
          <w:szCs w:val="32"/>
        </w:rPr>
        <w:t>，由</w:t>
      </w:r>
      <w:r>
        <w:rPr>
          <w:rFonts w:hint="eastAsia" w:ascii="仿宋" w:hAnsi="仿宋" w:eastAsia="仿宋" w:cs="仿宋"/>
          <w:b w:val="0"/>
          <w:bCs w:val="0"/>
          <w:sz w:val="32"/>
          <w:szCs w:val="32"/>
          <w:lang w:val="en-US" w:eastAsia="zh-CN"/>
        </w:rPr>
        <w:t>户籍迁出地</w:t>
      </w:r>
      <w:r>
        <w:rPr>
          <w:rFonts w:hint="eastAsia" w:ascii="仿宋" w:hAnsi="仿宋" w:eastAsia="仿宋" w:cs="仿宋"/>
          <w:b w:val="0"/>
          <w:bCs w:val="0"/>
          <w:i w:val="0"/>
          <w:caps w:val="0"/>
          <w:color w:val="000000"/>
          <w:spacing w:val="0"/>
          <w:sz w:val="32"/>
          <w:szCs w:val="32"/>
        </w:rPr>
        <w:t>乡镇（街道）与</w:t>
      </w:r>
      <w:r>
        <w:rPr>
          <w:rFonts w:hint="eastAsia" w:ascii="仿宋" w:hAnsi="仿宋" w:eastAsia="仿宋" w:cs="仿宋"/>
          <w:b w:val="0"/>
          <w:bCs w:val="0"/>
          <w:sz w:val="32"/>
          <w:szCs w:val="32"/>
          <w:lang w:val="en-US" w:eastAsia="zh-CN"/>
        </w:rPr>
        <w:t>户籍迁入地</w:t>
      </w:r>
      <w:r>
        <w:rPr>
          <w:rFonts w:hint="eastAsia" w:ascii="仿宋" w:hAnsi="仿宋" w:eastAsia="仿宋" w:cs="仿宋"/>
          <w:b w:val="0"/>
          <w:bCs w:val="0"/>
          <w:i w:val="0"/>
          <w:caps w:val="0"/>
          <w:color w:val="000000"/>
          <w:spacing w:val="0"/>
          <w:sz w:val="32"/>
          <w:szCs w:val="32"/>
        </w:rPr>
        <w:t>乡镇（街道）对接，</w:t>
      </w:r>
      <w:r>
        <w:rPr>
          <w:rFonts w:hint="eastAsia" w:ascii="仿宋" w:hAnsi="仿宋" w:eastAsia="仿宋" w:cs="仿宋"/>
          <w:b w:val="0"/>
          <w:bCs w:val="0"/>
          <w:sz w:val="32"/>
          <w:szCs w:val="32"/>
          <w:lang w:val="en-US" w:eastAsia="zh-CN"/>
        </w:rPr>
        <w:t>户籍迁出地</w:t>
      </w:r>
      <w:r>
        <w:rPr>
          <w:rFonts w:hint="eastAsia" w:ascii="仿宋" w:hAnsi="仿宋" w:eastAsia="仿宋" w:cs="仿宋"/>
          <w:b w:val="0"/>
          <w:bCs w:val="0"/>
          <w:i w:val="0"/>
          <w:caps w:val="0"/>
          <w:color w:val="000000"/>
          <w:spacing w:val="0"/>
          <w:sz w:val="32"/>
          <w:szCs w:val="32"/>
        </w:rPr>
        <w:t>乡镇（街道）向</w:t>
      </w:r>
      <w:r>
        <w:rPr>
          <w:rFonts w:hint="eastAsia" w:ascii="仿宋" w:hAnsi="仿宋" w:eastAsia="仿宋" w:cs="仿宋"/>
          <w:b w:val="0"/>
          <w:bCs w:val="0"/>
          <w:sz w:val="32"/>
          <w:szCs w:val="32"/>
          <w:lang w:val="en-US" w:eastAsia="zh-CN"/>
        </w:rPr>
        <w:t>户籍迁入地</w:t>
      </w:r>
      <w:r>
        <w:rPr>
          <w:rFonts w:hint="eastAsia" w:ascii="仿宋" w:hAnsi="仿宋" w:eastAsia="仿宋" w:cs="仿宋"/>
          <w:b w:val="0"/>
          <w:bCs w:val="0"/>
          <w:i w:val="0"/>
          <w:caps w:val="0"/>
          <w:color w:val="000000"/>
          <w:spacing w:val="0"/>
          <w:sz w:val="32"/>
          <w:szCs w:val="32"/>
        </w:rPr>
        <w:t>乡镇（街道）出具《两项补贴发放关系转移单》，转移</w:t>
      </w:r>
      <w:r>
        <w:rPr>
          <w:rFonts w:hint="eastAsia" w:ascii="仿宋" w:hAnsi="仿宋" w:eastAsia="仿宋" w:cs="仿宋"/>
          <w:b w:val="0"/>
          <w:bCs w:val="0"/>
          <w:i w:val="0"/>
          <w:caps w:val="0"/>
          <w:color w:val="000000"/>
          <w:spacing w:val="0"/>
          <w:sz w:val="32"/>
          <w:szCs w:val="32"/>
          <w:lang w:val="en-US" w:eastAsia="zh-CN"/>
        </w:rPr>
        <w:t>补贴对象档案</w:t>
      </w:r>
      <w:r>
        <w:rPr>
          <w:rFonts w:hint="eastAsia" w:ascii="仿宋" w:hAnsi="仿宋" w:eastAsia="仿宋" w:cs="仿宋"/>
          <w:b w:val="0"/>
          <w:bCs w:val="0"/>
          <w:i w:val="0"/>
          <w:caps w:val="0"/>
          <w:color w:val="000000"/>
          <w:spacing w:val="0"/>
          <w:sz w:val="32"/>
          <w:szCs w:val="32"/>
        </w:rPr>
        <w:t>。</w:t>
      </w:r>
      <w:r>
        <w:rPr>
          <w:rFonts w:hint="eastAsia" w:ascii="仿宋" w:hAnsi="仿宋" w:eastAsia="仿宋" w:cs="仿宋"/>
          <w:b w:val="0"/>
          <w:bCs w:val="0"/>
          <w:sz w:val="32"/>
          <w:szCs w:val="32"/>
          <w:lang w:val="en-US" w:eastAsia="zh-CN"/>
        </w:rPr>
        <w:t>户籍迁入地</w:t>
      </w:r>
      <w:r>
        <w:rPr>
          <w:rFonts w:hint="eastAsia" w:ascii="仿宋" w:hAnsi="仿宋" w:eastAsia="仿宋" w:cs="仿宋"/>
          <w:b w:val="0"/>
          <w:bCs w:val="0"/>
          <w:i w:val="0"/>
          <w:caps w:val="0"/>
          <w:color w:val="000000"/>
          <w:spacing w:val="0"/>
          <w:sz w:val="32"/>
          <w:szCs w:val="32"/>
        </w:rPr>
        <w:t>乡镇（街道）</w:t>
      </w:r>
      <w:r>
        <w:rPr>
          <w:rFonts w:hint="eastAsia" w:ascii="仿宋" w:hAnsi="仿宋" w:eastAsia="仿宋" w:cs="仿宋"/>
          <w:b w:val="0"/>
          <w:bCs w:val="0"/>
          <w:i w:val="0"/>
          <w:caps w:val="0"/>
          <w:color w:val="000000"/>
          <w:spacing w:val="0"/>
          <w:sz w:val="32"/>
          <w:szCs w:val="32"/>
          <w:lang w:val="en-US" w:eastAsia="zh-CN"/>
        </w:rPr>
        <w:t>接收</w:t>
      </w:r>
      <w:r>
        <w:rPr>
          <w:rFonts w:hint="eastAsia" w:ascii="仿宋" w:hAnsi="仿宋" w:eastAsia="仿宋" w:cs="仿宋"/>
          <w:b w:val="0"/>
          <w:bCs w:val="0"/>
          <w:i w:val="0"/>
          <w:caps w:val="0"/>
          <w:color w:val="000000"/>
          <w:spacing w:val="0"/>
          <w:sz w:val="32"/>
          <w:szCs w:val="32"/>
        </w:rPr>
        <w:t>《两项补贴发放关系转移单》</w:t>
      </w:r>
      <w:r>
        <w:rPr>
          <w:rFonts w:hint="eastAsia" w:ascii="仿宋" w:hAnsi="仿宋" w:eastAsia="仿宋" w:cs="仿宋"/>
          <w:b w:val="0"/>
          <w:bCs w:val="0"/>
          <w:i w:val="0"/>
          <w:caps w:val="0"/>
          <w:color w:val="000000"/>
          <w:spacing w:val="0"/>
          <w:sz w:val="32"/>
          <w:szCs w:val="32"/>
          <w:lang w:val="en-US" w:eastAsia="zh-CN"/>
        </w:rPr>
        <w:t>和补贴对象档案，核实补贴对象具体情况后接收为本</w:t>
      </w:r>
      <w:r>
        <w:rPr>
          <w:rFonts w:hint="eastAsia" w:ascii="仿宋" w:hAnsi="仿宋" w:eastAsia="仿宋" w:cs="仿宋"/>
          <w:b w:val="0"/>
          <w:bCs w:val="0"/>
          <w:i w:val="0"/>
          <w:caps w:val="0"/>
          <w:color w:val="000000"/>
          <w:spacing w:val="0"/>
          <w:sz w:val="32"/>
          <w:szCs w:val="32"/>
        </w:rPr>
        <w:t>乡镇（街道）</w:t>
      </w:r>
      <w:r>
        <w:rPr>
          <w:rFonts w:hint="eastAsia" w:ascii="仿宋" w:hAnsi="仿宋" w:eastAsia="仿宋" w:cs="仿宋"/>
          <w:b w:val="0"/>
          <w:bCs w:val="0"/>
          <w:i w:val="0"/>
          <w:caps w:val="0"/>
          <w:color w:val="000000"/>
          <w:spacing w:val="0"/>
          <w:sz w:val="32"/>
          <w:szCs w:val="32"/>
          <w:lang w:val="en-US" w:eastAsia="zh-CN"/>
        </w:rPr>
        <w:t>发放对象。</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w:t>
      </w:r>
      <w:r>
        <w:rPr>
          <w:rFonts w:hint="eastAsia" w:ascii="方正楷体_GBK" w:hAnsi="方正楷体_GBK" w:eastAsia="方正楷体_GBK" w:cs="方正楷体_GBK"/>
          <w:color w:val="000000" w:themeColor="text1"/>
          <w:sz w:val="32"/>
          <w:szCs w:val="32"/>
          <w:shd w:val="clear" w:color="auto" w:fill="FFFFFF"/>
          <w:lang w:val="en-US" w:eastAsia="zh-CN"/>
          <w14:textFill>
            <w14:solidFill>
              <w14:schemeClr w14:val="tx1"/>
            </w14:solidFill>
          </w14:textFill>
        </w:rPr>
        <w:t>七</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w:t>
      </w:r>
      <w:r>
        <w:rPr>
          <w:rFonts w:hint="eastAsia" w:ascii="方正楷体_GBK" w:hAnsi="方正楷体_GBK" w:eastAsia="方正楷体_GBK" w:cs="方正楷体_GBK"/>
          <w:color w:val="000000" w:themeColor="text1"/>
          <w:sz w:val="32"/>
          <w:szCs w:val="32"/>
          <w:shd w:val="clear" w:color="auto" w:fill="FFFFFF"/>
          <w:lang w:val="en-US" w:eastAsia="zh-CN"/>
          <w14:textFill>
            <w14:solidFill>
              <w14:schemeClr w14:val="tx1"/>
            </w14:solidFill>
          </w14:textFill>
        </w:rPr>
        <w:t>强化</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动态管理。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i w:val="0"/>
          <w:caps w:val="0"/>
          <w:color w:val="000000"/>
          <w:spacing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1.加强残疾人证管理。残联组织要严格按照《江苏省残疾人证管理实施办法》《江苏省残疾人残疾类别等级评定工作规程》等文件发放管理残疾人证，在残疾人证年审、到期换发、注销、迁移等管理节点，按规定及时核查残疾人证信息变化情况，加强残疾人证换发与补贴发放的工作衔接。因残疾类别或等级变更而进行残疾人证重新换发、核发期间，享受补贴的残疾人按照原标准发放补贴。残疾人证到期前，残联组织应当提前6个月提醒残疾人重新换领残疾人证，以免影响申领补贴。残疾人证有效期满后，应于次月停发补贴；重新办理残疾人证并提出补贴申请的，应于申请之月计发补贴，同时可视情按照新发残疾人证登记的类别和等级对应的补贴标准补发最多不超过3个月的补贴。突发公共卫生事件、自然灾害等不可抗力导致无法及时换证的，可视情况设立一定的过渡期，过渡期内按原标准发放补贴。</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i w:val="0"/>
          <w:caps w:val="0"/>
          <w:color w:val="000000"/>
          <w:spacing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2.加强信息系统应用。加强残疾人两项补贴信息系统的建设优化和使用管理，完善与残疾人口数据库、低保数据库、殡葬管理服务信息系统等相关信息系统的对接，建立数据共享共用机制。县（市、区）民政部门和残联要依托残疾人两项补贴信息系统办理残疾人两项补贴的审核发放，加强补贴发放数据动态管理，确保线上、线下发放数据一致。民政部门要及时将低保、特困供养等数据更新情况录入相应的信息系统，残联要及时将残疾人证数据更新情况录入残疾人口数据库。当发现实际情况与系统数据不一致时，各地应根据实际情况进行补贴资格认定，同时记录在案备查并及时更新相关系统数据。</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i w:val="0"/>
          <w:caps w:val="0"/>
          <w:color w:val="000000"/>
          <w:spacing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3.加强定期复核。按照省市统筹、县（市、区）抽查、乡镇（街道）实施的原则，健全完善补贴对象定期复核机制，定期复核采取数据比对、入户走访、调研座谈等方式进行。省民政厅会同省残联每年对补贴对象及补贴发放情况至少进行一次数据比对。设区市民政部门会同本级残联统筹指导县（市、区）民政部门、残联不定期对补贴对象及补贴发放情况进行抽查。县（市、区）民政部门、残联以及乡镇（街道）应当通过数据比对、申请人主动申报、入户走访等方式，建立定期复核制度，每年开展不少于1次覆盖全部补贴对象的集中复核。</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shd w:val="clear" w:color="auto" w:fill="FFFFFF"/>
          <w:lang w:eastAsia="zh-CN"/>
          <w14:textFill>
            <w14:solidFill>
              <w14:schemeClr w14:val="tx1"/>
            </w14:solidFill>
          </w14:textFill>
        </w:rPr>
        <w:t>（</w:t>
      </w:r>
      <w:r>
        <w:rPr>
          <w:rFonts w:hint="eastAsia" w:ascii="方正楷体_GBK" w:hAnsi="方正楷体_GBK" w:eastAsia="方正楷体_GBK" w:cs="方正楷体_GBK"/>
          <w:color w:val="000000" w:themeColor="text1"/>
          <w:sz w:val="32"/>
          <w:szCs w:val="32"/>
          <w:shd w:val="clear" w:color="auto" w:fill="FFFFFF"/>
          <w:lang w:val="en-US" w:eastAsia="zh-CN"/>
          <w14:textFill>
            <w14:solidFill>
              <w14:schemeClr w14:val="tx1"/>
            </w14:solidFill>
          </w14:textFill>
        </w:rPr>
        <w:t>八</w:t>
      </w:r>
      <w:r>
        <w:rPr>
          <w:rFonts w:hint="eastAsia" w:ascii="方正楷体_GBK" w:hAnsi="方正楷体_GBK" w:eastAsia="方正楷体_GBK" w:cs="方正楷体_GBK"/>
          <w:color w:val="000000" w:themeColor="text1"/>
          <w:sz w:val="32"/>
          <w:szCs w:val="32"/>
          <w:shd w:val="clear" w:color="auto" w:fill="FFFFFF"/>
          <w:lang w:eastAsia="zh-CN"/>
          <w14:textFill>
            <w14:solidFill>
              <w14:schemeClr w14:val="tx1"/>
            </w14:solidFill>
          </w14:textFill>
        </w:rPr>
        <w:t>）</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建立完善</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落实相关</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工作机制</w:t>
      </w:r>
      <w:r>
        <w:rPr>
          <w:rFonts w:hint="eastAsia" w:ascii="方正楷体_GBK" w:hAnsi="方正楷体_GBK" w:eastAsia="方正楷体_GBK" w:cs="方正楷体_GBK"/>
          <w:color w:val="000000" w:themeColor="text1"/>
          <w:sz w:val="32"/>
          <w:szCs w:val="32"/>
          <w:shd w:val="clear" w:color="auto" w:fill="FFFFFF"/>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0" w:firstLineChars="200"/>
        <w:jc w:val="both"/>
        <w:textAlignment w:val="auto"/>
        <w:outlineLvl w:val="9"/>
        <w:rPr>
          <w:rFonts w:hint="eastAsia" w:ascii="仿宋" w:hAnsi="仿宋" w:eastAsia="仿宋" w:cs="仿宋"/>
          <w:b w:val="0"/>
          <w:bCs w:val="0"/>
          <w:i w:val="0"/>
          <w:caps w:val="0"/>
          <w:color w:val="000000"/>
          <w:spacing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1.建立主动发现机制。通过大数据监测、入户走访等方式主动发现自愿申领且符合补贴条件的残疾人并提供服务，实现“政策找人”。县（市、区）民政部门对新纳入低保或低保边缘家庭范围的残疾人，县（市、区）残联对新领取残疾人证的残疾人，应通过发放残疾人两项补贴政策告知书等形式一次性告知。残疾人知晓政策但并未提出补贴申请的，视为自愿放弃，再次提出申请的，乡镇（街道）应当及时受理。</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jc w:val="both"/>
        <w:textAlignment w:val="auto"/>
        <w:rPr>
          <w:rFonts w:hint="eastAsia" w:ascii="仿宋" w:hAnsi="仿宋" w:eastAsia="仿宋" w:cs="仿宋"/>
          <w:b w:val="0"/>
          <w:bCs w:val="0"/>
          <w:i w:val="0"/>
          <w:caps w:val="0"/>
          <w:color w:val="000000"/>
          <w:spacing w:val="0"/>
          <w:kern w:val="2"/>
          <w:sz w:val="32"/>
          <w:szCs w:val="32"/>
          <w:lang w:val="en-US" w:eastAsia="zh-CN" w:bidi="ar-SA"/>
        </w:rPr>
      </w:pPr>
      <w:r>
        <w:rPr>
          <w:rFonts w:hint="eastAsia" w:ascii="仿宋" w:hAnsi="仿宋" w:eastAsia="仿宋" w:cs="仿宋"/>
          <w:b w:val="0"/>
          <w:bCs w:val="0"/>
          <w:i w:val="0"/>
          <w:caps w:val="0"/>
          <w:color w:val="000000"/>
          <w:spacing w:val="0"/>
          <w:kern w:val="2"/>
          <w:sz w:val="32"/>
          <w:szCs w:val="32"/>
          <w:lang w:val="en-US" w:eastAsia="zh-CN" w:bidi="ar-SA"/>
        </w:rPr>
        <w:t>2.</w:t>
      </w:r>
      <w:bookmarkStart w:id="0" w:name="_GoBack"/>
      <w:r>
        <w:rPr>
          <w:rFonts w:hint="eastAsia" w:ascii="仿宋" w:hAnsi="仿宋" w:eastAsia="仿宋" w:cs="仿宋"/>
          <w:b w:val="0"/>
          <w:bCs w:val="0"/>
          <w:i w:val="0"/>
          <w:caps w:val="0"/>
          <w:color w:val="000000"/>
          <w:spacing w:val="0"/>
          <w:kern w:val="2"/>
          <w:sz w:val="32"/>
          <w:szCs w:val="32"/>
          <w:lang w:val="en-US" w:eastAsia="zh-CN" w:bidi="ar-SA"/>
        </w:rPr>
        <w:t>落实容错纠错机制。</w:t>
      </w:r>
      <w:bookmarkEnd w:id="0"/>
      <w:r>
        <w:rPr>
          <w:rFonts w:hint="eastAsia" w:ascii="仿宋" w:hAnsi="仿宋" w:eastAsia="仿宋" w:cs="仿宋"/>
          <w:b w:val="0"/>
          <w:bCs w:val="0"/>
          <w:i w:val="0"/>
          <w:caps w:val="0"/>
          <w:color w:val="000000"/>
          <w:spacing w:val="0"/>
          <w:kern w:val="2"/>
          <w:sz w:val="32"/>
          <w:szCs w:val="32"/>
          <w:lang w:val="en-US" w:eastAsia="zh-CN" w:bidi="ar-SA"/>
        </w:rPr>
        <w:t>落实中央“三个区分开来”要求，对秉持公心、程序完整，但因人力不可为、部门数据共享不准确以及因申请人故意隐瞒等客观原因出现失误偏差，且能够及时纠正追回错发补贴资金的，依法依规免于追究有关经办人员责任。</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hint="eastAsia" w:ascii="方正黑体_GBK" w:hAnsi="方正黑体_GBK" w:eastAsia="方正黑体_GBK" w:cs="方正黑体_GBK"/>
          <w:color w:val="000000" w:themeColor="text1"/>
          <w:sz w:val="32"/>
          <w:szCs w:val="32"/>
          <w:shd w:val="clear" w:color="auto" w:fill="FFFFFF"/>
          <w:lang w:val="en-US" w:eastAsia="zh-CN"/>
          <w14:textFill>
            <w14:solidFill>
              <w14:schemeClr w14:val="tx1"/>
            </w14:solidFill>
          </w14:textFill>
        </w:rPr>
        <w:t>三</w:t>
      </w:r>
      <w:r>
        <w:rPr>
          <w:rFonts w:ascii="方正黑体_GBK" w:hAnsi="方正黑体_GBK" w:eastAsia="方正黑体_GBK" w:cs="方正黑体_GBK"/>
          <w:color w:val="000000" w:themeColor="text1"/>
          <w:sz w:val="32"/>
          <w:szCs w:val="32"/>
          <w:shd w:val="clear" w:color="auto" w:fill="FFFFFF"/>
          <w14:textFill>
            <w14:solidFill>
              <w14:schemeClr w14:val="tx1"/>
            </w14:solidFill>
          </w14:textFill>
        </w:rPr>
        <w:t>、保障措施</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（一）</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加强组织领导。</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各</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地</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要将完善残疾人两项补贴制度列为重点优先民生保障工作。</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各级</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民政</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部门</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、财政</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部门</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和残联建立残疾人两项补贴工作协调机制，定期研究解决残疾人两项补贴工作中的重难点问题，引导社会力量参与，统筹各方资源</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做好</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残疾人两项补贴工作。民政部门要履行牵头统筹职责，做好补贴发放监管、政策衔接及制度建设工作。财政部门要</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加强资金保障，及时足额安排补贴资金及工作经费</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。残联组织要加强残疾人证核发及管理工作，及时掌握和反映残疾人需求，及时与民政部门、乡镇（街道）共享残疾人证办理及变更等情况，做好补贴相关审核工作。</w:t>
      </w:r>
    </w:p>
    <w:p>
      <w:pPr>
        <w:keepNext w:val="0"/>
        <w:keepLines w:val="0"/>
        <w:pageBreakBefore w:val="0"/>
        <w:kinsoku/>
        <w:wordWrap/>
        <w:overflowPunct/>
        <w:topLinePunct w:val="0"/>
        <w:autoSpaceDE/>
        <w:autoSpaceDN/>
        <w:bidi w:val="0"/>
        <w:adjustRightInd/>
        <w:snapToGrid/>
        <w:spacing w:line="580" w:lineRule="exact"/>
        <w:ind w:left="0" w:leftChars="0" w:right="0" w:rightChars="0" w:firstLine="620" w:firstLineChars="200"/>
        <w:textAlignment w:val="auto"/>
        <w:rPr>
          <w:rFonts w:hint="eastAsia" w:ascii="仿宋" w:hAnsi="仿宋" w:eastAsia="仿宋" w:cs="仿宋"/>
          <w:color w:val="000000" w:themeColor="text1"/>
          <w:sz w:val="32"/>
          <w:szCs w:val="32"/>
          <w:shd w:val="clear" w:color="auto" w:fill="FFFFFF"/>
          <w:lang w:val="en-US" w:eastAsia="zh-CN"/>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（二）</w:t>
      </w:r>
      <w:r>
        <w:rPr>
          <w:rFonts w:hint="eastAsia" w:ascii="方正楷体_GBK" w:hAnsi="方正楷体_GBK" w:eastAsia="方正楷体_GBK" w:cs="方正楷体_GBK"/>
          <w:color w:val="000000" w:themeColor="text1"/>
          <w:sz w:val="32"/>
          <w:szCs w:val="32"/>
          <w:shd w:val="clear" w:color="auto" w:fill="FFFFFF"/>
          <w14:textFill>
            <w14:solidFill>
              <w14:schemeClr w14:val="tx1"/>
            </w14:solidFill>
          </w14:textFill>
        </w:rPr>
        <w:t>强化</w:t>
      </w: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政策宣传。</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各</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地</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定期组织贯彻落实残疾人两项补贴制度、加强残疾人两项补贴信息系统使用的培训，加强残疾人两项补贴组织实施工作。充分考虑残疾人获取信息的特殊性和实际困难，灵活运用多种媒介、采取多种形式加强残疾人两项补贴政策宣传，特别是加强对已办理残疾人证残疾人的政策宣传，使符合条件的残疾人及其家属知晓残疾人两项补贴政策。各级民政部门、残联以及乡镇（街道）要加强补贴政策解释工作，及时协助有需求的残疾人办理补贴申请。</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（三）提升保障能力。</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各</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地</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要统筹考虑落实残疾人两项补贴制度需要，为乡镇（街道）等基层工作人员提供必要的工作条件。</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实施残疾人两项补贴制度所需工作经费，纳入省市县乡各级财政预算。</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要加强资金统筹，做到专款专用，严禁截留和挪用，确保两项补贴资金按规定及时足额发放到位。</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省级补助资金向财政困难地区适度倾斜。</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通过</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残疾人两项补贴信息系统的使用和管理，加强残疾人两项补贴</w:t>
      </w:r>
      <w:r>
        <w:rPr>
          <w:rFonts w:hint="eastAsia" w:ascii="方正仿宋_GBK" w:hAnsi="方正仿宋_GBK" w:eastAsia="方正仿宋_GBK" w:cs="方正仿宋_GBK"/>
          <w:color w:val="000000" w:themeColor="text1"/>
          <w:sz w:val="32"/>
          <w:szCs w:val="32"/>
          <w:shd w:val="clear" w:color="auto" w:fill="FFFFFF"/>
          <w:lang w:val="en-US" w:eastAsia="zh-CN"/>
          <w14:textFill>
            <w14:solidFill>
              <w14:schemeClr w14:val="tx1"/>
            </w14:solidFill>
          </w14:textFill>
        </w:rPr>
        <w:t>数据</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统计。</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pPr>
      <w:r>
        <w:rPr>
          <w:rFonts w:ascii="方正楷体_GBK" w:hAnsi="方正楷体_GBK" w:eastAsia="方正楷体_GBK" w:cs="方正楷体_GBK"/>
          <w:color w:val="000000" w:themeColor="text1"/>
          <w:sz w:val="32"/>
          <w:szCs w:val="32"/>
          <w:shd w:val="clear" w:color="auto" w:fill="FFFFFF"/>
          <w14:textFill>
            <w14:solidFill>
              <w14:schemeClr w14:val="tx1"/>
            </w14:solidFill>
          </w14:textFill>
        </w:rPr>
        <w:t>（四）加强监督检查。</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各</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地</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将残疾人两项补贴政策落实情况纳入政府绩效评价和年度考核内容。做好补贴信息公示，接受社会监督。各级民政部门要严格补贴资格认定、规范补贴审核发放，杜绝弄虚作假、违规办理和发放补贴等情况发生。各级残联组织要严把残疾人证评定发放关，杜绝违规办理残疾人证、泄露残疾人个人信息等行为。民政部门要会同</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财政部门、</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残联定期开展补贴工作绩效评价，及时吸收残疾人和其他群众的合理建议，不断改进完善残疾人两项补贴工作。各</w:t>
      </w:r>
      <w:r>
        <w:rPr>
          <w:rFonts w:hint="eastAsia" w:ascii="方正仿宋_GBK" w:hAnsi="方正仿宋_GBK" w:eastAsia="方正仿宋_GBK" w:cs="方正仿宋_GBK"/>
          <w:color w:val="000000" w:themeColor="text1"/>
          <w:sz w:val="32"/>
          <w:szCs w:val="32"/>
          <w:shd w:val="clear" w:color="auto" w:fill="FFFFFF"/>
          <w14:textFill>
            <w14:solidFill>
              <w14:schemeClr w14:val="tx1"/>
            </w14:solidFill>
          </w14:textFill>
        </w:rPr>
        <w:t>地</w:t>
      </w:r>
      <w:r>
        <w:rPr>
          <w:rFonts w:ascii="方正仿宋_GBK" w:hAnsi="方正仿宋_GBK" w:eastAsia="方正仿宋_GBK" w:cs="方正仿宋_GBK"/>
          <w:color w:val="000000" w:themeColor="text1"/>
          <w:sz w:val="32"/>
          <w:szCs w:val="32"/>
          <w:shd w:val="clear" w:color="auto" w:fill="FFFFFF"/>
          <w14:textFill>
            <w14:solidFill>
              <w14:schemeClr w14:val="tx1"/>
            </w14:solidFill>
          </w14:textFill>
        </w:rPr>
        <w:t>要加强补贴资金发放和使用的监督管理，坚决防止骗取补贴资金等行为。对申请人采取虚报、隐瞒、伪造等手段骗取残疾人两项补贴资金的，原批准机关应当依法依规停止发放补贴，并加大对非法获取补贴资金的追回力度，视情将其违法违规行为线索移送有关部门依法依规查处。</w:t>
      </w:r>
    </w:p>
    <w:p>
      <w:pPr>
        <w:pStyle w:val="5"/>
        <w:keepNext w:val="0"/>
        <w:keepLines w:val="0"/>
        <w:pageBreakBefore w:val="0"/>
        <w:widowControl/>
        <w:kinsoku/>
        <w:wordWrap/>
        <w:overflowPunct/>
        <w:topLinePunct w:val="0"/>
        <w:autoSpaceDE/>
        <w:autoSpaceDN/>
        <w:bidi w:val="0"/>
        <w:adjustRightInd/>
        <w:snapToGrid/>
        <w:spacing w:beforeAutospacing="0" w:afterAutospacing="0" w:line="580" w:lineRule="exact"/>
        <w:ind w:left="0" w:leftChars="0" w:right="0" w:rightChars="0" w:firstLine="645"/>
        <w:textAlignment w:val="auto"/>
        <w:rPr>
          <w:color w:val="000000" w:themeColor="text1"/>
          <w:sz w:val="32"/>
          <w:szCs w:val="32"/>
          <w14:textFill>
            <w14:solidFill>
              <w14:schemeClr w14:val="tx1"/>
            </w14:solidFill>
          </w14:textFill>
        </w:rPr>
      </w:pPr>
      <w:r>
        <w:rPr>
          <w:rFonts w:ascii="仿宋_GB2312" w:hAnsi="微软雅黑" w:eastAsia="仿宋_GB2312" w:cs="仿宋_GB2312"/>
          <w:color w:val="000000" w:themeColor="text1"/>
          <w:sz w:val="32"/>
          <w:szCs w:val="32"/>
          <w:shd w:val="clear" w:color="auto" w:fill="FFFFFF"/>
          <w14:textFill>
            <w14:solidFill>
              <w14:schemeClr w14:val="tx1"/>
            </w14:solidFill>
          </w14:textFill>
        </w:rPr>
        <w:t>本实施意见自下发之日起施行，此前</w:t>
      </w:r>
      <w:r>
        <w:rPr>
          <w:rFonts w:hint="eastAsia" w:ascii="仿宋_GB2312" w:hAnsi="微软雅黑" w:eastAsia="仿宋_GB2312" w:cs="仿宋_GB2312"/>
          <w:color w:val="000000" w:themeColor="text1"/>
          <w:sz w:val="32"/>
          <w:szCs w:val="32"/>
          <w:shd w:val="clear" w:color="auto" w:fill="FFFFFF"/>
          <w:lang w:val="en-US" w:eastAsia="zh-CN"/>
          <w14:textFill>
            <w14:solidFill>
              <w14:schemeClr w14:val="tx1"/>
            </w14:solidFill>
          </w14:textFill>
        </w:rPr>
        <w:t>相关</w:t>
      </w:r>
      <w:r>
        <w:rPr>
          <w:rFonts w:hint="eastAsia" w:ascii="仿宋_GB2312" w:hAnsi="微软雅黑" w:eastAsia="仿宋_GB2312" w:cs="仿宋_GB2312"/>
          <w:color w:val="000000" w:themeColor="text1"/>
          <w:sz w:val="32"/>
          <w:szCs w:val="32"/>
          <w:shd w:val="clear" w:color="auto" w:fill="FFFFFF"/>
          <w14:textFill>
            <w14:solidFill>
              <w14:schemeClr w14:val="tx1"/>
            </w14:solidFill>
          </w14:textFill>
        </w:rPr>
        <w:t>文件</w:t>
      </w:r>
      <w:r>
        <w:rPr>
          <w:rFonts w:ascii="仿宋_GB2312" w:hAnsi="微软雅黑" w:eastAsia="仿宋_GB2312" w:cs="仿宋_GB2312"/>
          <w:color w:val="000000" w:themeColor="text1"/>
          <w:sz w:val="32"/>
          <w:szCs w:val="32"/>
          <w:shd w:val="clear" w:color="auto" w:fill="FFFFFF"/>
          <w14:textFill>
            <w14:solidFill>
              <w14:schemeClr w14:val="tx1"/>
            </w14:solidFill>
          </w14:textFill>
        </w:rPr>
        <w:t>与</w:t>
      </w:r>
      <w:r>
        <w:rPr>
          <w:rFonts w:hint="eastAsia" w:ascii="仿宋_GB2312" w:hAnsi="微软雅黑" w:eastAsia="仿宋_GB2312" w:cs="仿宋_GB2312"/>
          <w:color w:val="000000" w:themeColor="text1"/>
          <w:sz w:val="32"/>
          <w:szCs w:val="32"/>
          <w:shd w:val="clear" w:color="auto" w:fill="FFFFFF"/>
          <w:lang w:val="en-US" w:eastAsia="zh-CN"/>
          <w14:textFill>
            <w14:solidFill>
              <w14:schemeClr w14:val="tx1"/>
            </w14:solidFill>
          </w14:textFill>
        </w:rPr>
        <w:t>本文件内容</w:t>
      </w:r>
      <w:r>
        <w:rPr>
          <w:rFonts w:ascii="仿宋_GB2312" w:hAnsi="微软雅黑" w:eastAsia="仿宋_GB2312" w:cs="仿宋_GB2312"/>
          <w:color w:val="000000" w:themeColor="text1"/>
          <w:sz w:val="32"/>
          <w:szCs w:val="32"/>
          <w:shd w:val="clear" w:color="auto" w:fill="FFFFFF"/>
          <w14:textFill>
            <w14:solidFill>
              <w14:schemeClr w14:val="tx1"/>
            </w14:solidFill>
          </w14:textFill>
        </w:rPr>
        <w:t>不一致的，以本文件为准。</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 w:name="汉鼎简大宋">
    <w:altName w:val="宋体"/>
    <w:panose1 w:val="0201060901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汉鼎简黑体">
    <w:altName w:val="宋体"/>
    <w:panose1 w:val="02010609000101010101"/>
    <w:charset w:val="86"/>
    <w:family w:val="modern"/>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Calibri Light">
    <w:panose1 w:val="020F0302020204030204"/>
    <w:charset w:val="00"/>
    <w:family w:val="auto"/>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2154555</wp:posOffset>
              </wp:positionH>
              <wp:positionV relativeFrom="paragraph">
                <wp:posOffset>-120015</wp:posOffset>
              </wp:positionV>
              <wp:extent cx="514350" cy="266065"/>
              <wp:effectExtent l="0" t="0" r="0" b="0"/>
              <wp:wrapNone/>
              <wp:docPr id="1" name="文本框 1"/>
              <wp:cNvGraphicFramePr/>
              <a:graphic xmlns:a="http://schemas.openxmlformats.org/drawingml/2006/main">
                <a:graphicData uri="http://schemas.microsoft.com/office/word/2010/wordprocessingShape">
                  <wps:wsp>
                    <wps:cNvSpPr txBox="1"/>
                    <wps:spPr>
                      <a:xfrm>
                        <a:off x="0" y="0"/>
                        <a:ext cx="51435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sz w:val="24"/>
                              <w:szCs w:val="24"/>
                              <w:lang w:eastAsia="zh-CN"/>
                            </w:rPr>
                          </w:pPr>
                          <w:r>
                            <w:rPr>
                              <w:rFonts w:hint="eastAsia"/>
                              <w:sz w:val="24"/>
                              <w:szCs w:val="24"/>
                              <w:lang w:eastAsia="zh-CN"/>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4"/>
                              <w:szCs w:val="24"/>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69.65pt;margin-top:-9.45pt;height:20.95pt;width:40.5pt;mso-position-horizontal-relative:margin;z-index:251659264;mso-width-relative:page;mso-height-relative:page;" filled="f" stroked="f" coordsize="21600,21600" o:gfxdata="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lCOyD9kAAAAKAQAA&#10;DwAAAAAAAAABACAAAAAiAAAAZHJzL2Rvd25yZXYueG1sUEsBAhQAFAAAAAgAh07iQIMoHlQYAgAA&#10;EwQAAA4AAAAAAAAAAQAgAAAAKAEAAGRycy9lMm9Eb2MueG1sUEsFBgAAAAAGAAYAWQEAALIFAAAA&#10;AA==&#10;">
              <v:fill on="f" focussize="0,0"/>
              <v:stroke on="f" weight="0.5pt"/>
              <v:imagedata o:title=""/>
              <o:lock v:ext="edit" aspectratio="f"/>
              <v:textbox inset="0mm,0mm,0mm,0mm">
                <w:txbxContent>
                  <w:p>
                    <w:pPr>
                      <w:pStyle w:val="3"/>
                      <w:rPr>
                        <w:rFonts w:hint="eastAsia" w:eastAsiaTheme="minorEastAsia"/>
                        <w:sz w:val="24"/>
                        <w:szCs w:val="24"/>
                        <w:lang w:eastAsia="zh-CN"/>
                      </w:rPr>
                    </w:pPr>
                    <w:r>
                      <w:rPr>
                        <w:rFonts w:hint="eastAsia"/>
                        <w:sz w:val="24"/>
                        <w:szCs w:val="24"/>
                        <w:lang w:eastAsia="zh-CN"/>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4"/>
                        <w:szCs w:val="24"/>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20956B6"/>
    <w:rsid w:val="00131DE4"/>
    <w:rsid w:val="001E6161"/>
    <w:rsid w:val="003E0EBF"/>
    <w:rsid w:val="004B45E8"/>
    <w:rsid w:val="005142BE"/>
    <w:rsid w:val="00516D87"/>
    <w:rsid w:val="0053750B"/>
    <w:rsid w:val="00572820"/>
    <w:rsid w:val="005F1DBC"/>
    <w:rsid w:val="007D3257"/>
    <w:rsid w:val="00837B5D"/>
    <w:rsid w:val="00BA29C9"/>
    <w:rsid w:val="00F82EF0"/>
    <w:rsid w:val="02950671"/>
    <w:rsid w:val="03A66872"/>
    <w:rsid w:val="04400380"/>
    <w:rsid w:val="046815FC"/>
    <w:rsid w:val="04E13A54"/>
    <w:rsid w:val="0568785E"/>
    <w:rsid w:val="05B06094"/>
    <w:rsid w:val="06AD772C"/>
    <w:rsid w:val="07F33AD6"/>
    <w:rsid w:val="086E13A1"/>
    <w:rsid w:val="09174237"/>
    <w:rsid w:val="092B1659"/>
    <w:rsid w:val="0ADF1E6B"/>
    <w:rsid w:val="0BFE5283"/>
    <w:rsid w:val="0C1805DE"/>
    <w:rsid w:val="0D520510"/>
    <w:rsid w:val="0D7B0DC9"/>
    <w:rsid w:val="0D9C356A"/>
    <w:rsid w:val="10AB577D"/>
    <w:rsid w:val="11364F4B"/>
    <w:rsid w:val="11AB5AF8"/>
    <w:rsid w:val="12E64DE6"/>
    <w:rsid w:val="140145EA"/>
    <w:rsid w:val="155E6499"/>
    <w:rsid w:val="1611441B"/>
    <w:rsid w:val="183D2B26"/>
    <w:rsid w:val="18F500AA"/>
    <w:rsid w:val="1B384738"/>
    <w:rsid w:val="1BDB65D7"/>
    <w:rsid w:val="1C3760CE"/>
    <w:rsid w:val="1C4B39CF"/>
    <w:rsid w:val="1F321066"/>
    <w:rsid w:val="20830638"/>
    <w:rsid w:val="21303941"/>
    <w:rsid w:val="219F15FC"/>
    <w:rsid w:val="21F50AB5"/>
    <w:rsid w:val="220956B6"/>
    <w:rsid w:val="22FB5458"/>
    <w:rsid w:val="232664B5"/>
    <w:rsid w:val="23C87C36"/>
    <w:rsid w:val="24CC1F3D"/>
    <w:rsid w:val="25B9427E"/>
    <w:rsid w:val="25E76BFF"/>
    <w:rsid w:val="27937B88"/>
    <w:rsid w:val="28454111"/>
    <w:rsid w:val="29612B50"/>
    <w:rsid w:val="29EC2734"/>
    <w:rsid w:val="2A6E7521"/>
    <w:rsid w:val="2A9178E4"/>
    <w:rsid w:val="2AC91F88"/>
    <w:rsid w:val="2B4C2AD2"/>
    <w:rsid w:val="2C273282"/>
    <w:rsid w:val="2C666A06"/>
    <w:rsid w:val="2C8B2CEF"/>
    <w:rsid w:val="2D8E211C"/>
    <w:rsid w:val="2F837D9E"/>
    <w:rsid w:val="2FCA2BFB"/>
    <w:rsid w:val="3071362F"/>
    <w:rsid w:val="30A3247F"/>
    <w:rsid w:val="30C45F13"/>
    <w:rsid w:val="30DC414D"/>
    <w:rsid w:val="314618C4"/>
    <w:rsid w:val="32546C1E"/>
    <w:rsid w:val="325A1882"/>
    <w:rsid w:val="34B43C73"/>
    <w:rsid w:val="34DF325D"/>
    <w:rsid w:val="3820262E"/>
    <w:rsid w:val="383C225F"/>
    <w:rsid w:val="3884433F"/>
    <w:rsid w:val="3A6478A5"/>
    <w:rsid w:val="3A966314"/>
    <w:rsid w:val="3B0B5D44"/>
    <w:rsid w:val="3C020E4A"/>
    <w:rsid w:val="3D4767FF"/>
    <w:rsid w:val="3EE7644C"/>
    <w:rsid w:val="4096712A"/>
    <w:rsid w:val="41F35142"/>
    <w:rsid w:val="42141D20"/>
    <w:rsid w:val="425105F4"/>
    <w:rsid w:val="43204677"/>
    <w:rsid w:val="44342ABA"/>
    <w:rsid w:val="477B3E12"/>
    <w:rsid w:val="48961CDA"/>
    <w:rsid w:val="49D46CB0"/>
    <w:rsid w:val="49E656AA"/>
    <w:rsid w:val="4B8232E0"/>
    <w:rsid w:val="4C0B1BFC"/>
    <w:rsid w:val="4DDC52B3"/>
    <w:rsid w:val="4E5333E8"/>
    <w:rsid w:val="4EC50BEC"/>
    <w:rsid w:val="5001171F"/>
    <w:rsid w:val="509F19B6"/>
    <w:rsid w:val="51DC25DB"/>
    <w:rsid w:val="51E75799"/>
    <w:rsid w:val="522F3CEE"/>
    <w:rsid w:val="53B534DD"/>
    <w:rsid w:val="5579126C"/>
    <w:rsid w:val="57D31525"/>
    <w:rsid w:val="59092BED"/>
    <w:rsid w:val="59FF5317"/>
    <w:rsid w:val="5A0C190C"/>
    <w:rsid w:val="5B6C7881"/>
    <w:rsid w:val="5C58676C"/>
    <w:rsid w:val="604059D3"/>
    <w:rsid w:val="61A519C0"/>
    <w:rsid w:val="621A2E00"/>
    <w:rsid w:val="62C94C69"/>
    <w:rsid w:val="652018B3"/>
    <w:rsid w:val="65B65359"/>
    <w:rsid w:val="66473792"/>
    <w:rsid w:val="673522D4"/>
    <w:rsid w:val="68730A77"/>
    <w:rsid w:val="69FD4574"/>
    <w:rsid w:val="6A516C4E"/>
    <w:rsid w:val="6A754457"/>
    <w:rsid w:val="6AC51FCE"/>
    <w:rsid w:val="6AD74197"/>
    <w:rsid w:val="6B4D5584"/>
    <w:rsid w:val="6EF86D42"/>
    <w:rsid w:val="6F121ABA"/>
    <w:rsid w:val="6FD72FC0"/>
    <w:rsid w:val="703970CA"/>
    <w:rsid w:val="70803776"/>
    <w:rsid w:val="71871816"/>
    <w:rsid w:val="71FF6315"/>
    <w:rsid w:val="727F3131"/>
    <w:rsid w:val="72AA416F"/>
    <w:rsid w:val="73AC12A1"/>
    <w:rsid w:val="73F74A9B"/>
    <w:rsid w:val="74A03A5C"/>
    <w:rsid w:val="74AD3524"/>
    <w:rsid w:val="74BA68D1"/>
    <w:rsid w:val="75201FEE"/>
    <w:rsid w:val="75411394"/>
    <w:rsid w:val="75803BEB"/>
    <w:rsid w:val="78E715CB"/>
    <w:rsid w:val="79577F2C"/>
    <w:rsid w:val="7A033BF3"/>
    <w:rsid w:val="7CFD4510"/>
    <w:rsid w:val="7D5124CC"/>
    <w:rsid w:val="7D70294C"/>
    <w:rsid w:val="7E771A9D"/>
    <w:rsid w:val="7EB919F5"/>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1"/>
    <w:rPr>
      <w:rFonts w:ascii="方正仿宋_GBK" w:hAnsi="方正仿宋_GBK" w:eastAsia="方正仿宋_GBK" w:cs="方正仿宋_GBK"/>
      <w:sz w:val="32"/>
      <w:szCs w:val="32"/>
      <w:lang w:val="zh-CN" w:bidi="zh-CN"/>
    </w:rPr>
  </w:style>
  <w:style w:type="paragraph" w:styleId="3">
    <w:name w:val="footer"/>
    <w:basedOn w:val="1"/>
    <w:link w:val="11"/>
    <w:qFormat/>
    <w:uiPriority w:val="0"/>
    <w:pPr>
      <w:tabs>
        <w:tab w:val="center" w:pos="4153"/>
        <w:tab w:val="right" w:pos="8306"/>
      </w:tabs>
      <w:snapToGrid w:val="0"/>
      <w:jc w:val="left"/>
    </w:pPr>
    <w:rPr>
      <w:sz w:val="18"/>
      <w:szCs w:val="18"/>
    </w:rPr>
  </w:style>
  <w:style w:type="paragraph" w:styleId="4">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7">
    <w:name w:val="Strong"/>
    <w:basedOn w:val="6"/>
    <w:qFormat/>
    <w:uiPriority w:val="0"/>
    <w:rPr>
      <w:b/>
    </w:rPr>
  </w:style>
  <w:style w:type="paragraph" w:customStyle="1" w:styleId="9">
    <w:name w:val="Body text|2"/>
    <w:basedOn w:val="1"/>
    <w:qFormat/>
    <w:uiPriority w:val="0"/>
    <w:pPr>
      <w:shd w:val="clear" w:color="auto" w:fill="FFFFFF"/>
      <w:spacing w:after="2180" w:line="300" w:lineRule="exact"/>
      <w:jc w:val="center"/>
    </w:pPr>
    <w:rPr>
      <w:rFonts w:ascii="PMingLiU" w:hAnsi="PMingLiU" w:eastAsia="PMingLiU" w:cs="PMingLiU"/>
      <w:spacing w:val="30"/>
      <w:sz w:val="30"/>
      <w:szCs w:val="30"/>
    </w:rPr>
  </w:style>
  <w:style w:type="character" w:customStyle="1" w:styleId="10">
    <w:name w:val="页眉 字符"/>
    <w:basedOn w:val="6"/>
    <w:link w:val="4"/>
    <w:qFormat/>
    <w:uiPriority w:val="0"/>
    <w:rPr>
      <w:rFonts w:asciiTheme="minorHAnsi" w:hAnsiTheme="minorHAnsi" w:eastAsiaTheme="minorEastAsia" w:cstheme="minorBidi"/>
      <w:kern w:val="2"/>
      <w:sz w:val="18"/>
      <w:szCs w:val="18"/>
    </w:rPr>
  </w:style>
  <w:style w:type="character" w:customStyle="1" w:styleId="11">
    <w:name w:val="页脚 字符"/>
    <w:basedOn w:val="6"/>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13</Pages>
  <Words>1095</Words>
  <Characters>6243</Characters>
  <Lines>52</Lines>
  <Paragraphs>14</Paragraphs>
  <ScaleCrop>false</ScaleCrop>
  <LinksUpToDate>false</LinksUpToDate>
  <CharactersWithSpaces>7324</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2022-02-24T01:41:00Z</dcterms:created>
  <dc:creator>Mr.Yuan</dc:creator>
  <cp:lastModifiedBy>keith</cp:lastModifiedBy>
  <cp:lastPrinted>2022-03-04T01:10:00Z</cp:lastPrinted>
  <dcterms:modified xsi:type="dcterms:W3CDTF">2022-10-09T10:02:12Z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177E37069B704854A865A7922756432F</vt:lpwstr>
  </property>
</Properties>
</file>