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8AA45">
      <w:pPr>
        <w:overflowPunct w:val="0"/>
        <w:spacing w:line="560" w:lineRule="exact"/>
        <w:contextualSpacing/>
        <w:jc w:val="left"/>
        <w:rPr>
          <w:rFonts w:ascii="Times New Roman" w:hAnsi="Times New Roman" w:eastAsia="方正小标宋_GBK" w:cs="方正小标宋_GBK"/>
          <w:sz w:val="44"/>
          <w:szCs w:val="44"/>
        </w:rPr>
      </w:pPr>
    </w:p>
    <w:p w14:paraId="1F0315E1">
      <w:pPr>
        <w:overflowPunct w:val="0"/>
        <w:spacing w:line="560" w:lineRule="exact"/>
        <w:contextualSpacing/>
        <w:jc w:val="center"/>
        <w:rPr>
          <w:rFonts w:ascii="Times New Roman" w:hAnsi="Times New Roman" w:eastAsia="方正小标宋_GBK" w:cs="方正小标宋_GBK"/>
          <w:sz w:val="44"/>
          <w:szCs w:val="44"/>
          <w:lang w:eastAsia="zh-Hans"/>
        </w:rPr>
      </w:pPr>
      <w:r>
        <w:rPr>
          <w:rFonts w:hint="eastAsia" w:ascii="Times New Roman" w:hAnsi="Times New Roman" w:eastAsia="方正小标宋_GBK" w:cs="方正小标宋_GBK"/>
          <w:sz w:val="44"/>
          <w:szCs w:val="44"/>
        </w:rPr>
        <w:t>《江苏省慈善</w:t>
      </w:r>
      <w:r>
        <w:rPr>
          <w:rFonts w:hint="eastAsia" w:ascii="Times New Roman" w:hAnsi="Times New Roman" w:eastAsia="方正小标宋_GBK" w:cs="方正小标宋_GBK"/>
          <w:sz w:val="44"/>
          <w:szCs w:val="44"/>
          <w:lang w:eastAsia="zh-Hans"/>
        </w:rPr>
        <w:t>条例</w:t>
      </w:r>
      <w:r>
        <w:rPr>
          <w:rFonts w:hint="eastAsia" w:ascii="Times New Roman" w:hAnsi="Times New Roman" w:eastAsia="方正小标宋_GBK" w:cs="方正小标宋_GBK"/>
          <w:sz w:val="44"/>
          <w:szCs w:val="44"/>
        </w:rPr>
        <w:t>》</w:t>
      </w:r>
      <w:r>
        <w:rPr>
          <w:rFonts w:hint="eastAsia" w:ascii="Times New Roman" w:hAnsi="Times New Roman" w:eastAsia="方正小标宋_GBK" w:cs="方正小标宋_GBK"/>
          <w:sz w:val="44"/>
          <w:szCs w:val="44"/>
          <w:lang w:eastAsia="zh-Hans"/>
        </w:rPr>
        <w:t>（</w:t>
      </w:r>
      <w:r>
        <w:rPr>
          <w:rFonts w:hint="eastAsia" w:ascii="Times New Roman" w:hAnsi="Times New Roman" w:eastAsia="方正小标宋_GBK" w:cs="方正小标宋_GBK"/>
          <w:sz w:val="44"/>
          <w:szCs w:val="44"/>
        </w:rPr>
        <w:t>征求意见稿</w:t>
      </w:r>
      <w:r>
        <w:rPr>
          <w:rFonts w:hint="eastAsia" w:ascii="Times New Roman" w:hAnsi="Times New Roman" w:eastAsia="方正小标宋_GBK" w:cs="方正小标宋_GBK"/>
          <w:sz w:val="44"/>
          <w:szCs w:val="44"/>
          <w:lang w:eastAsia="zh-Hans"/>
        </w:rPr>
        <w:t>）</w:t>
      </w:r>
    </w:p>
    <w:p w14:paraId="27EBD43C">
      <w:pPr>
        <w:overflowPunct w:val="0"/>
        <w:spacing w:line="560" w:lineRule="exact"/>
        <w:contextualSpacing/>
        <w:jc w:val="center"/>
        <w:rPr>
          <w:rFonts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起草说明</w:t>
      </w:r>
    </w:p>
    <w:p w14:paraId="2C2E17E9">
      <w:pPr>
        <w:spacing w:line="560" w:lineRule="exact"/>
        <w:contextualSpacing/>
      </w:pPr>
    </w:p>
    <w:p w14:paraId="7D951E14">
      <w:pPr>
        <w:spacing w:line="560" w:lineRule="exact"/>
        <w:ind w:firstLine="640" w:firstLineChars="200"/>
        <w:contextualSpacing/>
        <w:rPr>
          <w:rFonts w:eastAsia="方正仿宋_GBK"/>
          <w:sz w:val="32"/>
          <w:szCs w:val="32"/>
        </w:rPr>
      </w:pPr>
      <w:r>
        <w:rPr>
          <w:rFonts w:hint="eastAsia" w:eastAsia="方正仿宋_GBK"/>
          <w:sz w:val="32"/>
          <w:szCs w:val="32"/>
        </w:rPr>
        <w:t>为深入贯彻党的二十大精神和习近平总书记关于慈善事业的重要论述，落实《中华人民共和国慈善法》修订实施新要求，适应我省慈善事业发展新形势、新业态、新需求，省民政厅牵头组织起草了《江苏省慈善条例》（征求意见稿），现就有关情况作如下说明：</w:t>
      </w:r>
    </w:p>
    <w:p w14:paraId="5A4AAC03">
      <w:pPr>
        <w:spacing w:line="560" w:lineRule="exact"/>
        <w:ind w:firstLine="640" w:firstLineChars="200"/>
        <w:contextualSpacing/>
        <w:rPr>
          <w:rFonts w:ascii="Times New Roman" w:hAnsi="Times New Roman" w:eastAsia="方正黑体_GBK" w:cs="Times New Roman"/>
          <w:bCs/>
          <w:sz w:val="32"/>
          <w:szCs w:val="32"/>
        </w:rPr>
      </w:pPr>
      <w:r>
        <w:rPr>
          <w:rFonts w:ascii="Times New Roman" w:hAnsi="Times New Roman" w:eastAsia="方正黑体_GBK" w:cs="Times New Roman"/>
          <w:bCs/>
          <w:sz w:val="32"/>
          <w:szCs w:val="32"/>
        </w:rPr>
        <w:t>一、立法必要性</w:t>
      </w:r>
    </w:p>
    <w:p w14:paraId="442ADBE7">
      <w:pPr>
        <w:overflowPunct w:val="0"/>
        <w:spacing w:line="560" w:lineRule="exact"/>
        <w:ind w:firstLine="640" w:firstLineChars="200"/>
        <w:contextualSpacing/>
        <w:rPr>
          <w:rFonts w:ascii="Times New Roman" w:hAnsi="Times New Roman" w:eastAsia="方正仿宋_GBK" w:cs="Times New Roman"/>
          <w:sz w:val="32"/>
          <w:szCs w:val="22"/>
        </w:rPr>
      </w:pPr>
      <w:r>
        <w:rPr>
          <w:rFonts w:hint="eastAsia" w:ascii="Times New Roman" w:hAnsi="Times New Roman" w:eastAsia="方正仿宋_GBK" w:cs="Times New Roman"/>
          <w:sz w:val="32"/>
          <w:szCs w:val="22"/>
        </w:rPr>
        <w:t>慈善是社会文明进步的重要标志，是助力第三次分配、推进共同富裕、完善基层社会治理的重要力量。我省原有慈善条例施行多年，随着经济社会快速发展、数字慈善蓬勃兴起，慈善领域出现诸多新情况、新问题，原有制度规定已难以适配现实发展需要。</w:t>
      </w:r>
      <w:r>
        <w:rPr>
          <w:rFonts w:hint="eastAsia" w:ascii="Times New Roman" w:hAnsi="Times New Roman" w:eastAsia="方正仿宋_GBK" w:cs="Times New Roman"/>
          <w:b/>
          <w:sz w:val="32"/>
          <w:szCs w:val="22"/>
        </w:rPr>
        <w:t>一是</w:t>
      </w:r>
      <w:r>
        <w:rPr>
          <w:rFonts w:hint="eastAsia" w:ascii="Times New Roman" w:hAnsi="Times New Roman" w:eastAsia="方正仿宋_GBK" w:cs="Times New Roman"/>
          <w:sz w:val="32"/>
          <w:szCs w:val="22"/>
        </w:rPr>
        <w:t>落实中央关于慈善事业高质量发展、发挥慈善在第三次分配中作用的决策部署，亟需通过地方立法细化制度安排、落地政策要求。</w:t>
      </w:r>
      <w:r>
        <w:rPr>
          <w:rFonts w:hint="eastAsia" w:ascii="Times New Roman" w:hAnsi="Times New Roman" w:eastAsia="方正仿宋_GBK" w:cs="Times New Roman"/>
          <w:b/>
          <w:sz w:val="32"/>
          <w:szCs w:val="22"/>
        </w:rPr>
        <w:t>二是</w:t>
      </w:r>
      <w:r>
        <w:rPr>
          <w:rFonts w:hint="eastAsia" w:ascii="Times New Roman" w:hAnsi="Times New Roman" w:eastAsia="方正仿宋_GBK" w:cs="Times New Roman"/>
          <w:sz w:val="32"/>
          <w:szCs w:val="22"/>
        </w:rPr>
        <w:t>衔接新修订的《中华人民共和国慈善法》及配套制度，理顺上位法与地方立法衔接关系，补齐原有条例制度不匹配、不健全的短板。</w:t>
      </w:r>
      <w:r>
        <w:rPr>
          <w:rFonts w:hint="eastAsia" w:ascii="Times New Roman" w:hAnsi="Times New Roman" w:eastAsia="方正仿宋_GBK" w:cs="Times New Roman"/>
          <w:b/>
          <w:sz w:val="32"/>
          <w:szCs w:val="22"/>
        </w:rPr>
        <w:t>三是</w:t>
      </w:r>
      <w:r>
        <w:rPr>
          <w:rFonts w:hint="eastAsia" w:ascii="Times New Roman" w:hAnsi="Times New Roman" w:eastAsia="方正仿宋_GBK" w:cs="Times New Roman"/>
          <w:sz w:val="32"/>
          <w:szCs w:val="22"/>
        </w:rPr>
        <w:t>回应互联网募捐、社区慈善、应急慈善、慈善信托等新业态监管诉求，破解监管边界模糊、信息公开不充分、内部治理薄弱等突出问题。</w:t>
      </w:r>
      <w:r>
        <w:rPr>
          <w:rFonts w:hint="eastAsia" w:ascii="Times New Roman" w:hAnsi="Times New Roman" w:eastAsia="方正仿宋_GBK" w:cs="Times New Roman"/>
          <w:b/>
          <w:sz w:val="32"/>
          <w:szCs w:val="22"/>
        </w:rPr>
        <w:t>四是</w:t>
      </w:r>
      <w:r>
        <w:rPr>
          <w:rFonts w:hint="eastAsia" w:ascii="Times New Roman" w:hAnsi="Times New Roman" w:eastAsia="方正仿宋_GBK" w:cs="Times New Roman"/>
          <w:sz w:val="32"/>
          <w:szCs w:val="22"/>
        </w:rPr>
        <w:t>立足江苏经济社会发展省情，以高质量慈善立法赋能基层治理、增进民生福祉，为全省推进中国式现代化建设提供慈善法治支撑。</w:t>
      </w:r>
    </w:p>
    <w:p w14:paraId="123CB161">
      <w:pPr>
        <w:overflowPunct w:val="0"/>
        <w:spacing w:line="560" w:lineRule="exact"/>
        <w:ind w:firstLine="640" w:firstLineChars="200"/>
        <w:contextualSpacing/>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二、起草过程</w:t>
      </w:r>
    </w:p>
    <w:p w14:paraId="4D62FBB5">
      <w:pPr>
        <w:spacing w:line="560" w:lineRule="exact"/>
        <w:ind w:firstLine="640" w:firstLineChars="200"/>
        <w:contextualSpacing/>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省民政厅按立法计划启动起草工作，系统梳理法律法规、借鉴兄弟省市立法经验，结合全省基层慈善工作实际</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形成草案初稿。先后组织省内多区域实地调研、多轮部门书面征求意见、召开专家论证会，赴省外学习先进立法经验，同步开展风险评估、公平竞争审查、宏观政策一致性评估等法定程序，经多轮修改完善，形成本次《江苏省慈善条例》（征求意见稿），现向社会公开征求意见。</w:t>
      </w:r>
    </w:p>
    <w:p w14:paraId="2EFE7F72">
      <w:pPr>
        <w:spacing w:line="560" w:lineRule="exact"/>
        <w:ind w:firstLine="640" w:firstLineChars="200"/>
        <w:contextualSpacing/>
        <w:rPr>
          <w:rFonts w:eastAsia="方正黑体_GBK"/>
          <w:bCs/>
          <w:sz w:val="32"/>
          <w:szCs w:val="32"/>
        </w:rPr>
      </w:pPr>
      <w:r>
        <w:rPr>
          <w:rFonts w:hint="eastAsia" w:eastAsia="方正黑体_GBK"/>
          <w:bCs/>
          <w:sz w:val="32"/>
          <w:szCs w:val="32"/>
        </w:rPr>
        <w:t>三</w:t>
      </w:r>
      <w:r>
        <w:rPr>
          <w:rFonts w:eastAsia="方正黑体_GBK"/>
          <w:bCs/>
          <w:sz w:val="32"/>
          <w:szCs w:val="32"/>
        </w:rPr>
        <w:t>、</w:t>
      </w:r>
      <w:r>
        <w:rPr>
          <w:rFonts w:hint="eastAsia" w:eastAsia="方正黑体_GBK"/>
          <w:bCs/>
          <w:sz w:val="32"/>
          <w:szCs w:val="32"/>
        </w:rPr>
        <w:t>总体框架与</w:t>
      </w:r>
      <w:r>
        <w:rPr>
          <w:rFonts w:eastAsia="方正黑体_GBK"/>
          <w:bCs/>
          <w:sz w:val="32"/>
          <w:szCs w:val="32"/>
        </w:rPr>
        <w:t>主要内容</w:t>
      </w:r>
    </w:p>
    <w:p w14:paraId="3EFB6BD5">
      <w:pPr>
        <w:overflowPunct w:val="0"/>
        <w:spacing w:line="560" w:lineRule="exact"/>
        <w:ind w:firstLine="640" w:firstLineChars="200"/>
        <w:contextualSpacing/>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《江苏省慈善条例》（征求意见稿）采用章节式结构，共十一章</w:t>
      </w:r>
      <w:r>
        <w:rPr>
          <w:rFonts w:hint="eastAsia" w:ascii="Times New Roman" w:hAnsi="Times New Roman" w:eastAsia="方正仿宋_GBK" w:cs="方正仿宋_GBK"/>
          <w:sz w:val="32"/>
          <w:szCs w:val="32"/>
          <w:lang w:val="en-US" w:eastAsia="zh-CN"/>
        </w:rPr>
        <w:t>八十七条</w:t>
      </w:r>
      <w:r>
        <w:rPr>
          <w:rFonts w:hint="eastAsia" w:ascii="Times New Roman" w:hAnsi="Times New Roman" w:eastAsia="方正仿宋_GBK" w:cs="方正仿宋_GBK"/>
          <w:sz w:val="32"/>
          <w:szCs w:val="32"/>
        </w:rPr>
        <w:t>，依次为总则、慈善组织、慈善募捐和慈善捐赠、慈善信托、慈善财产与慈善服务、社区慈善、应急慈善、慈善文化、促进措施、监督管理和法律责任、附则。</w:t>
      </w:r>
    </w:p>
    <w:p w14:paraId="5E247E78">
      <w:pPr>
        <w:overflowPunct w:val="0"/>
        <w:spacing w:line="560" w:lineRule="exact"/>
        <w:ind w:firstLine="640" w:firstLineChars="200"/>
        <w:contextualSpacing/>
        <w:rPr>
          <w:rFonts w:ascii="Times New Roman" w:hAnsi="Times New Roman" w:eastAsia="方正仿宋_GBK" w:cs="方正仿宋_GBK"/>
          <w:sz w:val="32"/>
          <w:szCs w:val="32"/>
        </w:rPr>
      </w:pPr>
      <w:r>
        <w:rPr>
          <w:rFonts w:hint="eastAsia" w:ascii="方正黑体_GBK" w:hAnsi="方正黑体_GBK" w:eastAsia="方正黑体_GBK" w:cs="方正黑体_GBK"/>
          <w:sz w:val="32"/>
          <w:szCs w:val="32"/>
        </w:rPr>
        <w:t>第一章总则</w:t>
      </w:r>
      <w:r>
        <w:rPr>
          <w:rFonts w:hint="eastAsia" w:ascii="Times New Roman" w:hAnsi="Times New Roman" w:eastAsia="方正仿宋_GBK" w:cs="方正仿宋_GBK"/>
          <w:sz w:val="32"/>
          <w:szCs w:val="32"/>
        </w:rPr>
        <w:t>，明确</w:t>
      </w:r>
      <w:bookmarkStart w:id="0" w:name="_GoBack"/>
      <w:bookmarkEnd w:id="0"/>
      <w:r>
        <w:rPr>
          <w:rFonts w:hint="eastAsia" w:ascii="Times New Roman" w:hAnsi="Times New Roman" w:eastAsia="方正仿宋_GBK" w:cs="方正仿宋_GBK"/>
          <w:sz w:val="32"/>
          <w:szCs w:val="32"/>
        </w:rPr>
        <w:t>立法宗旨、适用范围、慈善工作坚持党的领导原则，划定各级政府及相关部门、群团组织职责，倡导全社会参与慈善活动，设立江苏慈善周制度，确立慈善事业发展总体遵循。</w:t>
      </w:r>
      <w:r>
        <w:rPr>
          <w:rFonts w:hint="eastAsia" w:ascii="方正黑体_GBK" w:hAnsi="方正黑体_GBK" w:eastAsia="方正黑体_GBK" w:cs="方正黑体_GBK"/>
          <w:sz w:val="32"/>
          <w:szCs w:val="32"/>
        </w:rPr>
        <w:t>第二章慈善组织</w:t>
      </w:r>
      <w:r>
        <w:rPr>
          <w:rFonts w:ascii="Times New Roman" w:hAnsi="Times New Roman" w:eastAsia="方正仿宋_GBK" w:cs="方正仿宋_GBK"/>
          <w:sz w:val="32"/>
          <w:szCs w:val="32"/>
        </w:rPr>
        <w:t>，</w:t>
      </w:r>
      <w:r>
        <w:rPr>
          <w:rFonts w:hint="eastAsia" w:ascii="Times New Roman" w:hAnsi="Times New Roman" w:eastAsia="方正仿宋_GBK" w:cs="方正仿宋_GBK"/>
          <w:sz w:val="32"/>
          <w:szCs w:val="32"/>
        </w:rPr>
        <w:t>规范慈善组织设立同步登记、认定及取消认定程序，强化慈善组织党建工作，完善剩余财产处置、财税登记、信息公开等规则；支持成立慈善行业组织，明确行业自律、人才培养、权益维护等职能。</w:t>
      </w:r>
      <w:r>
        <w:rPr>
          <w:rFonts w:hint="eastAsia" w:ascii="方正黑体_GBK" w:hAnsi="方正黑体_GBK" w:eastAsia="方正黑体_GBK" w:cs="方正黑体_GBK"/>
          <w:sz w:val="32"/>
          <w:szCs w:val="32"/>
        </w:rPr>
        <w:t>第三章慈善募捐和慈善捐赠</w:t>
      </w:r>
      <w:r>
        <w:rPr>
          <w:rFonts w:hint="eastAsia" w:ascii="Times New Roman" w:hAnsi="Times New Roman" w:eastAsia="方正仿宋_GBK" w:cs="方正仿宋_GBK"/>
          <w:sz w:val="32"/>
          <w:szCs w:val="32"/>
        </w:rPr>
        <w:t>，界定公开募捐、定向募捐边界，严禁强制摊派捐赠；规范互联网募捐运营规则、劝募行为准则，保护捐赠人及受益人隐私和个人信息；明确捐赠财产范围、经营性活动捐赠、遗嘱捐赠等规范，完善捐赠票据开具、非货币捐赠价值认定制度。</w:t>
      </w:r>
      <w:r>
        <w:rPr>
          <w:rFonts w:hint="eastAsia" w:ascii="方正黑体_GBK" w:hAnsi="方正黑体_GBK" w:eastAsia="方正黑体_GBK" w:cs="方正黑体_GBK"/>
          <w:sz w:val="32"/>
          <w:szCs w:val="32"/>
        </w:rPr>
        <w:t>第四章慈善信托</w:t>
      </w:r>
      <w:r>
        <w:rPr>
          <w:rFonts w:hint="eastAsia" w:ascii="Times New Roman" w:hAnsi="Times New Roman" w:eastAsia="方正仿宋_GBK" w:cs="方正仿宋_GBK"/>
          <w:sz w:val="32"/>
          <w:szCs w:val="32"/>
        </w:rPr>
        <w:t>，鼓励多元主体设立慈善信托，拓宽信托财产类型；规范受托人履职要求与资产保值增值义务，建立低效慈善信托合并处置机制；支持金融机构给予费用优惠，探索非货币财产慈善信托登记配套制度。</w:t>
      </w:r>
      <w:r>
        <w:rPr>
          <w:rFonts w:hint="eastAsia" w:ascii="方正黑体_GBK" w:hAnsi="方正黑体_GBK" w:eastAsia="方正黑体_GBK" w:cs="方正黑体_GBK"/>
          <w:sz w:val="32"/>
          <w:szCs w:val="32"/>
        </w:rPr>
        <w:t>第五章慈善财产与慈善服务</w:t>
      </w:r>
      <w:r>
        <w:rPr>
          <w:rFonts w:hint="eastAsia" w:ascii="Times New Roman" w:hAnsi="Times New Roman" w:eastAsia="方正仿宋_GBK" w:cs="方正仿宋_GBK"/>
          <w:sz w:val="32"/>
          <w:szCs w:val="32"/>
        </w:rPr>
        <w:t>，严格慈善财产专款专用管理，严控运行成本、规范重大事项信息公开；支持开展慈善救助、购买慈善保险，健全政府救助与慈善帮扶衔接机制；细化捐赠财产价值确认、慈善项目结余款物处置规则；规范慈善服务协作模式、专业服务标准，强化受益人与志愿者人格尊严和隐私保护。</w:t>
      </w:r>
      <w:r>
        <w:rPr>
          <w:rFonts w:hint="eastAsia" w:ascii="方正黑体_GBK" w:hAnsi="方正黑体_GBK" w:eastAsia="方正黑体_GBK" w:cs="方正黑体_GBK"/>
          <w:sz w:val="32"/>
          <w:szCs w:val="32"/>
        </w:rPr>
        <w:t>第六章社区慈善</w:t>
      </w:r>
      <w:r>
        <w:rPr>
          <w:rFonts w:hint="eastAsia" w:ascii="Times New Roman" w:hAnsi="Times New Roman" w:eastAsia="方正仿宋_GBK" w:cs="方正仿宋_GBK"/>
          <w:sz w:val="32"/>
          <w:szCs w:val="32"/>
        </w:rPr>
        <w:t>，明确社区慈善活动法定范围，推广“慈善+”融合发展模式；健全多社联动基层治理机制，培育社区慈善力量与枢纽型组织；建立社区慈善供需清单对接制度，规范社区慈善基金设立、运营、公示及终止清算全流程管理。</w:t>
      </w:r>
      <w:r>
        <w:rPr>
          <w:rFonts w:hint="eastAsia" w:ascii="方正黑体_GBK" w:hAnsi="方正黑体_GBK" w:eastAsia="方正黑体_GBK" w:cs="方正黑体_GBK"/>
          <w:sz w:val="32"/>
          <w:szCs w:val="32"/>
        </w:rPr>
        <w:t>第七章应急慈善</w:t>
      </w:r>
      <w:r>
        <w:rPr>
          <w:rFonts w:hint="eastAsia" w:ascii="Times New Roman" w:hAnsi="Times New Roman" w:eastAsia="方正仿宋_GBK" w:cs="方正仿宋_GBK"/>
          <w:sz w:val="32"/>
          <w:szCs w:val="32"/>
        </w:rPr>
        <w:t>，将慈善活动纳入突发事件应急处置体系，建立跨部门应急慈善协调、资源调度机制；明确交通、税务、海关等部门应急保障便利措施，要求常态化开展应急慈善预案演练；规范应急捐赠款物接收、分配、发放、签收和公示制度。</w:t>
      </w:r>
      <w:r>
        <w:rPr>
          <w:rFonts w:hint="eastAsia" w:ascii="方正黑体_GBK" w:hAnsi="方正黑体_GBK" w:eastAsia="方正黑体_GBK" w:cs="方正黑体_GBK"/>
          <w:sz w:val="32"/>
          <w:szCs w:val="32"/>
        </w:rPr>
        <w:t>第八章慈善文化</w:t>
      </w:r>
      <w:r>
        <w:rPr>
          <w:rFonts w:hint="eastAsia" w:ascii="Times New Roman" w:hAnsi="Times New Roman" w:eastAsia="方正仿宋_GBK" w:cs="方正仿宋_GBK"/>
          <w:sz w:val="32"/>
          <w:szCs w:val="32"/>
        </w:rPr>
        <w:t>，强化慈善文化体系建设，鼓励培育本土慈善品牌、设立区域性慈善标识、打造慈善文化传播阵地；压实媒体公益宣传及费用减免责任，制定慈善文化公益宣传计划；全面推进慈善文化进机关、进企业、进乡村、进社区、进校园、进家庭，全域普及慈善理念。</w:t>
      </w:r>
      <w:r>
        <w:rPr>
          <w:rFonts w:hint="eastAsia" w:ascii="方正黑体_GBK" w:hAnsi="方正黑体_GBK" w:eastAsia="方正黑体_GBK" w:cs="方正黑体_GBK"/>
          <w:sz w:val="32"/>
          <w:szCs w:val="32"/>
        </w:rPr>
        <w:t>第九章促进措施</w:t>
      </w:r>
      <w:r>
        <w:rPr>
          <w:rFonts w:hint="eastAsia" w:ascii="Times New Roman" w:hAnsi="Times New Roman" w:eastAsia="方正仿宋_GBK" w:cs="方正仿宋_GBK"/>
          <w:sz w:val="32"/>
          <w:szCs w:val="32"/>
        </w:rPr>
        <w:t>，建立全省统一慈善信息数据库与信息共享、统计管理制度；落实税费优惠、政府购买服务、彩票公益金资助等扶持政策；将慈善专业人才纳入人才统筹培养体系，鼓励社会机构提供公益专业服务；设立江苏慈善奖并完善表彰激励、优待配套政策；支持慈善事业国际交流合作与长三角区域慈善协同发展。</w:t>
      </w:r>
      <w:r>
        <w:rPr>
          <w:rFonts w:hint="eastAsia" w:ascii="方正黑体_GBK" w:hAnsi="方正黑体_GBK" w:eastAsia="方正黑体_GBK" w:cs="方正黑体_GBK"/>
          <w:sz w:val="32"/>
          <w:szCs w:val="32"/>
        </w:rPr>
        <w:t>第十章监督管理与法律责任</w:t>
      </w:r>
      <w:r>
        <w:rPr>
          <w:rFonts w:hint="eastAsia" w:ascii="Times New Roman" w:hAnsi="Times New Roman" w:eastAsia="方正仿宋_GBK" w:cs="方正仿宋_GBK"/>
          <w:sz w:val="32"/>
          <w:szCs w:val="32"/>
        </w:rPr>
        <w:t>，构建公益慈善跨部门综合监管机制，建立慈善信用记录、第三方评估制度，并与公共信用平台联动；畅通社会监督、投诉举报及舆论监督渠道；细化违规宣传炒作、拒不履行捐赠义务、虚假捐赠、借慈善牟利等行为的处置处罚规则，明确相关违法责任适用依据。</w:t>
      </w:r>
      <w:r>
        <w:rPr>
          <w:rFonts w:hint="eastAsia" w:ascii="方正黑体_GBK" w:hAnsi="方正黑体_GBK" w:eastAsia="方正黑体_GBK" w:cs="方正黑体_GBK"/>
          <w:sz w:val="32"/>
          <w:szCs w:val="32"/>
        </w:rPr>
        <w:t>第十一章附则</w:t>
      </w:r>
      <w:r>
        <w:rPr>
          <w:rFonts w:hint="eastAsia" w:ascii="Times New Roman" w:hAnsi="Times New Roman" w:eastAsia="方正仿宋_GBK" w:cs="方正仿宋_GBK"/>
          <w:sz w:val="32"/>
          <w:szCs w:val="32"/>
        </w:rPr>
        <w:t>，明确社会力量参与慈善活动的途径，规范个人网络求助信息发布真实性责任，明确条例施行时间。</w:t>
      </w:r>
    </w:p>
    <w:sectPr>
      <w:footerReference r:id="rId5" w:type="default"/>
      <w:pgSz w:w="11906" w:h="16838"/>
      <w:pgMar w:top="2098" w:right="1474" w:bottom="1985" w:left="1588" w:header="851" w:footer="1389" w:gutter="0"/>
      <w:cols w:space="425" w:num="1"/>
      <w:docGrid w:type="lines" w:linePitch="707"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华文中宋">
    <w:altName w:val="宋体"/>
    <w:panose1 w:val="00000000000000000000"/>
    <w:charset w:val="86"/>
    <w:family w:val="auto"/>
    <w:pitch w:val="default"/>
    <w:sig w:usb0="00000000" w:usb1="00000000" w:usb2="00000010" w:usb3="00000000" w:csb0="0004009F" w:csb1="00000000"/>
  </w:font>
  <w:font w:name="华文琥珀">
    <w:altName w:val="宋体"/>
    <w:panose1 w:val="00000000000000000000"/>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0865080"/>
      <w:docPartObj>
        <w:docPartGallery w:val="AutoText"/>
      </w:docPartObj>
    </w:sdtPr>
    <w:sdtEndPr>
      <w:rPr>
        <w:rFonts w:ascii="Times New Roman" w:hAnsi="Times New Roman" w:cs="Times New Roman"/>
        <w:sz w:val="28"/>
        <w:szCs w:val="28"/>
      </w:rPr>
    </w:sdtEndPr>
    <w:sdtContent>
      <w:p w14:paraId="257E8F77">
        <w:pPr>
          <w:pStyle w:val="3"/>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w:t>
        </w:r>
        <w:r>
          <w:rPr>
            <w:rFonts w:ascii="Times New Roman" w:hAnsi="Times New Roman" w:cs="Times New Roman"/>
            <w:sz w:val="28"/>
            <w:szCs w:val="28"/>
          </w:rPr>
          <w:fldChar w:fldCharType="end"/>
        </w:r>
        <w:r>
          <w:rPr>
            <w:rFonts w:ascii="Times New Roman" w:hAnsi="Times New Roman" w:cs="Times New Roman"/>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HorizontalSpacing w:val="260"/>
  <w:drawingGridVerticalSpacing w:val="707"/>
  <w:displayHorizont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F9D5A01"/>
    <w:rsid w:val="000E0127"/>
    <w:rsid w:val="000F22C0"/>
    <w:rsid w:val="0011603A"/>
    <w:rsid w:val="00116D4C"/>
    <w:rsid w:val="00124E6D"/>
    <w:rsid w:val="002C188E"/>
    <w:rsid w:val="00342091"/>
    <w:rsid w:val="003D68F0"/>
    <w:rsid w:val="00412018"/>
    <w:rsid w:val="00490D3C"/>
    <w:rsid w:val="004C4240"/>
    <w:rsid w:val="00543081"/>
    <w:rsid w:val="005559FA"/>
    <w:rsid w:val="005647F1"/>
    <w:rsid w:val="00592955"/>
    <w:rsid w:val="005E22B6"/>
    <w:rsid w:val="006306A9"/>
    <w:rsid w:val="006458F8"/>
    <w:rsid w:val="006A06A1"/>
    <w:rsid w:val="006B1E79"/>
    <w:rsid w:val="006B56C0"/>
    <w:rsid w:val="006C22CF"/>
    <w:rsid w:val="00714BD7"/>
    <w:rsid w:val="00793DE6"/>
    <w:rsid w:val="007B167F"/>
    <w:rsid w:val="007B4C0B"/>
    <w:rsid w:val="00810936"/>
    <w:rsid w:val="008159EA"/>
    <w:rsid w:val="00836791"/>
    <w:rsid w:val="008B115C"/>
    <w:rsid w:val="008D1CE4"/>
    <w:rsid w:val="00905B49"/>
    <w:rsid w:val="00921E84"/>
    <w:rsid w:val="00950028"/>
    <w:rsid w:val="00974D9F"/>
    <w:rsid w:val="00995779"/>
    <w:rsid w:val="009A1154"/>
    <w:rsid w:val="00A02A20"/>
    <w:rsid w:val="00A23A03"/>
    <w:rsid w:val="00A927A2"/>
    <w:rsid w:val="00AF3B38"/>
    <w:rsid w:val="00B15A10"/>
    <w:rsid w:val="00B20CAF"/>
    <w:rsid w:val="00BE4A04"/>
    <w:rsid w:val="00C21801"/>
    <w:rsid w:val="00CF3B4A"/>
    <w:rsid w:val="00D677C2"/>
    <w:rsid w:val="00DF3DF2"/>
    <w:rsid w:val="00E7209B"/>
    <w:rsid w:val="00F94953"/>
    <w:rsid w:val="04753301"/>
    <w:rsid w:val="057E22F8"/>
    <w:rsid w:val="08A13372"/>
    <w:rsid w:val="0B9A45E4"/>
    <w:rsid w:val="10905C22"/>
    <w:rsid w:val="178169D1"/>
    <w:rsid w:val="17DC1BFC"/>
    <w:rsid w:val="1886652C"/>
    <w:rsid w:val="1C15669F"/>
    <w:rsid w:val="1C4C6724"/>
    <w:rsid w:val="1F9D5A01"/>
    <w:rsid w:val="1FC57DA2"/>
    <w:rsid w:val="201E04E9"/>
    <w:rsid w:val="2140314C"/>
    <w:rsid w:val="22FA21AD"/>
    <w:rsid w:val="28694639"/>
    <w:rsid w:val="2B6A793C"/>
    <w:rsid w:val="2C7F4C87"/>
    <w:rsid w:val="2F48608E"/>
    <w:rsid w:val="32806DF5"/>
    <w:rsid w:val="338C0D21"/>
    <w:rsid w:val="34B1214F"/>
    <w:rsid w:val="34F57941"/>
    <w:rsid w:val="34F94DD4"/>
    <w:rsid w:val="35D15B43"/>
    <w:rsid w:val="360C6A64"/>
    <w:rsid w:val="3F575B92"/>
    <w:rsid w:val="446122DF"/>
    <w:rsid w:val="48530805"/>
    <w:rsid w:val="4919662F"/>
    <w:rsid w:val="49B27277"/>
    <w:rsid w:val="4A340D7B"/>
    <w:rsid w:val="4CED27EE"/>
    <w:rsid w:val="4D0258E3"/>
    <w:rsid w:val="514A7858"/>
    <w:rsid w:val="529D34FE"/>
    <w:rsid w:val="52C8137C"/>
    <w:rsid w:val="52F47489"/>
    <w:rsid w:val="5BEF34D6"/>
    <w:rsid w:val="5C3C6C36"/>
    <w:rsid w:val="5FB86698"/>
    <w:rsid w:val="605B738C"/>
    <w:rsid w:val="610572F8"/>
    <w:rsid w:val="65167D25"/>
    <w:rsid w:val="6BD9335E"/>
    <w:rsid w:val="6D3876E4"/>
    <w:rsid w:val="6D3C5BA2"/>
    <w:rsid w:val="6F305E87"/>
    <w:rsid w:val="6FA30F27"/>
    <w:rsid w:val="738665CF"/>
    <w:rsid w:val="79F10C77"/>
    <w:rsid w:val="7CE4244F"/>
    <w:rsid w:val="7D3A315F"/>
    <w:rsid w:val="7F705F34"/>
    <w:rsid w:val="7FAC4D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Arial" w:hAnsi="Arial" w:eastAsia="华文中宋" w:cs="华文琥珀"/>
      <w:kern w:val="2"/>
      <w:sz w:val="52"/>
      <w:szCs w:val="5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lock Text"/>
    <w:unhideWhenUsed/>
    <w:qFormat/>
    <w:uiPriority w:val="99"/>
    <w:pPr>
      <w:widowControl w:val="0"/>
      <w:tabs>
        <w:tab w:val="left" w:pos="0"/>
      </w:tabs>
      <w:spacing w:line="577" w:lineRule="exact"/>
      <w:ind w:left="1440" w:leftChars="700" w:right="1440" w:rightChars="700" w:firstLine="880" w:firstLineChars="200"/>
      <w:jc w:val="both"/>
    </w:pPr>
    <w:rPr>
      <w:rFonts w:ascii="Times New Roman" w:hAnsi="Times New Roman" w:eastAsia="方正仿宋_GBK" w:cs="Times New Roman"/>
      <w:kern w:val="2"/>
      <w:sz w:val="32"/>
      <w:szCs w:val="22"/>
      <w:lang w:val="en-US" w:eastAsia="zh-CN" w:bidi="ar-SA"/>
    </w:rPr>
  </w:style>
  <w:style w:type="paragraph" w:styleId="3">
    <w:name w:val="footer"/>
    <w:basedOn w:val="1"/>
    <w:link w:val="9"/>
    <w:qFormat/>
    <w:uiPriority w:val="99"/>
    <w:pPr>
      <w:tabs>
        <w:tab w:val="center" w:pos="4153"/>
        <w:tab w:val="right" w:pos="8306"/>
      </w:tabs>
      <w:snapToGrid w:val="0"/>
      <w:jc w:val="left"/>
    </w:pPr>
    <w:rPr>
      <w:sz w:val="18"/>
    </w:rPr>
  </w:style>
  <w:style w:type="paragraph" w:styleId="4">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字符"/>
    <w:basedOn w:val="7"/>
    <w:link w:val="4"/>
    <w:uiPriority w:val="0"/>
    <w:rPr>
      <w:rFonts w:ascii="Arial" w:hAnsi="Arial" w:eastAsia="华文中宋" w:cs="华文琥珀"/>
      <w:kern w:val="2"/>
      <w:sz w:val="18"/>
      <w:szCs w:val="18"/>
    </w:rPr>
  </w:style>
  <w:style w:type="character" w:customStyle="1" w:styleId="9">
    <w:name w:val="页脚 字符"/>
    <w:basedOn w:val="7"/>
    <w:link w:val="3"/>
    <w:uiPriority w:val="99"/>
    <w:rPr>
      <w:rFonts w:ascii="Arial" w:hAnsi="Arial" w:eastAsia="华文中宋" w:cs="华文琥珀"/>
      <w:kern w:val="2"/>
      <w:sz w:val="18"/>
      <w:szCs w:val="5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 Inc.</Company>
  <Pages>4</Pages>
  <Words>1964</Words>
  <Characters>1964</Characters>
  <Lines>14</Lines>
  <Paragraphs>3</Paragraphs>
  <TotalTime>67</TotalTime>
  <ScaleCrop>false</ScaleCrop>
  <LinksUpToDate>false</LinksUpToDate>
  <CharactersWithSpaces>1964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2026-04-20T07:54:00Z</dcterms:created>
  <dc:creator>10691524</dc:creator>
  <cp:lastModifiedBy>10691524</cp:lastModifiedBy>
  <dcterms:modified xsi:type="dcterms:W3CDTF">2026-05-25T06:52:14Z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67FB3F887FB046E885207AAD71C92A20_13</vt:lpwstr>
  </property>
  <property fmtid="{D5CDD505-2E9C-101B-9397-08002B2CF9AE}" pid="4" name="KSOTemplateDocerSaveRecord">
    <vt:lpwstr>eyJoZGlkIjoiODI3Yjk4MTE1MTZiNzc0M2VlZjc5N2U4M2IzOGJjNWMiLCJ1c2VySWQiOiIxMjMyMzYyNDUyIn0=</vt:lpwstr>
  </property>
</Properties>
</file>