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2" w:hRule="atLeast"/>
        </w:trPr>
        <w:tc>
          <w:tcPr>
            <w:tcW w:w="10402" w:type="dxa"/>
            <w:tcBorders>
              <w:top w:val="nil"/>
              <w:left w:val="nil"/>
              <w:bottom w:val="nil"/>
              <w:right w:val="nil"/>
            </w:tcBorders>
          </w:tcPr>
          <w:p>
            <w:pPr>
              <w:pStyle w:val="8"/>
              <w:spacing w:line="360" w:lineRule="auto"/>
              <w:jc w:val="both"/>
              <w:rPr>
                <w:rFonts w:ascii="仿宋" w:hAnsi="仿宋" w:eastAsia="仿宋" w:cs="仿宋"/>
                <w:b/>
                <w:bCs/>
                <w:color w:val="FF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5" w:hRule="atLeast"/>
        </w:trPr>
        <w:tc>
          <w:tcPr>
            <w:tcW w:w="10402" w:type="dxa"/>
            <w:tcBorders>
              <w:top w:val="nil"/>
              <w:left w:val="nil"/>
              <w:bottom w:val="nil"/>
              <w:right w:val="nil"/>
            </w:tcBorders>
          </w:tcPr>
          <w:p>
            <w:pPr>
              <w:ind w:right="284" w:rightChars="129"/>
              <w:jc w:val="center"/>
              <w:rPr>
                <w:rFonts w:ascii="仿宋" w:hAnsi="仿宋" w:eastAsia="仿宋" w:cs="仿宋"/>
                <w:b/>
                <w:bCs/>
                <w:color w:val="FF0000"/>
              </w:rPr>
            </w:pPr>
            <w:r>
              <w:rPr>
                <w:rFonts w:ascii="宋体" w:hAnsi="宋体" w:eastAsia="宋体" w:cs="宋体"/>
                <w:b/>
                <w:sz w:val="52"/>
              </w:rPr>
              <w:t>2021年度</w:t>
            </w:r>
            <w:r>
              <w:rPr>
                <w:rFonts w:ascii="宋体" w:hAnsi="宋体" w:eastAsia="宋体" w:cs="宋体"/>
                <w:b/>
                <w:sz w:val="52"/>
              </w:rPr>
              <w:br w:type="textWrapping"/>
            </w:r>
            <w:r>
              <w:rPr>
                <w:rFonts w:ascii="宋体" w:hAnsi="宋体" w:eastAsia="宋体" w:cs="宋体"/>
                <w:b/>
                <w:sz w:val="52"/>
              </w:rPr>
              <w:t>江苏省社会捐助服务中心</w:t>
            </w:r>
            <w:r>
              <w:rPr>
                <w:rFonts w:ascii="宋体" w:hAnsi="宋体" w:eastAsia="宋体" w:cs="宋体"/>
                <w:b/>
                <w:sz w:val="52"/>
              </w:rPr>
              <w:br w:type="textWrapping"/>
            </w:r>
            <w:r>
              <w:rPr>
                <w:rFonts w:ascii="宋体" w:hAnsi="宋体" w:eastAsia="宋体" w:cs="宋体"/>
                <w:b/>
                <w:sz w:val="52"/>
              </w:rPr>
              <w:t>单位决算公开</w:t>
            </w:r>
          </w:p>
        </w:tc>
      </w:tr>
    </w:tbl>
    <w:p>
      <w:pPr>
        <w:ind w:right="284" w:rightChars="129"/>
        <w:jc w:val="both"/>
        <w:rPr>
          <w:rFonts w:ascii="宋体" w:hAnsi="宋体" w:eastAsia="宋体" w:cs="宋体"/>
          <w:b/>
          <w:bCs/>
          <w:sz w:val="52"/>
          <w:szCs w:val="52"/>
        </w:rPr>
        <w:sectPr>
          <w:headerReference r:id="rId5" w:type="first"/>
          <w:footerReference r:id="rId8" w:type="first"/>
          <w:headerReference r:id="rId3" w:type="default"/>
          <w:footerReference r:id="rId6" w:type="default"/>
          <w:headerReference r:id="rId4" w:type="even"/>
          <w:footerReference r:id="rId7" w:type="even"/>
          <w:pgSz w:w="11906" w:h="16838"/>
          <w:pgMar w:top="1580" w:right="700" w:bottom="770" w:left="1020" w:header="170" w:footer="280" w:gutter="0"/>
          <w:cols w:space="720" w:num="1"/>
          <w:formProt w:val="0"/>
          <w:titlePg/>
          <w:docGrid w:linePitch="100" w:charSpace="0"/>
        </w:sectPr>
      </w:pPr>
    </w:p>
    <w:p>
      <w:pPr>
        <w:pStyle w:val="8"/>
        <w:spacing w:before="4"/>
        <w:rPr>
          <w:rFonts w:ascii="华文仿宋" w:hAnsi="华文仿宋" w:eastAsia="华文仿宋" w:cs="仿宋"/>
          <w:sz w:val="10"/>
        </w:rPr>
      </w:pPr>
    </w:p>
    <w:p>
      <w:pPr>
        <w:pStyle w:val="3"/>
        <w:tabs>
          <w:tab w:val="left" w:pos="880"/>
        </w:tabs>
        <w:spacing w:line="718" w:lineRule="exact"/>
        <w:ind w:right="313"/>
        <w:rPr>
          <w:rFonts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spacing w:before="7"/>
        <w:rPr>
          <w:rFonts w:ascii="仿宋" w:hAnsi="仿宋" w:eastAsia="仿宋" w:cs="仿宋"/>
          <w:sz w:val="27"/>
        </w:rPr>
      </w:pPr>
    </w:p>
    <w:p>
      <w:pPr>
        <w:pStyle w:val="8"/>
        <w:spacing w:line="360" w:lineRule="auto"/>
        <w:ind w:left="671" w:leftChars="300" w:hanging="11"/>
        <w:jc w:val="both"/>
        <w:outlineLvl w:val="0"/>
        <w:rPr>
          <w:rFonts w:ascii="黑体" w:hAnsi="黑体" w:eastAsia="黑体" w:cs="黑体"/>
        </w:rPr>
      </w:pPr>
      <w:r>
        <w:rPr>
          <w:rFonts w:hint="eastAsia" w:ascii="黑体" w:hAnsi="黑体" w:eastAsia="黑体" w:cs="黑体"/>
        </w:rPr>
        <w:t xml:space="preserve">第一部分 </w:t>
      </w:r>
      <w:r>
        <w:rPr>
          <w:rFonts w:hint="eastAsia" w:ascii="黑体" w:hAnsi="黑体" w:eastAsia="黑体" w:cs="黑体"/>
          <w:lang w:val="en-US"/>
        </w:rPr>
        <w:t>单位</w:t>
      </w:r>
      <w:r>
        <w:rPr>
          <w:rFonts w:hint="eastAsia" w:ascii="黑体" w:hAnsi="黑体" w:eastAsia="黑体" w:cs="黑体"/>
        </w:rPr>
        <w:t>概况</w:t>
      </w:r>
    </w:p>
    <w:p>
      <w:pPr>
        <w:pStyle w:val="8"/>
        <w:tabs>
          <w:tab w:val="left" w:pos="2249"/>
        </w:tabs>
        <w:spacing w:line="360" w:lineRule="auto"/>
        <w:ind w:left="671" w:leftChars="300" w:hanging="11"/>
        <w:jc w:val="both"/>
        <w:rPr>
          <w:rFonts w:ascii="仿宋" w:hAnsi="仿宋" w:eastAsia="仿宋" w:cs="仿宋"/>
        </w:rPr>
      </w:pPr>
      <w:r>
        <w:rPr>
          <w:rFonts w:hint="eastAsia" w:ascii="仿宋" w:hAnsi="仿宋" w:eastAsia="仿宋" w:cs="仿宋"/>
        </w:rPr>
        <w:t>一、主要职能</w:t>
      </w:r>
    </w:p>
    <w:p>
      <w:pPr>
        <w:pStyle w:val="8"/>
        <w:tabs>
          <w:tab w:val="left" w:pos="2249"/>
        </w:tabs>
        <w:spacing w:line="360" w:lineRule="auto"/>
        <w:ind w:left="671" w:leftChars="300" w:hanging="11"/>
        <w:jc w:val="both"/>
        <w:rPr>
          <w:rFonts w:ascii="仿宋" w:hAnsi="仿宋" w:eastAsia="仿宋" w:cs="仿宋"/>
        </w:rPr>
      </w:pPr>
      <w:r>
        <w:rPr>
          <w:rFonts w:hint="eastAsia" w:ascii="仿宋" w:hAnsi="仿宋" w:eastAsia="仿宋" w:cs="仿宋"/>
        </w:rPr>
        <w:t>二、</w:t>
      </w:r>
      <w:r>
        <w:rPr>
          <w:rFonts w:hint="eastAsia" w:ascii="仿宋" w:hAnsi="仿宋" w:eastAsia="仿宋" w:cs="仿宋"/>
          <w:lang w:val="en-US"/>
        </w:rPr>
        <w:t>单位</w:t>
      </w:r>
      <w:r>
        <w:rPr>
          <w:rFonts w:hint="eastAsia" w:ascii="仿宋" w:hAnsi="仿宋" w:eastAsia="仿宋" w:cs="仿宋"/>
        </w:rPr>
        <w:t>机构设置及决算单位构成情况</w:t>
      </w:r>
    </w:p>
    <w:p>
      <w:pPr>
        <w:pStyle w:val="8"/>
        <w:tabs>
          <w:tab w:val="left" w:pos="2249"/>
        </w:tabs>
        <w:spacing w:line="360" w:lineRule="auto"/>
        <w:ind w:left="671" w:leftChars="300" w:hanging="11"/>
        <w:jc w:val="both"/>
        <w:rPr>
          <w:rFonts w:ascii="仿宋" w:hAnsi="仿宋" w:eastAsia="仿宋" w:cs="仿宋"/>
        </w:rPr>
      </w:pPr>
      <w:r>
        <w:rPr>
          <w:rFonts w:hint="eastAsia" w:ascii="仿宋" w:hAnsi="仿宋" w:eastAsia="仿宋" w:cs="仿宋"/>
        </w:rPr>
        <w:t>三、2021年度主要工作完成情况</w:t>
      </w:r>
    </w:p>
    <w:p>
      <w:pPr>
        <w:pStyle w:val="8"/>
        <w:spacing w:line="360" w:lineRule="auto"/>
        <w:ind w:left="671" w:leftChars="300" w:hanging="11"/>
        <w:jc w:val="both"/>
        <w:rPr>
          <w:rFonts w:ascii="黑体" w:hAnsi="黑体" w:eastAsia="黑体" w:cs="黑体"/>
        </w:rPr>
      </w:pPr>
      <w:r>
        <w:rPr>
          <w:rFonts w:hint="eastAsia" w:ascii="黑体" w:hAnsi="黑体" w:eastAsia="黑体" w:cs="黑体"/>
          <w:lang w:val="en-US"/>
        </w:rPr>
        <w:t>第二部分 2021年度</w:t>
      </w:r>
      <w:r>
        <w:rPr>
          <w:rFonts w:ascii="黑体" w:hAnsi="黑体" w:eastAsia="黑体" w:cs="黑体"/>
        </w:rPr>
        <w:t>单位决算表</w:t>
      </w:r>
    </w:p>
    <w:p>
      <w:pPr>
        <w:pStyle w:val="8"/>
        <w:spacing w:line="360" w:lineRule="auto"/>
        <w:ind w:left="671" w:leftChars="300" w:right="5774" w:hanging="11"/>
        <w:jc w:val="both"/>
        <w:rPr>
          <w:rFonts w:ascii="仿宋" w:hAnsi="仿宋" w:eastAsia="仿宋" w:cs="仿宋"/>
        </w:rPr>
      </w:pPr>
      <w:r>
        <w:rPr>
          <w:rFonts w:hint="eastAsia" w:ascii="仿宋" w:hAnsi="仿宋" w:eastAsia="仿宋" w:cs="仿宋"/>
          <w:spacing w:val="-2"/>
        </w:rPr>
        <w:t>一、收入支出决算总表</w:t>
      </w:r>
    </w:p>
    <w:p>
      <w:pPr>
        <w:pStyle w:val="8"/>
        <w:spacing w:line="360" w:lineRule="auto"/>
        <w:ind w:left="671" w:leftChars="300" w:right="5774" w:hanging="11"/>
        <w:jc w:val="both"/>
        <w:rPr>
          <w:rFonts w:ascii="仿宋" w:hAnsi="仿宋" w:eastAsia="仿宋" w:cs="仿宋"/>
        </w:rPr>
      </w:pPr>
      <w:r>
        <w:rPr>
          <w:rFonts w:hint="eastAsia" w:ascii="仿宋" w:hAnsi="仿宋" w:eastAsia="仿宋" w:cs="仿宋"/>
        </w:rPr>
        <w:t>二、收入决算表</w:t>
      </w:r>
    </w:p>
    <w:p>
      <w:pPr>
        <w:pStyle w:val="8"/>
        <w:spacing w:line="360" w:lineRule="auto"/>
        <w:ind w:left="671" w:leftChars="300" w:hanging="11"/>
        <w:jc w:val="both"/>
        <w:rPr>
          <w:rFonts w:ascii="仿宋" w:hAnsi="仿宋" w:eastAsia="仿宋" w:cs="仿宋"/>
        </w:rPr>
      </w:pPr>
      <w:r>
        <w:rPr>
          <w:rFonts w:hint="eastAsia" w:ascii="仿宋" w:hAnsi="仿宋" w:eastAsia="仿宋" w:cs="仿宋"/>
          <w:w w:val="95"/>
        </w:rPr>
        <w:t>三、支出决算表</w:t>
      </w:r>
    </w:p>
    <w:p>
      <w:pPr>
        <w:pStyle w:val="8"/>
        <w:spacing w:line="360" w:lineRule="auto"/>
        <w:ind w:left="671" w:leftChars="300" w:hanging="11"/>
        <w:jc w:val="both"/>
        <w:rPr>
          <w:rFonts w:ascii="仿宋" w:hAnsi="仿宋" w:eastAsia="仿宋" w:cs="仿宋"/>
        </w:rPr>
      </w:pPr>
      <w:r>
        <w:rPr>
          <w:rFonts w:hint="eastAsia" w:ascii="仿宋" w:hAnsi="仿宋" w:eastAsia="仿宋" w:cs="仿宋"/>
        </w:rPr>
        <w:t>四、财政拨款收入支出决算总表</w:t>
      </w:r>
    </w:p>
    <w:p>
      <w:pPr>
        <w:pStyle w:val="8"/>
        <w:spacing w:line="360" w:lineRule="auto"/>
        <w:ind w:left="671" w:leftChars="300" w:hanging="11"/>
        <w:jc w:val="both"/>
        <w:rPr>
          <w:rFonts w:ascii="仿宋" w:hAnsi="仿宋" w:eastAsia="仿宋" w:cs="仿宋"/>
        </w:rPr>
      </w:pPr>
      <w:r>
        <w:rPr>
          <w:rFonts w:hint="eastAsia" w:ascii="仿宋" w:hAnsi="仿宋" w:eastAsia="仿宋" w:cs="仿宋"/>
        </w:rPr>
        <w:t>五、财政拨款支出决算表（功能科目）</w:t>
      </w:r>
    </w:p>
    <w:p>
      <w:pPr>
        <w:pStyle w:val="8"/>
        <w:spacing w:line="360" w:lineRule="auto"/>
        <w:ind w:left="671" w:leftChars="300" w:right="2894" w:hanging="11"/>
        <w:jc w:val="both"/>
        <w:rPr>
          <w:rFonts w:ascii="仿宋" w:hAnsi="仿宋" w:eastAsia="仿宋" w:cs="仿宋"/>
        </w:rPr>
      </w:pPr>
      <w:r>
        <w:rPr>
          <w:rFonts w:hint="eastAsia" w:ascii="仿宋" w:hAnsi="仿宋" w:eastAsia="仿宋" w:cs="仿宋"/>
        </w:rPr>
        <w:t>六、财政拨款基本支出决算表（经济科目） 七、一般公共预算支出决算表（功能科目）</w:t>
      </w:r>
    </w:p>
    <w:p>
      <w:pPr>
        <w:pStyle w:val="8"/>
        <w:spacing w:line="360" w:lineRule="auto"/>
        <w:ind w:left="671" w:leftChars="300" w:hanging="11"/>
        <w:jc w:val="both"/>
        <w:rPr>
          <w:rFonts w:ascii="仿宋" w:hAnsi="仿宋" w:eastAsia="仿宋" w:cs="仿宋"/>
        </w:rPr>
      </w:pPr>
      <w:r>
        <w:rPr>
          <w:rFonts w:hint="eastAsia" w:ascii="仿宋" w:hAnsi="仿宋" w:eastAsia="仿宋" w:cs="仿宋"/>
        </w:rPr>
        <w:t>八、一般公共预算基本支出决算表（经济科目）</w:t>
      </w:r>
    </w:p>
    <w:p>
      <w:pPr>
        <w:pStyle w:val="8"/>
        <w:spacing w:line="360" w:lineRule="auto"/>
        <w:ind w:left="671" w:leftChars="300" w:hanging="11"/>
        <w:jc w:val="both"/>
        <w:rPr>
          <w:rFonts w:ascii="仿宋" w:hAnsi="仿宋" w:eastAsia="仿宋" w:cs="仿宋"/>
        </w:rPr>
      </w:pPr>
      <w:r>
        <w:rPr>
          <w:rFonts w:hint="eastAsia" w:ascii="仿宋" w:hAnsi="仿宋" w:eastAsia="仿宋" w:cs="仿宋"/>
        </w:rPr>
        <w:t>九、一般公共预算“三公”经费、会议费、培训费支出决算表</w:t>
      </w:r>
    </w:p>
    <w:p>
      <w:pPr>
        <w:pStyle w:val="8"/>
        <w:spacing w:line="360" w:lineRule="auto"/>
        <w:ind w:left="671" w:leftChars="300" w:hanging="11"/>
        <w:jc w:val="both"/>
        <w:rPr>
          <w:rFonts w:ascii="仿宋" w:hAnsi="仿宋" w:eastAsia="仿宋" w:cs="仿宋"/>
        </w:rPr>
      </w:pPr>
      <w:r>
        <w:rPr>
          <w:rFonts w:hint="eastAsia" w:ascii="仿宋" w:hAnsi="仿宋" w:eastAsia="仿宋" w:cs="仿宋"/>
        </w:rPr>
        <w:t>十、政府性基金预算支出决算表</w:t>
      </w:r>
    </w:p>
    <w:p>
      <w:pPr>
        <w:pStyle w:val="8"/>
        <w:spacing w:line="360" w:lineRule="auto"/>
        <w:ind w:left="671" w:leftChars="300" w:right="2575" w:hanging="11"/>
        <w:jc w:val="both"/>
        <w:rPr>
          <w:rFonts w:ascii="仿宋" w:hAnsi="仿宋" w:eastAsia="仿宋" w:cs="仿宋"/>
          <w:lang w:val="en-US"/>
        </w:rPr>
      </w:pPr>
      <w:r>
        <w:rPr>
          <w:rFonts w:hint="eastAsia" w:ascii="仿宋" w:hAnsi="仿宋" w:eastAsia="仿宋" w:cs="仿宋"/>
        </w:rPr>
        <w:t>十一、</w:t>
      </w:r>
      <w:r>
        <w:rPr>
          <w:rFonts w:hint="eastAsia" w:ascii="仿宋" w:hAnsi="仿宋" w:eastAsia="仿宋" w:cs="仿宋"/>
          <w:lang w:val="en-US"/>
        </w:rPr>
        <w:t>国有资本经营预算支出决算表</w:t>
      </w:r>
    </w:p>
    <w:p>
      <w:pPr>
        <w:pStyle w:val="8"/>
        <w:spacing w:line="360" w:lineRule="auto"/>
        <w:ind w:left="671" w:leftChars="300" w:right="2575" w:hanging="11"/>
        <w:jc w:val="both"/>
        <w:rPr>
          <w:rFonts w:ascii="仿宋" w:hAnsi="仿宋" w:eastAsia="仿宋" w:cs="仿宋"/>
        </w:rPr>
      </w:pPr>
      <w:r>
        <w:rPr>
          <w:rFonts w:hint="eastAsia" w:ascii="仿宋" w:hAnsi="仿宋" w:eastAsia="仿宋" w:cs="仿宋"/>
        </w:rPr>
        <w:t>十</w:t>
      </w:r>
      <w:r>
        <w:rPr>
          <w:rFonts w:hint="eastAsia" w:ascii="仿宋" w:hAnsi="仿宋" w:eastAsia="仿宋" w:cs="仿宋"/>
          <w:lang w:val="en-US"/>
        </w:rPr>
        <w:t>二</w:t>
      </w:r>
      <w:r>
        <w:rPr>
          <w:rFonts w:hint="eastAsia" w:ascii="仿宋" w:hAnsi="仿宋" w:eastAsia="仿宋" w:cs="仿宋"/>
        </w:rPr>
        <w:t>、一般公共预算机关运行经费支出决算表</w:t>
      </w:r>
    </w:p>
    <w:p>
      <w:pPr>
        <w:pStyle w:val="8"/>
        <w:spacing w:line="360" w:lineRule="auto"/>
        <w:ind w:left="671" w:leftChars="300" w:right="2575" w:hanging="11"/>
        <w:jc w:val="both"/>
        <w:rPr>
          <w:rFonts w:ascii="仿宋" w:hAnsi="仿宋" w:eastAsia="仿宋" w:cs="仿宋"/>
        </w:rPr>
      </w:pPr>
      <w:r>
        <w:rPr>
          <w:rFonts w:hint="eastAsia" w:ascii="仿宋" w:hAnsi="仿宋" w:eastAsia="仿宋" w:cs="仿宋"/>
        </w:rPr>
        <w:t>十</w:t>
      </w:r>
      <w:r>
        <w:rPr>
          <w:rFonts w:hint="eastAsia" w:ascii="仿宋" w:hAnsi="仿宋" w:eastAsia="仿宋" w:cs="仿宋"/>
          <w:lang w:val="en-US"/>
        </w:rPr>
        <w:t>三</w:t>
      </w:r>
      <w:r>
        <w:rPr>
          <w:rFonts w:hint="eastAsia" w:ascii="仿宋" w:hAnsi="仿宋" w:eastAsia="仿宋" w:cs="仿宋"/>
        </w:rPr>
        <w:t>、政府采购支出决算表</w:t>
      </w:r>
    </w:p>
    <w:p>
      <w:pPr>
        <w:pStyle w:val="8"/>
        <w:spacing w:line="360" w:lineRule="auto"/>
        <w:ind w:left="671" w:leftChars="300" w:hanging="11"/>
        <w:jc w:val="both"/>
        <w:rPr>
          <w:rFonts w:ascii="黑体" w:hAnsi="黑体" w:eastAsia="黑体" w:cs="黑体"/>
          <w:lang w:val="en-US"/>
        </w:rPr>
      </w:pPr>
      <w:r>
        <w:rPr>
          <w:rFonts w:hint="eastAsia" w:ascii="黑体" w:hAnsi="黑体" w:eastAsia="黑体" w:cs="黑体"/>
          <w:lang w:val="en-US"/>
        </w:rPr>
        <w:t>第三部分 2021年度</w:t>
      </w:r>
      <w:r>
        <w:rPr>
          <w:rFonts w:ascii="黑体" w:hAnsi="黑体" w:eastAsia="黑体" w:cs="黑体"/>
        </w:rPr>
        <w:t>单位决算情况说明</w:t>
      </w:r>
    </w:p>
    <w:p>
      <w:pPr>
        <w:pStyle w:val="8"/>
        <w:spacing w:line="360" w:lineRule="auto"/>
        <w:ind w:left="671" w:leftChars="300" w:hanging="11"/>
        <w:jc w:val="both"/>
        <w:rPr>
          <w:rFonts w:ascii="仿宋" w:hAnsi="仿宋" w:eastAsia="仿宋" w:cs="仿宋"/>
          <w:b/>
          <w:bCs/>
          <w:color w:val="000000"/>
          <w:sz w:val="30"/>
          <w:szCs w:val="30"/>
          <w:lang w:val="en-US"/>
        </w:rPr>
      </w:pPr>
      <w:r>
        <w:rPr>
          <w:rFonts w:hint="eastAsia" w:ascii="黑体" w:hAnsi="黑体" w:eastAsia="黑体" w:cs="黑体"/>
          <w:lang w:val="en-US"/>
        </w:rPr>
        <w:t>第四部分 名词解释</w:t>
      </w:r>
    </w:p>
    <w:p>
      <w:pPr>
        <w:pStyle w:val="8"/>
        <w:spacing w:line="235" w:lineRule="auto"/>
        <w:ind w:left="669" w:leftChars="300" w:right="2414" w:hanging="9"/>
        <w:jc w:val="both"/>
        <w:rPr>
          <w:rFonts w:ascii="仿宋" w:hAnsi="仿宋" w:eastAsia="仿宋" w:cs="仿宋"/>
        </w:rPr>
        <w:sectPr>
          <w:footerReference r:id="rId9" w:type="default"/>
          <w:pgSz w:w="11906" w:h="16838"/>
          <w:pgMar w:top="1580" w:right="700" w:bottom="770" w:left="1020" w:header="283" w:footer="280" w:gutter="0"/>
          <w:pgNumType w:fmt="numberInDash" w:start="1"/>
          <w:cols w:space="720" w:num="1"/>
          <w:formProt w:val="0"/>
          <w:docGrid w:linePitch="100" w:charSpace="0"/>
        </w:sectPr>
      </w:pPr>
    </w:p>
    <w:p>
      <w:pPr>
        <w:pStyle w:val="8"/>
        <w:spacing w:before="1"/>
        <w:rPr>
          <w:rFonts w:ascii="华文仿宋" w:hAnsi="华文仿宋" w:eastAsia="华文仿宋" w:cs="仿宋"/>
          <w:sz w:val="14"/>
        </w:rPr>
      </w:pPr>
    </w:p>
    <w:p>
      <w:pPr>
        <w:pStyle w:val="5"/>
        <w:tabs>
          <w:tab w:val="left" w:pos="4395"/>
        </w:tabs>
        <w:spacing w:line="606" w:lineRule="exact"/>
        <w:ind w:right="504" w:rightChars="229"/>
        <w:rPr>
          <w:rFonts w:ascii="宋体" w:hAnsi="宋体" w:eastAsia="宋体" w:cs="宋体"/>
          <w:b/>
          <w:bCs/>
        </w:rPr>
      </w:pPr>
      <w:r>
        <w:rPr>
          <w:rFonts w:hint="eastAsia" w:ascii="宋体" w:hAnsi="宋体" w:eastAsia="宋体" w:cs="宋体"/>
          <w:b/>
          <w:bCs/>
        </w:rPr>
        <w:t>第一部分单位概况</w:t>
      </w:r>
    </w:p>
    <w:p>
      <w:pPr>
        <w:ind w:right="504" w:rightChars="229"/>
        <w:jc w:val="both"/>
      </w:pPr>
    </w:p>
    <w:p>
      <w:pPr>
        <w:pStyle w:val="8"/>
        <w:spacing w:line="360" w:lineRule="auto"/>
        <w:ind w:left="440" w:leftChars="200" w:right="504" w:rightChars="229" w:firstLine="658"/>
        <w:jc w:val="both"/>
        <w:outlineLvl w:val="1"/>
        <w:rPr>
          <w:rFonts w:ascii="黑体" w:hAnsi="黑体" w:eastAsia="黑体" w:cs="黑体"/>
        </w:rPr>
      </w:pPr>
      <w:r>
        <w:rPr>
          <w:rFonts w:hint="eastAsia" w:ascii="黑体" w:hAnsi="黑体" w:eastAsia="黑体" w:cs="黑体"/>
        </w:rPr>
        <w:t>一、主要职能</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省社会捐助服务中心职能：为社会捐助提供服务。捐助款物分配调剂、社会捐助工作信息统计发布。</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省申请救助家庭经济状况认定指导中心职能：承担申请救助家庭经济状况信息查询工作，开展申请救助家庭经济状况核对的指导核查、统计分析、宣传培训、调查研究工作，负责省级申请救助家庭经济状况核对信息系统的研发、管理和维护。</w:t>
      </w:r>
    </w:p>
    <w:p>
      <w:pPr>
        <w:pStyle w:val="8"/>
        <w:spacing w:line="360" w:lineRule="auto"/>
        <w:ind w:left="440" w:leftChars="200" w:right="504" w:rightChars="229" w:firstLine="658"/>
        <w:jc w:val="both"/>
        <w:outlineLvl w:val="1"/>
        <w:rPr>
          <w:rFonts w:ascii="黑体" w:hAnsi="黑体" w:eastAsia="黑体" w:cs="黑体"/>
        </w:rPr>
      </w:pPr>
      <w:r>
        <w:rPr>
          <w:rFonts w:hint="eastAsia" w:ascii="黑体" w:hAnsi="黑体" w:eastAsia="黑体" w:cs="黑体"/>
        </w:rPr>
        <w:t>二、</w:t>
      </w:r>
      <w:r>
        <w:rPr>
          <w:rFonts w:ascii="黑体" w:hAnsi="黑体" w:eastAsia="黑体" w:cs="黑体"/>
        </w:rPr>
        <w:t>单位</w:t>
      </w:r>
      <w:r>
        <w:rPr>
          <w:rFonts w:hint="eastAsia" w:ascii="黑体" w:hAnsi="黑体" w:eastAsia="黑体" w:cs="黑体"/>
        </w:rPr>
        <w:t>机构设置及决算单位构成情况</w:t>
      </w:r>
    </w:p>
    <w:p>
      <w:pPr>
        <w:pStyle w:val="8"/>
        <w:spacing w:line="360" w:lineRule="auto"/>
        <w:ind w:left="440" w:leftChars="200" w:right="504" w:rightChars="229" w:firstLine="658"/>
        <w:jc w:val="both"/>
        <w:rPr>
          <w:rFonts w:ascii="仿宋" w:hAnsi="仿宋" w:eastAsia="仿宋" w:cs="仿宋"/>
        </w:rPr>
      </w:pPr>
      <w:r>
        <w:rPr>
          <w:rFonts w:hint="eastAsia" w:ascii="仿宋" w:hAnsi="仿宋" w:eastAsia="仿宋" w:cs="仿宋"/>
        </w:rPr>
        <w:t>根据</w:t>
      </w:r>
      <w:r>
        <w:rPr>
          <w:rFonts w:hint="eastAsia" w:ascii="仿宋" w:hAnsi="仿宋" w:eastAsia="仿宋" w:cs="仿宋"/>
          <w:lang w:val="en-US"/>
        </w:rPr>
        <w:t>单位</w:t>
      </w:r>
      <w:r>
        <w:rPr>
          <w:rFonts w:hint="eastAsia" w:ascii="仿宋" w:hAnsi="仿宋" w:eastAsia="仿宋" w:cs="仿宋"/>
        </w:rPr>
        <w:t>职责分工，</w:t>
      </w:r>
      <w:r>
        <w:rPr>
          <w:rFonts w:ascii="仿宋" w:hAnsi="仿宋" w:eastAsia="仿宋" w:cs="仿宋"/>
        </w:rPr>
        <w:t>本单位内设机构包括（一）省社会捐助服务中心（二）省申请救助家庭经济状况认定指导中心（简称核对中心）。本单位无下属单位。</w:t>
      </w:r>
    </w:p>
    <w:p>
      <w:pPr>
        <w:pStyle w:val="8"/>
        <w:spacing w:line="360" w:lineRule="auto"/>
        <w:ind w:left="440" w:leftChars="200" w:right="504" w:rightChars="229" w:firstLine="658"/>
        <w:jc w:val="both"/>
        <w:outlineLvl w:val="1"/>
        <w:rPr>
          <w:rFonts w:ascii="黑体" w:hAnsi="黑体" w:eastAsia="黑体" w:cs="黑体"/>
        </w:rPr>
      </w:pPr>
      <w:r>
        <w:rPr>
          <w:rFonts w:hint="eastAsia" w:ascii="黑体" w:hAnsi="黑体" w:eastAsia="黑体" w:cs="黑体"/>
        </w:rPr>
        <w:t>三、2021年度主要工作完成情况</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2021年，省社会捐助服务中心在厅党组、厅机关党委直接领导下，严格按照年初签订的《江苏省民政厅落实全面从严治党责任暨党风廉政建设责任书》责任内容和责任要求，认真履职尽责，狠抓工作落实，圆满完成了年度各项工作任务。</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一、坚持党建引领，在开展党史学习教育中走深走实。省捐助中心和省慈善总会联合党支部根据厅下发的《党支部党建工作责任清单》和《党建工作要点》内容，支部制定了年度政治教育计划和党史学习教育计划，全体党员制定了个人学习计划。坚持领学与自学相结合。对厅下发的“四本必读书籍”，要求全体党员进行自学，定时间、定目录、定学习体会数质量。给总会领导购买了《习近平论中国共产党历史》和《中国共产党简史》两本必读书籍。每半月支部会上由支部书记组织领学。坚持专题研讨学与党日主题活动学相结合。支部组织全体党员先后开展了以“学党史谈认识”、“学党史悟思想”、“学党史办实事”、“学党史开新局”四个专题学习研讨，大家踊跃发言。除了参加厅组织的学习教育活动之外，支部先后组织党员赴浙江嘉兴南湖党的一大会址、雨花台烈士陵园，开展了“传承红色基因、谱写慈善新篇”和“弘扬雨花英烈精神、践行慈善使命担当”党日主题活动。举办了“学党史、颂党恩、开新局书法图片展”。坚持学中干与干中学相结合。立足于抓党建带业务，抓好业务促党建。将党风廉政建设、意识形态工作、“五抓五促”统筹安排、疫情防控、安全生产、信访稳定整体推进。进一步增强了用习近平新时代中国特色社会主义思想武装头脑、指导实践、推动工作的政治自觉。全体党员和职工始终同以习近平同志为核心的党中央保持高度一致，不断提高政治判断力、政治领悟力、政治执行力，把好把稳新时代慈善事业发展的政治航向。注重培养优秀青年加入党组织。七一前夕，支部通过了江妍同志入党申请，同时将易海东、颜显君同志列为入党积极分子，进行重点培养。支部书记谢玉和被省厅表彰为“优秀党务工作者”。</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二、树立为民情怀，在开展“我为群众办实事”实践活动中主动作为。以“我为群众办实事”实践活动为抓手，对照厅下发的《我为群众办实事实践活动方案》，广泛开展调查研究，主动贴近基层，征求多方意见，列出“急难愁盼”慈善救助清单，着力聚焦党和政府最关心、社会困难群众迫切需要解决的问题，聚焦政府现行保障和救助政策还未覆盖到、政府和社会救助后还存在困难的弱势群体，聚焦因疫情、灾情影响陷入困境的群体。联合省慈善总会全年共设置23个慈善项目12481万元。所有项目实施，均做到科学立项、规范实施、监督到位、跟踪问效，实行任务、目标、时间、责任、效果“五位一体”。健全长效机制，创新完善多样化帮扶，为群众办实事办好事。如“帮特困、助急难慈善再救助行动”，采取主动发现机制，通过与政府救助相结合，各级民政、慈善密切协作，及时将符合条件的困难群众纳入救助范围。“省贫困家庭儿童大病救助”项目，十多年来持续为贫困家庭大病儿童提供帮扶，项目实施细则不断进行优化调整，救助流程进一步科学简化，项目救助与医保、大病保险政策有效衔接，让更多患儿享受到快捷、公平的救助。配合省慈善总会通过了省厅5A级社会组织评估。</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三、强化服务意识，在当好省厅代表队上全力协调配合。</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在河南抗洪救灾和疫情防控中，省捐助中心与省慈善总会，按照省民政厅要求，第一时间向社会发出捐赠倡议。在接受社会捐赠资金和物资中，做到服务“零距离”、工作“零差错”，出色地完成了厅党组赋予的抗洪救灾和疫情防控阶段性工作任务。协助省慈善总会与省厅共同开展“情暖江苏”春节慰问、“困难家庭儿童大病救助”、“幸福家园”村社互助工程、省级机关“慈善一日捐”、“幸福家园慈善书画展”等项目，全力筹备第三届江苏慈善论坛。积极参与省民政厅、省乡村振兴局、省慈善总会联合发起的“让善汇流、为家充电”向贫困家庭赠送爱心家电包活动，中心从捐赠款中列支180万元，为丰县、灌云、灌南三县3000户困难家庭赠送家电包。在工作对接和协调中，认真准备，责任到人，及时请示汇报，互相补台不拆台，得到省慈善总会领导的充分肯定。中心全年向厅报送信息8篇，其中撰写的《联合党支部深入推进“我为群众办实事”实践活动》一文，在《慈善公益报》登载和《人民网》转发。协调省慈善总会报上级相关表彰，被省委、省政府表彰为“全省脱贫攻坚暨对口帮扶支援合作先进集体”，被民政部表彰为“全国先进社会组织”荣誉称号。王春同志于2月至9月借调到厅慈善社工处帮助工作，出色地完成了工作任务，慈善社工处专门发来感谢函。李艳同志、黄月梅同志前年分别动了肺部手术，能够带病坚持工作，分别负责省慈善总会和捐助中心财务募捐工作以及工会事务，严格执行财务制度和“三重一大”规定，年度财务审计无差错。黄月梅同志还负责全省药品慈善援助项目，及时与中华慈善总会项目部和全省14个发药点协调联系，全年发药人数75163人次，药品价值8.28亿元，发放制度规范，没有出现一起投诉问题。</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四、牢记责任主体，在党风廉政建设面前守住底线。针对单位人员结构、领导层次、工作阅历等复杂因素，以问题为导向，加强党性教育和党纪监督，按照年初省厅关于“落实全面从严治党暨党风廉政建设”的要求，统一思想、履职尽责、严格执纪、守住底线。不断加强作风建设。组织全体人员认真学习《中国共产党廉洁自律准则》、《中国共产党党内监督条例》、《</w:t>
      </w:r>
      <w:r>
        <w:rPr>
          <w:rFonts w:hint="eastAsia" w:ascii="仿宋" w:hAnsi="仿宋" w:eastAsia="仿宋" w:cs="仿宋"/>
          <w:lang w:eastAsia="zh-CN"/>
        </w:rPr>
        <w:t>中国共产党党组工作条例</w:t>
      </w:r>
      <w:bookmarkStart w:id="0" w:name="_GoBack"/>
      <w:bookmarkEnd w:id="0"/>
      <w:r>
        <w:rPr>
          <w:rFonts w:ascii="仿宋" w:hAnsi="仿宋" w:eastAsia="仿宋" w:cs="仿宋"/>
        </w:rPr>
        <w:t>》。列出问题清单，以问题为导向，坚持抓早抓小抓实，紧紧抓住元旦、春节、中秋节等重要节点，从严要求，开展警示教育，特别是用全省民政系统发生的违纪违法典型案例，查找本单位违纪苗头，全年未发生一起违纪违规问题。加大廉政监控措施。全面排查单位的廉政风险点，认真落实“三重一大”事项集体决策原则，明确决策规则和程序。全年先后组织召开了半年工作总结、党史学习教育、意识形态工作等三次组织生活会。加强廉政风险排查，制定防控措施，强化权力制约和监督，人人压实责任。通过签订《廉洁风险防控点及防控措施》，主动建立和完善廉政风险预警处置、惩罚治理、问责追究等机制，构建拒腐防变的制度保障。处级干部如实汇报个人重大事项。确保单位安全稳定。坚持底线思维，列出问题清单，强化安全责任，定期组织安全教育、安全检查和安全演练，将安全隐患消灭在萌芽状态。</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2021年中心尽管做了大量工作，但与中心的工作职责、与厅党组工作要求相比，还有诸多不足，如政治理论学习不够系统、不够全面；工作协调方面考虑得不够周全；社会捐助主责主业开展起色不大等等，决心在新的一年里，正视差距，认真整改，发扬成绩，提升水平。</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2021年，江苏省申请救助家庭经济状况认定指导中心坚持以习近平新时代中国特色社会主义思想为指导，紧紧围绕建设高质量现代民政总目标，在厅党组的正确领导下，狠抓重点，找准难点，多措并举，积极稳妥推进全省社会救助家庭经济状况核对工作，取得积极成效。胡广杰副省长、民政部低收入家庭认定指导中心李卫东副主任先后调研核对中心，对中心工作给予充分肯定。</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一、2021年工作完成情况</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一）强化业务管理，稳步提升核对业务量。2021年，省级核对平台共完成113.23万户次、307.23万人次的核对工作，核对户次、人次同比分别增长153%、188%。在册低保对象及赡抚养人核对方面，连续第4年对全省在册低保对象及部分赡抚养人进行全量数据在线核对，共完成核对43.31万户次、101.38万人次，为低保动态管理提供数据支撑。常态化核对方面，按照“逢进必核、动态常核”的要求，为民政、教育、住建、医保、总工会、慈善等10个部门、16个救助类别提供核对服务，共核对42.39万户次、100.26万人次。低收入人口核对方面，为贯彻落实民政部及省委、省政府部署要求，在时间紧，任务重的情况下，中心提高政治站位，围绕低收入核对重点任务，全力调动资源，顺利完成27.53万户次、105.59万人次核对工作，有力保障了低收入人口集中认定。跨省核对方面，通过部中心，协调北京等地数据资源，查询我省的7397户7403人在外省家庭经济情况等有关数据信息；协助天津等14个省市，查询3830户4548人在我省的家庭经济情况。</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二）强化高位协调，做强省级核对数据资源。一是持续完善部门协作长效机制。以省政府修订完善《省社会救助联席会议2021年工作要点》为契机，进一步明确相关部门参与核对的任务和职责，为部门间数据共享交换提供制度保障。二是持续拓展联网核对部门。根据机构职能调整要求，与江苏省税务局重新签订《信息共享查询合作协议书》，开展数据对接共享工作。7月份，实现个人所得税、企业所得税、契税、车船税、个税专项扣除等5项数据共享交换。此次数据共享，优化个税、企业所得税共享项目，新增契约、车船税、个税专项扣除数据项，我省税务数据共享工作处于全国领先地位。持续推动与省教育厅数据交换共享工作，省教育厅已与我厅签订《信息共享查询合作协议书》，向我厅提供教育资助学生基本情况以及救助对象学籍情况等2项信息。三是持续优化现有数据接口。公安数据接口由原有的定期核对升级为实时核对，大大提升核对时效，数据项由原有的户籍信息、死亡注销信息、车辆信息等3项数据，调整为户籍信息、户籍注销信息、户籍迁入信息、户籍迁出信息、车辆信息等5项数据；省高院数据接口优化调整后，将法院判离信息纳入婚姻信息核对，婚姻信息准确性进一步提升。截至目前，省级核对系统已与部中心、11个省级部门、43家金融机构联网，获取金融、车辆、房产等核对数据项21个，数据完整性和质量稳步提升。</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三）强化核对信息化建设，着力提升核对系统功能。一是强力推进核对系统升级改造工作。5月份，核对系统研发基本完成后，在省级应用的基础上，迅速在徐州地区开展系统运用试点，对核对系统的业务流程、系统性能、安全监管、决策分析、数据交换等各项指标进行测试，有力地保证系统升级改造工作质量。二是完善省市系统联动核对机制。在原有省市核对系统对接的基础上，同步升级调整省市核对对接接口，优化数据推送、核对结果获取、数据监控、人员识别等各项功能，更好地保证省市数据交换的准确高效。目前，13个设区市均已完成省市核对系统接口改造工作。三是着力强化省级核对系统安全监管工作。推动全省核对工作人员数据库建设，通过建设与公安认证系统对接的人脸识别系统，为全省工作人员提供登陆认证、日志查询等安全管理服务；进一步优化全省核对授权书数据库建设，严格落实救助对象授权书管理，审查无授权书、核对对象与授权对象不一致、授权格式不规范等异常情况，完善授权书调阅、退回、替换等功能，提升依法核对管理水平。</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四）强化数据共享运用，有效提升核对服务质量。一是提升核对工作时效。针对基层核对需求不断加大的实际，将省级核对频次由每月两次，调整为每周一次。同时，调整核对反馈方式，由原来的所有项目核对完成后一次性反馈结果，调整为分项目反馈核对结果，即完成一项反馈一项，切实提升核对工作的灵活性和时效性，为基层审核审批留足时间。二是拓展核对服务范围。加强与省级社会救助部门的协同与信息共享，持续推进“省对省”数据核对服务。在为省总工会提供省级核对服务基础上，积极推动为教育厅的教育救助对象开放省级核对服务。近期，省税务局、省总工会分别发来感谢信，对数据共享对接以及核对服务工作表示感谢。积极推进长三角核对一体化工作，在数据治理、授权互认机制建设等方面取得明显成效，4月底民政部低收入中心在扬州市召开现场会，对我省经验做法进行交流推广。三是主动服务救助政策制定。配合救助管理部门，连续4年对在册低保对象及赡抚养人全量核对结果数据存疑率，以及银行存款、证券、不动产、车辆等专项核对结果数据进行分析，为修订完善《江苏省居民最低生活保障工作规程》，制定出台《江苏省低保边缘家庭和支出型困难家庭认定暂行办法》，提供有力的数据支撑。</w:t>
      </w:r>
    </w:p>
    <w:p>
      <w:pPr>
        <w:pStyle w:val="8"/>
        <w:spacing w:line="360" w:lineRule="auto"/>
        <w:ind w:left="440" w:leftChars="200" w:right="504" w:rightChars="229" w:firstLine="658"/>
        <w:jc w:val="both"/>
        <w:rPr>
          <w:rFonts w:ascii="仿宋" w:hAnsi="仿宋" w:eastAsia="仿宋" w:cs="仿宋"/>
          <w:lang w:val="en-US"/>
        </w:rPr>
      </w:pPr>
      <w:r>
        <w:rPr>
          <w:rFonts w:ascii="仿宋" w:hAnsi="仿宋" w:eastAsia="仿宋" w:cs="仿宋"/>
        </w:rPr>
        <w:t>核对工作虽然取得了一些成绩，但仍存在一些亟待解决的困难和问题。比如数据协调机制有待完善，管理制度机制有待健全核对整体效能有待提高，核对队伍建设有待加强等等。</w:t>
      </w:r>
    </w:p>
    <w:p>
      <w:pPr>
        <w:pStyle w:val="8"/>
        <w:spacing w:line="235" w:lineRule="auto"/>
        <w:ind w:left="669" w:leftChars="300" w:right="2414" w:hanging="9"/>
        <w:jc w:val="both"/>
        <w:rPr>
          <w:rFonts w:ascii="仿宋" w:hAnsi="仿宋" w:eastAsia="仿宋" w:cs="仿宋"/>
        </w:rPr>
        <w:sectPr>
          <w:footerReference r:id="rId10" w:type="default"/>
          <w:pgSz w:w="11906" w:h="16838"/>
          <w:pgMar w:top="1580" w:right="700" w:bottom="770" w:left="1020" w:header="283" w:footer="280" w:gutter="0"/>
          <w:pgNumType w:fmt="numberInDash"/>
          <w:cols w:space="720" w:num="1"/>
          <w:formProt w:val="0"/>
          <w:docGrid w:linePitch="100" w:charSpace="0"/>
        </w:sectPr>
      </w:pPr>
    </w:p>
    <w:p>
      <w:pPr>
        <w:pStyle w:val="8"/>
        <w:spacing w:line="360" w:lineRule="auto"/>
        <w:ind w:left="440" w:leftChars="200" w:right="504" w:rightChars="229" w:firstLine="658"/>
        <w:jc w:val="both"/>
        <w:rPr>
          <w:rFonts w:ascii="仿宋" w:hAnsi="仿宋" w:eastAsia="仿宋" w:cs="仿宋"/>
          <w:lang w:val="en-US"/>
        </w:rPr>
      </w:pPr>
    </w:p>
    <w:p>
      <w:pPr>
        <w:pStyle w:val="21"/>
        <w:tabs>
          <w:tab w:val="left" w:pos="1609"/>
        </w:tabs>
        <w:spacing w:before="12" w:line="300" w:lineRule="auto"/>
        <w:ind w:left="340" w:right="567" w:firstLine="0"/>
        <w:jc w:val="center"/>
        <w:rPr>
          <w:rFonts w:ascii="仿宋" w:hAnsi="仿宋" w:eastAsia="仿宋" w:cs="仿宋"/>
          <w:b/>
          <w:bCs/>
          <w:sz w:val="44"/>
          <w:szCs w:val="44"/>
        </w:rPr>
      </w:pPr>
    </w:p>
    <w:p>
      <w:pPr>
        <w:pStyle w:val="21"/>
        <w:tabs>
          <w:tab w:val="left" w:pos="1609"/>
        </w:tabs>
        <w:spacing w:before="12" w:line="300" w:lineRule="auto"/>
        <w:ind w:left="340" w:right="567" w:firstLine="0"/>
        <w:jc w:val="center"/>
        <w:rPr>
          <w:rFonts w:ascii="仿宋" w:hAnsi="仿宋" w:eastAsia="仿宋" w:cs="仿宋"/>
          <w:b/>
          <w:bCs/>
          <w:sz w:val="44"/>
          <w:szCs w:val="44"/>
        </w:rPr>
      </w:pPr>
    </w:p>
    <w:p>
      <w:pPr>
        <w:pStyle w:val="21"/>
        <w:tabs>
          <w:tab w:val="left" w:pos="1609"/>
        </w:tabs>
        <w:spacing w:before="12" w:line="300" w:lineRule="auto"/>
        <w:ind w:left="340" w:right="567" w:firstLine="0"/>
        <w:jc w:val="center"/>
        <w:rPr>
          <w:rFonts w:ascii="仿宋" w:hAnsi="仿宋" w:eastAsia="仿宋" w:cs="仿宋"/>
          <w:b/>
          <w:bCs/>
          <w:sz w:val="44"/>
          <w:szCs w:val="44"/>
        </w:rPr>
      </w:pPr>
    </w:p>
    <w:p>
      <w:pPr>
        <w:pStyle w:val="21"/>
        <w:tabs>
          <w:tab w:val="left" w:pos="1609"/>
        </w:tabs>
        <w:spacing w:before="12" w:line="300" w:lineRule="auto"/>
        <w:ind w:left="340" w:right="567" w:firstLine="0"/>
        <w:jc w:val="center"/>
        <w:rPr>
          <w:rFonts w:ascii="仿宋" w:hAnsi="仿宋" w:eastAsia="仿宋" w:cs="仿宋"/>
          <w:b/>
          <w:bCs/>
          <w:sz w:val="44"/>
          <w:szCs w:val="44"/>
        </w:rPr>
      </w:pPr>
    </w:p>
    <w:p>
      <w:pPr>
        <w:pStyle w:val="21"/>
        <w:tabs>
          <w:tab w:val="left" w:pos="1609"/>
        </w:tabs>
        <w:spacing w:before="12" w:line="300" w:lineRule="auto"/>
        <w:ind w:left="340" w:right="567" w:firstLine="0"/>
        <w:jc w:val="center"/>
        <w:rPr>
          <w:rFonts w:ascii="仿宋" w:hAnsi="仿宋" w:eastAsia="仿宋" w:cs="仿宋"/>
          <w:b/>
          <w:bCs/>
          <w:sz w:val="44"/>
          <w:szCs w:val="44"/>
        </w:rPr>
      </w:pPr>
    </w:p>
    <w:p>
      <w:pPr>
        <w:pStyle w:val="21"/>
        <w:tabs>
          <w:tab w:val="left" w:pos="1609"/>
        </w:tabs>
        <w:spacing w:before="12" w:line="300" w:lineRule="auto"/>
        <w:ind w:left="340" w:right="567" w:firstLine="0"/>
        <w:jc w:val="center"/>
        <w:rPr>
          <w:rFonts w:ascii="仿宋" w:hAnsi="仿宋" w:eastAsia="仿宋" w:cs="仿宋"/>
          <w:b/>
          <w:bCs/>
          <w:sz w:val="44"/>
          <w:szCs w:val="44"/>
        </w:rPr>
      </w:pPr>
    </w:p>
    <w:p>
      <w:pPr>
        <w:pStyle w:val="21"/>
        <w:tabs>
          <w:tab w:val="left" w:pos="1609"/>
        </w:tabs>
        <w:spacing w:before="12" w:line="300" w:lineRule="auto"/>
        <w:ind w:left="340" w:right="567" w:firstLine="0"/>
        <w:jc w:val="center"/>
        <w:outlineLvl w:val="0"/>
        <w:rPr>
          <w:rFonts w:ascii="宋体" w:hAnsi="宋体" w:eastAsia="宋体" w:cs="宋体"/>
          <w:b/>
          <w:bCs/>
          <w:sz w:val="36"/>
          <w:szCs w:val="36"/>
          <w:lang w:val="en-US"/>
        </w:rPr>
      </w:pPr>
      <w:r>
        <w:rPr>
          <w:rFonts w:hint="eastAsia" w:ascii="宋体" w:hAnsi="宋体" w:eastAsia="宋体" w:cs="宋体"/>
          <w:b/>
          <w:bCs/>
          <w:sz w:val="36"/>
          <w:szCs w:val="36"/>
        </w:rPr>
        <w:t>第二部分</w:t>
      </w:r>
    </w:p>
    <w:p>
      <w:pPr>
        <w:pStyle w:val="21"/>
        <w:tabs>
          <w:tab w:val="left" w:pos="1609"/>
        </w:tabs>
        <w:spacing w:before="12" w:line="300" w:lineRule="auto"/>
        <w:ind w:left="340" w:right="567" w:firstLine="0"/>
        <w:jc w:val="center"/>
        <w:rPr>
          <w:rFonts w:ascii="宋体" w:hAnsi="宋体" w:eastAsia="宋体" w:cs="宋体"/>
          <w:b/>
          <w:bCs/>
          <w:sz w:val="36"/>
          <w:szCs w:val="36"/>
        </w:rPr>
      </w:pPr>
      <w:r>
        <w:rPr>
          <w:rFonts w:hint="eastAsia" w:ascii="宋体" w:hAnsi="宋体" w:eastAsia="宋体" w:cs="宋体"/>
          <w:b/>
          <w:bCs/>
          <w:sz w:val="36"/>
          <w:szCs w:val="36"/>
        </w:rPr>
        <w:t>江苏省社会捐助服务中心</w:t>
      </w:r>
    </w:p>
    <w:p>
      <w:pPr>
        <w:pStyle w:val="21"/>
        <w:tabs>
          <w:tab w:val="left" w:pos="1609"/>
        </w:tabs>
        <w:spacing w:before="12" w:line="300" w:lineRule="auto"/>
        <w:ind w:left="340" w:right="567" w:firstLine="0"/>
        <w:jc w:val="center"/>
        <w:outlineLvl w:val="1"/>
        <w:rPr>
          <w:rFonts w:ascii="宋体" w:hAnsi="宋体" w:eastAsia="宋体" w:cs="宋体"/>
          <w:b/>
          <w:bCs/>
          <w:sz w:val="36"/>
          <w:szCs w:val="36"/>
        </w:rPr>
      </w:pPr>
      <w:r>
        <w:rPr>
          <w:rFonts w:hint="eastAsia" w:ascii="宋体" w:hAnsi="宋体" w:eastAsia="宋体" w:cs="宋体"/>
          <w:b/>
          <w:bCs/>
          <w:sz w:val="36"/>
          <w:szCs w:val="36"/>
        </w:rPr>
        <w:t>2021年度</w:t>
      </w:r>
      <w:r>
        <w:rPr>
          <w:rFonts w:hint="eastAsia" w:ascii="宋体" w:hAnsi="宋体" w:eastAsia="宋体" w:cs="宋体"/>
          <w:b/>
          <w:bCs/>
          <w:sz w:val="36"/>
          <w:szCs w:val="36"/>
          <w:lang w:val="en-US"/>
        </w:rPr>
        <w:t>单位</w:t>
      </w:r>
      <w:r>
        <w:rPr>
          <w:rFonts w:ascii="宋体" w:hAnsi="宋体" w:eastAsia="宋体" w:cs="宋体"/>
          <w:b/>
          <w:sz w:val="36"/>
        </w:rPr>
        <w:t>决算表</w:t>
      </w:r>
    </w:p>
    <w:tbl>
      <w:tblPr>
        <w:tblStyle w:val="13"/>
        <w:tblW w:w="10447" w:type="dxa"/>
        <w:jc w:val="center"/>
        <w:tblInd w:w="0" w:type="dxa"/>
        <w:tblLayout w:type="fixed"/>
        <w:tblCellMar>
          <w:top w:w="0" w:type="dxa"/>
          <w:left w:w="108" w:type="dxa"/>
          <w:bottom w:w="0" w:type="dxa"/>
          <w:right w:w="108" w:type="dxa"/>
        </w:tblCellMar>
      </w:tblPr>
      <w:tblGrid>
        <w:gridCol w:w="3784"/>
        <w:gridCol w:w="1461"/>
        <w:gridCol w:w="2035"/>
        <w:gridCol w:w="1709"/>
        <w:gridCol w:w="1458"/>
      </w:tblGrid>
      <w:tr>
        <w:tblPrEx>
          <w:tblLayout w:type="fixed"/>
          <w:tblCellMar>
            <w:top w:w="0" w:type="dxa"/>
            <w:left w:w="108" w:type="dxa"/>
            <w:bottom w:w="0" w:type="dxa"/>
            <w:right w:w="108" w:type="dxa"/>
          </w:tblCellMar>
        </w:tblPrEx>
        <w:trPr>
          <w:trHeight w:val="544" w:hRule="atLeast"/>
          <w:jc w:val="center"/>
        </w:trPr>
        <w:tc>
          <w:tcPr>
            <w:tcW w:w="10447" w:type="dxa"/>
            <w:gridSpan w:val="5"/>
          </w:tcPr>
          <w:p>
            <w:pPr>
              <w:pageBreakBefore/>
              <w:jc w:val="center"/>
              <w:rPr>
                <w:rFonts w:ascii="仿宋" w:hAnsi="仿宋" w:eastAsia="仿宋" w:cs="仿宋"/>
                <w:b/>
                <w:bCs/>
                <w:color w:val="000000"/>
              </w:rPr>
            </w:pPr>
            <w:r>
              <w:rPr>
                <w:rFonts w:hint="eastAsia" w:ascii="宋体" w:hAnsi="宋体" w:eastAsia="宋体" w:cs="宋体"/>
                <w:b/>
                <w:bCs/>
                <w:color w:val="000000"/>
                <w:sz w:val="36"/>
                <w:szCs w:val="36"/>
                <w:lang w:eastAsia="ar-SA"/>
              </w:rPr>
              <w:t>收入支出决算总表</w:t>
            </w:r>
          </w:p>
        </w:tc>
      </w:tr>
      <w:tr>
        <w:tblPrEx>
          <w:tblLayout w:type="fixed"/>
          <w:tblCellMar>
            <w:top w:w="0" w:type="dxa"/>
            <w:left w:w="108" w:type="dxa"/>
            <w:bottom w:w="0" w:type="dxa"/>
            <w:right w:w="108" w:type="dxa"/>
          </w:tblCellMar>
        </w:tblPrEx>
        <w:trPr>
          <w:trHeight w:val="348" w:hRule="atLeast"/>
          <w:jc w:val="center"/>
        </w:trPr>
        <w:tc>
          <w:tcPr>
            <w:tcW w:w="3784" w:type="dxa"/>
          </w:tcPr>
          <w:p>
            <w:pPr>
              <w:rPr>
                <w:rFonts w:ascii="仿宋" w:hAnsi="仿宋" w:eastAsia="仿宋" w:cs="仿宋"/>
                <w:color w:val="000000"/>
                <w:sz w:val="20"/>
              </w:rPr>
            </w:pPr>
          </w:p>
        </w:tc>
        <w:tc>
          <w:tcPr>
            <w:tcW w:w="1461" w:type="dxa"/>
          </w:tcPr>
          <w:p>
            <w:pPr>
              <w:rPr>
                <w:rFonts w:ascii="仿宋" w:hAnsi="仿宋" w:eastAsia="仿宋" w:cs="仿宋"/>
                <w:color w:val="000000"/>
                <w:sz w:val="20"/>
              </w:rPr>
            </w:pPr>
          </w:p>
        </w:tc>
        <w:tc>
          <w:tcPr>
            <w:tcW w:w="5202" w:type="dxa"/>
            <w:gridSpan w:val="3"/>
          </w:tcPr>
          <w:p>
            <w:pPr>
              <w:jc w:val="right"/>
              <w:rPr>
                <w:rFonts w:ascii="仿宋" w:hAnsi="仿宋" w:eastAsia="仿宋" w:cs="仿宋"/>
                <w:color w:val="000000"/>
              </w:rPr>
            </w:pPr>
            <w:r>
              <w:rPr>
                <w:rFonts w:hint="eastAsia" w:ascii="仿宋" w:hAnsi="仿宋" w:eastAsia="仿宋" w:cs="仿宋"/>
                <w:color w:val="000000"/>
                <w:lang w:eastAsia="ar-SA"/>
              </w:rPr>
              <w:t>公开01表</w:t>
            </w:r>
          </w:p>
        </w:tc>
      </w:tr>
      <w:tr>
        <w:tblPrEx>
          <w:tblLayout w:type="fixed"/>
          <w:tblCellMar>
            <w:top w:w="0" w:type="dxa"/>
            <w:left w:w="108" w:type="dxa"/>
            <w:bottom w:w="0" w:type="dxa"/>
            <w:right w:w="108" w:type="dxa"/>
          </w:tblCellMar>
        </w:tblPrEx>
        <w:trPr>
          <w:trHeight w:val="333" w:hRule="atLeast"/>
          <w:jc w:val="center"/>
        </w:trPr>
        <w:tc>
          <w:tcPr>
            <w:tcW w:w="7280" w:type="dxa"/>
            <w:gridSpan w:val="3"/>
            <w:tcBorders>
              <w:bottom w:val="single" w:color="000000" w:sz="4" w:space="0"/>
            </w:tcBorders>
            <w:vAlign w:val="center"/>
          </w:tcPr>
          <w:p>
            <w:pPr>
              <w:rPr>
                <w:rFonts w:ascii="仿宋" w:hAnsi="仿宋" w:eastAsia="仿宋" w:cs="仿宋"/>
                <w:color w:val="000000"/>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color w:val="000000"/>
                <w:lang w:eastAsia="ar-SA"/>
              </w:rPr>
              <w:t>江苏省社会捐助服务中心</w:t>
            </w:r>
          </w:p>
        </w:tc>
        <w:tc>
          <w:tcPr>
            <w:tcW w:w="3167" w:type="dxa"/>
            <w:gridSpan w:val="2"/>
            <w:tcBorders>
              <w:bottom w:val="single" w:color="000000" w:sz="4" w:space="0"/>
            </w:tcBorders>
            <w:vAlign w:val="center"/>
          </w:tcPr>
          <w:p>
            <w:pPr>
              <w:jc w:val="right"/>
              <w:rPr>
                <w:rFonts w:ascii="仿宋" w:hAnsi="仿宋" w:eastAsia="仿宋" w:cs="仿宋"/>
                <w:color w:val="000000"/>
              </w:rPr>
            </w:pPr>
            <w:r>
              <w:rPr>
                <w:rFonts w:hint="eastAsia" w:ascii="仿宋" w:hAnsi="仿宋" w:eastAsia="仿宋" w:cs="仿宋"/>
                <w:color w:val="000000"/>
              </w:rPr>
              <w:t>金额单位：万元</w:t>
            </w:r>
          </w:p>
        </w:tc>
      </w:tr>
      <w:tr>
        <w:tblPrEx>
          <w:tblLayout w:type="fixed"/>
          <w:tblCellMar>
            <w:top w:w="0" w:type="dxa"/>
            <w:left w:w="108" w:type="dxa"/>
            <w:bottom w:w="0" w:type="dxa"/>
            <w:right w:w="108" w:type="dxa"/>
          </w:tblCellMar>
        </w:tblPrEx>
        <w:trPr>
          <w:trHeight w:val="450" w:hRule="atLeast"/>
          <w:jc w:val="center"/>
        </w:trPr>
        <w:tc>
          <w:tcPr>
            <w:tcW w:w="5245"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hint="eastAsia" w:ascii="仿宋" w:hAnsi="仿宋" w:eastAsia="仿宋" w:cs="仿宋"/>
                <w:color w:val="000000"/>
                <w:lang w:eastAsia="ar-SA"/>
              </w:rPr>
              <w:t>收入</w:t>
            </w:r>
          </w:p>
        </w:tc>
        <w:tc>
          <w:tcPr>
            <w:tcW w:w="5202"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hint="eastAsia" w:ascii="仿宋" w:hAnsi="仿宋" w:eastAsia="仿宋" w:cs="仿宋"/>
                <w:color w:val="000000"/>
                <w:lang w:eastAsia="ar-SA"/>
              </w:rPr>
              <w:t>支出</w:t>
            </w:r>
          </w:p>
        </w:tc>
      </w:tr>
      <w:tr>
        <w:tblPrEx>
          <w:tblLayout w:type="fixed"/>
          <w:tblCellMar>
            <w:top w:w="0" w:type="dxa"/>
            <w:left w:w="108" w:type="dxa"/>
            <w:bottom w:w="0" w:type="dxa"/>
            <w:right w:w="108" w:type="dxa"/>
          </w:tblCellMar>
        </w:tblPrEx>
        <w:trPr>
          <w:trHeight w:val="39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ascii="仿宋" w:hAnsi="仿宋" w:eastAsia="仿宋" w:cs="仿宋"/>
                <w:color w:val="000000"/>
              </w:rPr>
              <w:t>项目</w:t>
            </w:r>
          </w:p>
        </w:tc>
        <w:tc>
          <w:tcPr>
            <w:tcW w:w="1461"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hint="eastAsia" w:ascii="仿宋" w:hAnsi="仿宋" w:eastAsia="仿宋" w:cs="仿宋"/>
                <w:color w:val="000000"/>
                <w:lang w:eastAsia="ar-SA"/>
              </w:rPr>
              <w:t>决算数</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hint="eastAsia" w:ascii="仿宋" w:hAnsi="仿宋" w:eastAsia="仿宋" w:cs="仿宋"/>
                <w:color w:val="000000"/>
                <w:lang w:eastAsia="ar-SA"/>
              </w:rPr>
              <w:t>按功能分类</w:t>
            </w:r>
          </w:p>
        </w:tc>
        <w:tc>
          <w:tcPr>
            <w:tcW w:w="145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hint="eastAsia" w:ascii="仿宋" w:hAnsi="仿宋" w:eastAsia="仿宋" w:cs="仿宋"/>
                <w:color w:val="000000"/>
                <w:lang w:eastAsia="ar-SA"/>
              </w:rPr>
              <w:t>决算数</w:t>
            </w: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r>
              <w:rPr>
                <w:rFonts w:hint="eastAsia" w:ascii="仿宋" w:hAnsi="仿宋" w:eastAsia="仿宋" w:cs="仿宋"/>
                <w:sz w:val="20"/>
                <w:lang w:eastAsia="ar-SA"/>
              </w:rPr>
              <w:t>一、一般公共预算财政拨款收入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r>
              <w:rPr>
                <w:rFonts w:hint="eastAsia" w:ascii="仿宋" w:hAnsi="仿宋" w:eastAsia="仿宋" w:cs="仿宋"/>
                <w:color w:val="000000"/>
                <w:lang w:eastAsia="ar-SA"/>
              </w:rPr>
              <w:t>260.85</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一、一般公共服务支出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r>
              <w:rPr>
                <w:rFonts w:hint="eastAsia" w:ascii="仿宋" w:hAnsi="仿宋" w:eastAsia="仿宋" w:cs="仿宋"/>
                <w:sz w:val="20"/>
                <w:lang w:eastAsia="ar-SA"/>
              </w:rPr>
              <w:t>二、政府性基金预算财政拨款收入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二、外交支出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r>
              <w:rPr>
                <w:rFonts w:hint="eastAsia" w:ascii="仿宋" w:hAnsi="仿宋" w:eastAsia="仿宋" w:cs="仿宋"/>
                <w:sz w:val="20"/>
                <w:lang w:eastAsia="ar-SA"/>
              </w:rPr>
              <w:t>三、国有资本经营预算财政拨款收入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三、国防支出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r>
              <w:rPr>
                <w:rFonts w:hint="eastAsia" w:ascii="仿宋" w:hAnsi="仿宋" w:eastAsia="仿宋" w:cs="仿宋"/>
                <w:sz w:val="20"/>
                <w:lang w:eastAsia="ar-SA"/>
              </w:rPr>
              <w:t>四、上级补助收入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四、公共安全支出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r>
              <w:rPr>
                <w:rFonts w:hint="eastAsia" w:ascii="仿宋" w:hAnsi="仿宋" w:eastAsia="仿宋" w:cs="仿宋"/>
                <w:sz w:val="20"/>
                <w:lang w:eastAsia="ar-SA"/>
              </w:rPr>
              <w:t>五、事业收入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五、教育支出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r>
              <w:rPr>
                <w:rFonts w:hint="eastAsia" w:ascii="仿宋" w:hAnsi="仿宋" w:eastAsia="仿宋" w:cs="仿宋"/>
                <w:sz w:val="20"/>
                <w:lang w:eastAsia="ar-SA"/>
              </w:rPr>
              <w:t>六、经营收入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六、科学技术支出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r>
              <w:rPr>
                <w:rFonts w:hint="eastAsia" w:ascii="仿宋" w:hAnsi="仿宋" w:eastAsia="仿宋" w:cs="仿宋"/>
                <w:sz w:val="20"/>
                <w:lang w:eastAsia="ar-SA"/>
              </w:rPr>
              <w:t>七、附属单位上缴收入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七、文化旅游体育与传媒支出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r>
              <w:rPr>
                <w:rFonts w:hint="eastAsia" w:ascii="仿宋" w:hAnsi="仿宋" w:eastAsia="仿宋" w:cs="仿宋"/>
                <w:sz w:val="20"/>
                <w:lang w:eastAsia="ar-SA"/>
              </w:rPr>
              <w:t>八、其他收入</w:t>
            </w: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r>
              <w:rPr>
                <w:rFonts w:hint="eastAsia" w:ascii="仿宋" w:hAnsi="仿宋" w:eastAsia="仿宋" w:cs="仿宋"/>
                <w:color w:val="000000"/>
                <w:lang w:eastAsia="ar-SA"/>
              </w:rPr>
              <w:t>0.04</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八、社会保障和就业支出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r>
              <w:rPr>
                <w:rFonts w:hint="eastAsia" w:ascii="仿宋" w:hAnsi="仿宋" w:eastAsia="仿宋" w:cs="仿宋"/>
                <w:color w:val="000000"/>
                <w:lang w:eastAsia="ar-SA"/>
              </w:rPr>
              <w:t>377.52</w:t>
            </w: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九、卫生健康支出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十、节能环保支出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十一、城乡社区支出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十二、农林水支出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十三、交通运输支出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十四、资源勘探工业信息等支出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十五、商业服务业等支出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十六、金融支出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十七、援助其他地区支出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十八、自然资源海洋气象等支出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十九、住房保障支出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r>
              <w:rPr>
                <w:rFonts w:hint="eastAsia" w:ascii="仿宋" w:hAnsi="仿宋" w:eastAsia="仿宋" w:cs="仿宋"/>
                <w:color w:val="000000"/>
                <w:lang w:eastAsia="ar-SA"/>
              </w:rPr>
              <w:t>62.97</w:t>
            </w: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二十、粮油物资储备支出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二十一、国有资本经营预算支出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二十二、灾害防治及应急管理支出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二十三、其他支出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二十四、债务还本支出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二十五、债务付息支出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345"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461"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keepNext/>
              <w:keepLines/>
              <w:rPr>
                <w:rFonts w:ascii="仿宋" w:hAnsi="仿宋" w:eastAsia="仿宋" w:cs="仿宋"/>
                <w:color w:val="000000"/>
              </w:rPr>
            </w:pPr>
            <w:r>
              <w:rPr>
                <w:rFonts w:hint="eastAsia" w:ascii="仿宋" w:hAnsi="仿宋" w:eastAsia="仿宋" w:cs="仿宋"/>
                <w:color w:val="000000"/>
                <w:lang w:eastAsia="ar-SA"/>
              </w:rPr>
              <w:t>二十六、抗疫特别国债安排的支出</w:t>
            </w:r>
          </w:p>
        </w:tc>
        <w:tc>
          <w:tcPr>
            <w:tcW w:w="1458" w:type="dxa"/>
            <w:tcBorders>
              <w:top w:val="single" w:color="000000" w:sz="4" w:space="0"/>
              <w:left w:val="single" w:color="000000" w:sz="4" w:space="0"/>
              <w:bottom w:val="single" w:color="000000" w:sz="4" w:space="0"/>
              <w:right w:val="single" w:color="000000" w:sz="4" w:space="0"/>
            </w:tcBorders>
            <w:vAlign w:val="center"/>
          </w:tcPr>
          <w:p>
            <w:pPr>
              <w:keepNext/>
              <w:keepLines/>
              <w:jc w:val="right"/>
              <w:rPr>
                <w:rFonts w:ascii="仿宋" w:hAnsi="仿宋" w:eastAsia="仿宋" w:cs="仿宋"/>
                <w:color w:val="000000"/>
                <w:lang w:eastAsia="ar-SA"/>
              </w:rPr>
            </w:pPr>
          </w:p>
        </w:tc>
      </w:tr>
      <w:tr>
        <w:tblPrEx>
          <w:tblLayout w:type="fixed"/>
          <w:tblCellMar>
            <w:top w:w="0" w:type="dxa"/>
            <w:left w:w="108" w:type="dxa"/>
            <w:bottom w:w="0" w:type="dxa"/>
            <w:right w:w="108" w:type="dxa"/>
          </w:tblCellMar>
        </w:tblPrEx>
        <w:trPr>
          <w:trHeight w:val="454" w:hRule="exac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hint="eastAsia" w:ascii="仿宋" w:hAnsi="仿宋" w:eastAsia="仿宋" w:cs="仿宋"/>
                <w:b/>
                <w:bCs/>
                <w:color w:val="000000"/>
                <w:lang w:eastAsia="ar-SA"/>
              </w:rPr>
              <w:t>本年收入合计</w:t>
            </w:r>
          </w:p>
        </w:tc>
        <w:tc>
          <w:tcPr>
            <w:tcW w:w="1461"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color w:val="000000"/>
              </w:rPr>
            </w:pPr>
            <w:r>
              <w:rPr>
                <w:rFonts w:hint="eastAsia" w:ascii="仿宋" w:hAnsi="仿宋" w:eastAsia="仿宋" w:cs="仿宋"/>
                <w:color w:val="000000"/>
                <w:lang w:eastAsia="ar-SA"/>
              </w:rPr>
              <w:t>260.89</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b/>
                <w:bCs/>
                <w:color w:val="000000"/>
              </w:rPr>
            </w:pPr>
            <w:r>
              <w:rPr>
                <w:rFonts w:hint="eastAsia" w:ascii="仿宋" w:hAnsi="仿宋" w:eastAsia="仿宋" w:cs="仿宋"/>
                <w:b/>
                <w:bCs/>
                <w:color w:val="000000"/>
                <w:lang w:eastAsia="ar-SA"/>
              </w:rPr>
              <w:t>本年支出合计</w:t>
            </w:r>
          </w:p>
        </w:tc>
        <w:tc>
          <w:tcPr>
            <w:tcW w:w="1458"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color w:val="000000"/>
              </w:rPr>
            </w:pPr>
            <w:r>
              <w:rPr>
                <w:rFonts w:hint="eastAsia" w:ascii="仿宋" w:hAnsi="仿宋" w:eastAsia="仿宋" w:cs="仿宋"/>
                <w:color w:val="000000"/>
                <w:lang w:eastAsia="ar-SA"/>
              </w:rPr>
              <w:t>440.49</w:t>
            </w:r>
          </w:p>
        </w:tc>
      </w:tr>
      <w:tr>
        <w:tblPrEx>
          <w:tblLayout w:type="fixed"/>
          <w:tblCellMar>
            <w:top w:w="0" w:type="dxa"/>
            <w:left w:w="108" w:type="dxa"/>
            <w:bottom w:w="0" w:type="dxa"/>
            <w:right w:w="108" w:type="dxa"/>
          </w:tblCellMar>
        </w:tblPrEx>
        <w:trPr>
          <w:trHeight w:val="413"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ind w:firstLine="220" w:firstLineChars="100"/>
              <w:rPr>
                <w:rFonts w:ascii="仿宋" w:hAnsi="仿宋" w:eastAsia="仿宋" w:cs="仿宋"/>
                <w:color w:val="000000"/>
              </w:rPr>
            </w:pPr>
            <w:r>
              <w:rPr>
                <w:rFonts w:hint="eastAsia" w:ascii="仿宋" w:hAnsi="仿宋" w:eastAsia="仿宋" w:cs="仿宋"/>
                <w:color w:val="000000"/>
                <w:lang w:eastAsia="ar-SA"/>
              </w:rPr>
              <w:t>使用非财政拨款结余</w:t>
            </w:r>
          </w:p>
        </w:tc>
        <w:tc>
          <w:tcPr>
            <w:tcW w:w="1461"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color w:val="000000"/>
                <w:lang w:eastAsia="ar-SA"/>
              </w:rPr>
            </w:pP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ind w:firstLine="220" w:firstLineChars="100"/>
              <w:rPr>
                <w:rFonts w:ascii="仿宋" w:hAnsi="仿宋" w:eastAsia="仿宋" w:cs="仿宋"/>
                <w:color w:val="000000"/>
              </w:rPr>
            </w:pPr>
            <w:r>
              <w:rPr>
                <w:rFonts w:hint="eastAsia" w:ascii="仿宋" w:hAnsi="仿宋" w:eastAsia="仿宋" w:cs="仿宋"/>
                <w:color w:val="000000"/>
                <w:lang w:eastAsia="ar-SA"/>
              </w:rPr>
              <w:t>结余分配</w:t>
            </w:r>
          </w:p>
        </w:tc>
        <w:tc>
          <w:tcPr>
            <w:tcW w:w="1458"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color w:val="000000"/>
              </w:rPr>
            </w:pPr>
          </w:p>
        </w:tc>
      </w:tr>
      <w:tr>
        <w:tblPrEx>
          <w:tblLayout w:type="fixed"/>
          <w:tblCellMar>
            <w:top w:w="0" w:type="dxa"/>
            <w:left w:w="108" w:type="dxa"/>
            <w:bottom w:w="0" w:type="dxa"/>
            <w:right w:w="108" w:type="dxa"/>
          </w:tblCellMar>
        </w:tblPrEx>
        <w:trPr>
          <w:trHeight w:val="413" w:hRule="atLeas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ind w:firstLine="220" w:firstLineChars="100"/>
              <w:rPr>
                <w:rFonts w:ascii="仿宋" w:hAnsi="仿宋" w:eastAsia="仿宋" w:cs="仿宋"/>
                <w:color w:val="000000"/>
              </w:rPr>
            </w:pPr>
            <w:r>
              <w:rPr>
                <w:rFonts w:hint="eastAsia" w:ascii="仿宋" w:hAnsi="仿宋" w:eastAsia="仿宋" w:cs="仿宋"/>
                <w:color w:val="000000"/>
                <w:lang w:eastAsia="ar-SA"/>
              </w:rPr>
              <w:t>年初结转和结余</w:t>
            </w:r>
          </w:p>
        </w:tc>
        <w:tc>
          <w:tcPr>
            <w:tcW w:w="1461"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color w:val="000000"/>
                <w:lang w:eastAsia="ar-SA"/>
              </w:rPr>
            </w:pPr>
            <w:r>
              <w:rPr>
                <w:rFonts w:hint="eastAsia" w:ascii="仿宋" w:hAnsi="仿宋" w:eastAsia="仿宋" w:cs="仿宋"/>
                <w:color w:val="000000"/>
                <w:lang w:eastAsia="ar-SA"/>
              </w:rPr>
              <w:t>1,332.26</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ind w:firstLine="220" w:firstLineChars="100"/>
              <w:rPr>
                <w:rFonts w:ascii="仿宋" w:hAnsi="仿宋" w:eastAsia="仿宋" w:cs="仿宋"/>
                <w:color w:val="000000"/>
              </w:rPr>
            </w:pPr>
            <w:r>
              <w:rPr>
                <w:rFonts w:hint="eastAsia" w:ascii="仿宋" w:hAnsi="仿宋" w:eastAsia="仿宋" w:cs="仿宋"/>
                <w:color w:val="000000"/>
                <w:lang w:eastAsia="ar-SA"/>
              </w:rPr>
              <w:t>年末结转和结余</w:t>
            </w:r>
          </w:p>
        </w:tc>
        <w:tc>
          <w:tcPr>
            <w:tcW w:w="1458"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color w:val="000000"/>
              </w:rPr>
            </w:pPr>
            <w:r>
              <w:rPr>
                <w:rFonts w:hint="eastAsia" w:ascii="仿宋" w:hAnsi="仿宋" w:eastAsia="仿宋" w:cs="仿宋"/>
                <w:color w:val="000000"/>
                <w:lang w:eastAsia="ar-SA"/>
              </w:rPr>
              <w:t>1,152.66</w:t>
            </w:r>
          </w:p>
        </w:tc>
      </w:tr>
      <w:tr>
        <w:tblPrEx>
          <w:tblLayout w:type="fixed"/>
          <w:tblCellMar>
            <w:top w:w="0" w:type="dxa"/>
            <w:left w:w="108" w:type="dxa"/>
            <w:bottom w:w="0" w:type="dxa"/>
            <w:right w:w="108" w:type="dxa"/>
          </w:tblCellMar>
        </w:tblPrEx>
        <w:trPr>
          <w:trHeight w:val="383" w:hRule="atLeast"/>
          <w:jc w:val="center"/>
        </w:trPr>
        <w:tc>
          <w:tcPr>
            <w:tcW w:w="3784" w:type="dxa"/>
            <w:tcBorders>
              <w:top w:val="single" w:color="000000" w:sz="4" w:space="0"/>
              <w:left w:val="single" w:color="000000" w:sz="4" w:space="0"/>
              <w:bottom w:val="single" w:color="000000" w:sz="4" w:space="0"/>
              <w:right w:val="single" w:color="000000" w:sz="4" w:space="0"/>
            </w:tcBorders>
          </w:tcPr>
          <w:p>
            <w:pPr>
              <w:rPr>
                <w:rFonts w:ascii="仿宋" w:hAnsi="仿宋" w:eastAsia="仿宋" w:cs="仿宋"/>
                <w:color w:val="000000"/>
              </w:rPr>
            </w:pPr>
          </w:p>
        </w:tc>
        <w:tc>
          <w:tcPr>
            <w:tcW w:w="1461" w:type="dxa"/>
            <w:tcBorders>
              <w:top w:val="single" w:color="000000" w:sz="4" w:space="0"/>
              <w:left w:val="single" w:color="000000" w:sz="4" w:space="0"/>
              <w:bottom w:val="single" w:color="000000" w:sz="4" w:space="0"/>
              <w:right w:val="single" w:color="000000" w:sz="4" w:space="0"/>
            </w:tcBorders>
          </w:tcPr>
          <w:p>
            <w:pPr>
              <w:rPr>
                <w:rFonts w:ascii="仿宋" w:hAnsi="仿宋" w:eastAsia="仿宋" w:cs="仿宋"/>
                <w:color w:val="000000"/>
              </w:rPr>
            </w:pPr>
          </w:p>
        </w:tc>
        <w:tc>
          <w:tcPr>
            <w:tcW w:w="3744" w:type="dxa"/>
            <w:gridSpan w:val="2"/>
            <w:tcBorders>
              <w:top w:val="single" w:color="000000" w:sz="4" w:space="0"/>
              <w:left w:val="single" w:color="000000" w:sz="4" w:space="0"/>
              <w:bottom w:val="single" w:color="000000" w:sz="4" w:space="0"/>
              <w:right w:val="single" w:color="000000" w:sz="4" w:space="0"/>
            </w:tcBorders>
          </w:tcPr>
          <w:p>
            <w:pPr>
              <w:rPr>
                <w:rFonts w:ascii="仿宋" w:hAnsi="仿宋" w:eastAsia="仿宋" w:cs="仿宋"/>
                <w:color w:val="000000"/>
              </w:rPr>
            </w:pPr>
          </w:p>
        </w:tc>
        <w:tc>
          <w:tcPr>
            <w:tcW w:w="1458" w:type="dxa"/>
            <w:tcBorders>
              <w:top w:val="single" w:color="000000" w:sz="4" w:space="0"/>
              <w:left w:val="single" w:color="000000" w:sz="4" w:space="0"/>
              <w:bottom w:val="single" w:color="000000" w:sz="4" w:space="0"/>
              <w:right w:val="single" w:color="000000" w:sz="4" w:space="0"/>
            </w:tcBorders>
          </w:tcPr>
          <w:p>
            <w:pPr>
              <w:rPr>
                <w:rFonts w:ascii="仿宋" w:hAnsi="仿宋" w:eastAsia="仿宋" w:cs="仿宋"/>
                <w:color w:val="000000"/>
              </w:rPr>
            </w:pPr>
          </w:p>
        </w:tc>
      </w:tr>
      <w:tr>
        <w:tblPrEx>
          <w:tblLayout w:type="fixed"/>
          <w:tblCellMar>
            <w:top w:w="0" w:type="dxa"/>
            <w:left w:w="108" w:type="dxa"/>
            <w:bottom w:w="0" w:type="dxa"/>
            <w:right w:w="108" w:type="dxa"/>
          </w:tblCellMar>
        </w:tblPrEx>
        <w:trPr>
          <w:cantSplit/>
          <w:trHeight w:val="454" w:hRule="exact"/>
          <w:jc w:val="center"/>
        </w:trPr>
        <w:tc>
          <w:tcPr>
            <w:tcW w:w="3784"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hint="eastAsia" w:ascii="仿宋" w:hAnsi="仿宋" w:eastAsia="仿宋" w:cs="仿宋"/>
                <w:b/>
                <w:color w:val="000000"/>
                <w:lang w:eastAsia="ar-SA"/>
              </w:rPr>
              <w:t>总计</w:t>
            </w:r>
          </w:p>
        </w:tc>
        <w:tc>
          <w:tcPr>
            <w:tcW w:w="1461"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color w:val="000000"/>
              </w:rPr>
            </w:pPr>
            <w:r>
              <w:rPr>
                <w:rFonts w:hint="eastAsia" w:ascii="仿宋" w:hAnsi="仿宋" w:eastAsia="仿宋" w:cs="仿宋"/>
                <w:color w:val="000000"/>
                <w:lang w:eastAsia="ar-SA"/>
              </w:rPr>
              <w:t>1,593.14</w:t>
            </w:r>
          </w:p>
        </w:tc>
        <w:tc>
          <w:tcPr>
            <w:tcW w:w="374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rPr>
            </w:pPr>
            <w:r>
              <w:rPr>
                <w:rFonts w:hint="eastAsia" w:ascii="仿宋" w:hAnsi="仿宋" w:eastAsia="仿宋" w:cs="仿宋"/>
                <w:b/>
                <w:color w:val="000000"/>
                <w:lang w:eastAsia="ar-SA"/>
              </w:rPr>
              <w:t>总计</w:t>
            </w:r>
          </w:p>
        </w:tc>
        <w:tc>
          <w:tcPr>
            <w:tcW w:w="1458"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color w:val="000000"/>
              </w:rPr>
            </w:pPr>
            <w:r>
              <w:rPr>
                <w:rFonts w:hint="eastAsia" w:ascii="仿宋" w:hAnsi="仿宋" w:eastAsia="仿宋" w:cs="仿宋"/>
                <w:color w:val="000000"/>
                <w:lang w:eastAsia="ar-SA"/>
              </w:rPr>
              <w:t>1,593.14</w:t>
            </w:r>
          </w:p>
        </w:tc>
      </w:tr>
    </w:tbl>
    <w:p>
      <w:pPr>
        <w:spacing w:before="66"/>
        <w:jc w:val="both"/>
        <w:rPr>
          <w:rFonts w:ascii="仿宋" w:hAnsi="仿宋" w:eastAsia="仿宋" w:cs="仿宋"/>
          <w:color w:val="000000"/>
          <w:lang w:val="en-US"/>
        </w:rPr>
      </w:pPr>
      <w:r>
        <w:rPr>
          <w:rFonts w:hint="eastAsia" w:ascii="仿宋" w:hAnsi="仿宋" w:eastAsia="仿宋" w:cs="仿宋"/>
          <w:color w:val="000000"/>
          <w:lang w:val="en-US"/>
        </w:rPr>
        <w:t>注：本表反映本年度的总收支和年末结转结余情况。本表金额单位转换时可能存在尾数误差。</w:t>
      </w:r>
    </w:p>
    <w:p>
      <w:pPr>
        <w:spacing w:before="66"/>
        <w:jc w:val="both"/>
        <w:rPr>
          <w:rFonts w:ascii="仿宋" w:hAnsi="仿宋" w:eastAsia="仿宋" w:cs="仿宋"/>
          <w:color w:val="000000"/>
        </w:rPr>
        <w:sectPr>
          <w:footerReference r:id="rId11" w:type="default"/>
          <w:pgSz w:w="11906" w:h="16838"/>
          <w:pgMar w:top="720" w:right="720" w:bottom="720" w:left="720" w:header="170" w:footer="280" w:gutter="0"/>
          <w:pgNumType w:fmt="numberInDash"/>
          <w:cols w:space="720" w:num="1"/>
          <w:formProt w:val="0"/>
          <w:docGrid w:linePitch="100" w:charSpace="0"/>
        </w:sectPr>
      </w:pPr>
    </w:p>
    <w:tbl>
      <w:tblPr>
        <w:tblStyle w:val="13"/>
        <w:tblW w:w="15439" w:type="dxa"/>
        <w:jc w:val="center"/>
        <w:tblInd w:w="0" w:type="dxa"/>
        <w:tblLayout w:type="fixed"/>
        <w:tblCellMar>
          <w:top w:w="0" w:type="dxa"/>
          <w:left w:w="108" w:type="dxa"/>
          <w:bottom w:w="0" w:type="dxa"/>
          <w:right w:w="108" w:type="dxa"/>
        </w:tblCellMar>
      </w:tblPr>
      <w:tblGrid>
        <w:gridCol w:w="1115"/>
        <w:gridCol w:w="2925"/>
        <w:gridCol w:w="1592"/>
        <w:gridCol w:w="1604"/>
        <w:gridCol w:w="1565"/>
        <w:gridCol w:w="1396"/>
        <w:gridCol w:w="1578"/>
        <w:gridCol w:w="1174"/>
        <w:gridCol w:w="1277"/>
        <w:gridCol w:w="1213"/>
      </w:tblGrid>
      <w:tr>
        <w:tblPrEx>
          <w:tblLayout w:type="fixed"/>
          <w:tblCellMar>
            <w:top w:w="0" w:type="dxa"/>
            <w:left w:w="108" w:type="dxa"/>
            <w:bottom w:w="0" w:type="dxa"/>
            <w:right w:w="108" w:type="dxa"/>
          </w:tblCellMar>
        </w:tblPrEx>
        <w:trPr>
          <w:trHeight w:val="627" w:hRule="atLeast"/>
          <w:jc w:val="center"/>
        </w:trPr>
        <w:tc>
          <w:tcPr>
            <w:tcW w:w="15439" w:type="dxa"/>
            <w:gridSpan w:val="10"/>
            <w:vAlign w:val="center"/>
          </w:tcPr>
          <w:p>
            <w:pPr>
              <w:pStyle w:val="5"/>
              <w:rPr>
                <w:rFonts w:ascii="仿宋" w:hAnsi="仿宋" w:eastAsia="仿宋" w:cs="仿宋"/>
                <w:b/>
                <w:bCs/>
                <w:sz w:val="44"/>
                <w:szCs w:val="44"/>
                <w:lang w:val="en-US"/>
              </w:rPr>
            </w:pPr>
            <w:r>
              <w:rPr>
                <w:rFonts w:hint="eastAsia" w:ascii="宋体" w:hAnsi="宋体" w:eastAsia="宋体" w:cs="宋体"/>
                <w:b/>
                <w:bCs/>
                <w:color w:val="000000"/>
                <w:lang w:eastAsia="ar-SA"/>
              </w:rPr>
              <w:t>收入决算表</w:t>
            </w:r>
          </w:p>
        </w:tc>
      </w:tr>
      <w:tr>
        <w:tblPrEx>
          <w:tblLayout w:type="fixed"/>
          <w:tblCellMar>
            <w:top w:w="0" w:type="dxa"/>
            <w:left w:w="108" w:type="dxa"/>
            <w:bottom w:w="0" w:type="dxa"/>
            <w:right w:w="108" w:type="dxa"/>
          </w:tblCellMar>
        </w:tblPrEx>
        <w:trPr>
          <w:trHeight w:val="314" w:hRule="atLeast"/>
          <w:jc w:val="center"/>
        </w:trPr>
        <w:tc>
          <w:tcPr>
            <w:tcW w:w="4040" w:type="dxa"/>
            <w:gridSpan w:val="2"/>
            <w:vAlign w:val="center"/>
          </w:tcPr>
          <w:p>
            <w:pPr>
              <w:pStyle w:val="22"/>
              <w:jc w:val="center"/>
              <w:rPr>
                <w:rFonts w:ascii="仿宋" w:hAnsi="仿宋" w:eastAsia="仿宋" w:cs="仿宋"/>
              </w:rPr>
            </w:pPr>
          </w:p>
        </w:tc>
        <w:tc>
          <w:tcPr>
            <w:tcW w:w="1592" w:type="dxa"/>
            <w:vAlign w:val="center"/>
          </w:tcPr>
          <w:p>
            <w:pPr>
              <w:pStyle w:val="22"/>
              <w:jc w:val="center"/>
              <w:rPr>
                <w:rFonts w:ascii="仿宋" w:hAnsi="仿宋" w:eastAsia="仿宋" w:cs="仿宋"/>
              </w:rPr>
            </w:pPr>
          </w:p>
        </w:tc>
        <w:tc>
          <w:tcPr>
            <w:tcW w:w="1604" w:type="dxa"/>
            <w:vAlign w:val="center"/>
          </w:tcPr>
          <w:p>
            <w:pPr>
              <w:pStyle w:val="22"/>
              <w:jc w:val="center"/>
              <w:rPr>
                <w:rFonts w:ascii="仿宋" w:hAnsi="仿宋" w:eastAsia="仿宋" w:cs="仿宋"/>
              </w:rPr>
            </w:pPr>
          </w:p>
        </w:tc>
        <w:tc>
          <w:tcPr>
            <w:tcW w:w="1565" w:type="dxa"/>
            <w:vAlign w:val="center"/>
          </w:tcPr>
          <w:p>
            <w:pPr>
              <w:pStyle w:val="22"/>
              <w:jc w:val="center"/>
              <w:rPr>
                <w:rFonts w:ascii="仿宋" w:hAnsi="仿宋" w:eastAsia="仿宋" w:cs="仿宋"/>
              </w:rPr>
            </w:pPr>
          </w:p>
        </w:tc>
        <w:tc>
          <w:tcPr>
            <w:tcW w:w="2974" w:type="dxa"/>
            <w:gridSpan w:val="2"/>
            <w:vAlign w:val="center"/>
          </w:tcPr>
          <w:p>
            <w:pPr>
              <w:pStyle w:val="22"/>
              <w:jc w:val="center"/>
              <w:rPr>
                <w:rFonts w:ascii="仿宋" w:hAnsi="仿宋" w:eastAsia="仿宋" w:cs="仿宋"/>
              </w:rPr>
            </w:pPr>
          </w:p>
        </w:tc>
        <w:tc>
          <w:tcPr>
            <w:tcW w:w="1174" w:type="dxa"/>
            <w:vAlign w:val="center"/>
          </w:tcPr>
          <w:p>
            <w:pPr>
              <w:pStyle w:val="22"/>
              <w:jc w:val="center"/>
              <w:rPr>
                <w:rFonts w:ascii="仿宋" w:hAnsi="仿宋" w:eastAsia="仿宋" w:cs="仿宋"/>
              </w:rPr>
            </w:pPr>
          </w:p>
        </w:tc>
        <w:tc>
          <w:tcPr>
            <w:tcW w:w="2490" w:type="dxa"/>
            <w:gridSpan w:val="2"/>
            <w:vAlign w:val="center"/>
          </w:tcPr>
          <w:p>
            <w:pPr>
              <w:pStyle w:val="22"/>
              <w:jc w:val="right"/>
              <w:rPr>
                <w:rFonts w:ascii="仿宋" w:hAnsi="仿宋" w:eastAsia="仿宋" w:cs="仿宋"/>
              </w:rPr>
            </w:pPr>
            <w:r>
              <w:rPr>
                <w:rFonts w:hint="eastAsia" w:ascii="仿宋" w:hAnsi="仿宋" w:eastAsia="仿宋" w:cs="仿宋"/>
              </w:rPr>
              <w:t>公开02表</w:t>
            </w:r>
          </w:p>
        </w:tc>
      </w:tr>
      <w:tr>
        <w:tblPrEx>
          <w:tblLayout w:type="fixed"/>
          <w:tblCellMar>
            <w:top w:w="0" w:type="dxa"/>
            <w:left w:w="108" w:type="dxa"/>
            <w:bottom w:w="0" w:type="dxa"/>
            <w:right w:w="108" w:type="dxa"/>
          </w:tblCellMar>
        </w:tblPrEx>
        <w:trPr>
          <w:trHeight w:val="376" w:hRule="atLeast"/>
          <w:jc w:val="center"/>
        </w:trPr>
        <w:tc>
          <w:tcPr>
            <w:tcW w:w="12949" w:type="dxa"/>
            <w:gridSpan w:val="8"/>
            <w:vAlign w:val="center"/>
          </w:tcPr>
          <w:p>
            <w:pPr>
              <w:pStyle w:val="22"/>
              <w:rPr>
                <w:rFonts w:ascii="仿宋" w:hAnsi="仿宋" w:eastAsia="仿宋" w:cs="仿宋"/>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江苏省社会捐助服务中心</w:t>
            </w:r>
          </w:p>
        </w:tc>
        <w:tc>
          <w:tcPr>
            <w:tcW w:w="2490" w:type="dxa"/>
            <w:gridSpan w:val="2"/>
            <w:vAlign w:val="center"/>
          </w:tcPr>
          <w:p>
            <w:pPr>
              <w:pStyle w:val="22"/>
              <w:jc w:val="right"/>
              <w:rPr>
                <w:rFonts w:ascii="仿宋" w:hAnsi="仿宋" w:eastAsia="仿宋" w:cs="仿宋"/>
              </w:rPr>
            </w:pPr>
            <w:r>
              <w:rPr>
                <w:rFonts w:hint="eastAsia" w:ascii="仿宋" w:hAnsi="仿宋" w:eastAsia="仿宋" w:cs="仿宋"/>
              </w:rPr>
              <w:t>金额单位：万元</w:t>
            </w:r>
          </w:p>
        </w:tc>
      </w:tr>
      <w:tr>
        <w:tblPrEx>
          <w:tblLayout w:type="fixed"/>
          <w:tblCellMar>
            <w:top w:w="0" w:type="dxa"/>
            <w:left w:w="108" w:type="dxa"/>
            <w:bottom w:w="0" w:type="dxa"/>
            <w:right w:w="108" w:type="dxa"/>
          </w:tblCellMar>
        </w:tblPrEx>
        <w:trPr>
          <w:cantSplit/>
          <w:trHeight w:val="312" w:hRule="atLeast"/>
          <w:jc w:val="center"/>
        </w:trPr>
        <w:tc>
          <w:tcPr>
            <w:tcW w:w="4040" w:type="dxa"/>
            <w:gridSpan w:val="2"/>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项目</w:t>
            </w:r>
          </w:p>
        </w:tc>
        <w:tc>
          <w:tcPr>
            <w:tcW w:w="1592"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本年收入合计</w:t>
            </w:r>
          </w:p>
        </w:tc>
        <w:tc>
          <w:tcPr>
            <w:tcW w:w="1604"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财政拨款收入</w:t>
            </w:r>
          </w:p>
        </w:tc>
        <w:tc>
          <w:tcPr>
            <w:tcW w:w="1565"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上级补助收入</w:t>
            </w:r>
          </w:p>
        </w:tc>
        <w:tc>
          <w:tcPr>
            <w:tcW w:w="1396" w:type="dxa"/>
            <w:vMerge w:val="restart"/>
            <w:tcBorders>
              <w:top w:val="single" w:color="000000" w:sz="4" w:space="0"/>
              <w:left w:val="single" w:color="000000" w:sz="4" w:space="0"/>
            </w:tcBorders>
            <w:vAlign w:val="center"/>
          </w:tcPr>
          <w:p>
            <w:pPr>
              <w:pStyle w:val="22"/>
              <w:jc w:val="center"/>
              <w:rPr>
                <w:rFonts w:ascii="仿宋" w:hAnsi="仿宋" w:eastAsia="仿宋" w:cs="仿宋"/>
              </w:rPr>
            </w:pPr>
            <w:r>
              <w:rPr>
                <w:rFonts w:hint="eastAsia" w:ascii="仿宋" w:hAnsi="仿宋" w:eastAsia="仿宋" w:cs="仿宋"/>
              </w:rPr>
              <w:t>财政专户管理教育收费</w:t>
            </w:r>
          </w:p>
        </w:tc>
        <w:tc>
          <w:tcPr>
            <w:tcW w:w="1578" w:type="dxa"/>
            <w:vMerge w:val="restart"/>
            <w:tcBorders>
              <w:top w:val="single" w:color="000000" w:sz="4" w:space="0"/>
              <w:left w:val="single" w:color="000000" w:sz="4" w:space="0"/>
            </w:tcBorders>
            <w:vAlign w:val="center"/>
          </w:tcPr>
          <w:p>
            <w:pPr>
              <w:pStyle w:val="22"/>
              <w:jc w:val="center"/>
              <w:rPr>
                <w:rFonts w:ascii="仿宋" w:hAnsi="仿宋" w:eastAsia="仿宋" w:cs="仿宋"/>
              </w:rPr>
            </w:pPr>
            <w:r>
              <w:rPr>
                <w:rFonts w:hint="eastAsia" w:ascii="仿宋" w:hAnsi="仿宋" w:eastAsia="仿宋" w:cs="仿宋"/>
              </w:rPr>
              <w:t>事业收入（不含专户管理教育收费）</w:t>
            </w:r>
          </w:p>
        </w:tc>
        <w:tc>
          <w:tcPr>
            <w:tcW w:w="1174"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经营收入</w:t>
            </w:r>
          </w:p>
        </w:tc>
        <w:tc>
          <w:tcPr>
            <w:tcW w:w="1277"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附属单位上缴收入</w:t>
            </w:r>
          </w:p>
        </w:tc>
        <w:tc>
          <w:tcPr>
            <w:tcW w:w="1213" w:type="dxa"/>
            <w:vMerge w:val="restart"/>
            <w:tcBorders>
              <w:top w:val="single" w:color="000000"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其他收入</w:t>
            </w:r>
          </w:p>
        </w:tc>
      </w:tr>
      <w:tr>
        <w:tblPrEx>
          <w:tblLayout w:type="fixed"/>
          <w:tblCellMar>
            <w:top w:w="0" w:type="dxa"/>
            <w:left w:w="108" w:type="dxa"/>
            <w:bottom w:w="0" w:type="dxa"/>
            <w:right w:w="108" w:type="dxa"/>
          </w:tblCellMar>
        </w:tblPrEx>
        <w:trPr>
          <w:cantSplit/>
          <w:trHeight w:val="220" w:hRule="atLeast"/>
          <w:jc w:val="center"/>
        </w:trPr>
        <w:tc>
          <w:tcPr>
            <w:tcW w:w="1115"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功能分类</w:t>
            </w:r>
          </w:p>
          <w:p>
            <w:pPr>
              <w:pStyle w:val="22"/>
              <w:jc w:val="center"/>
              <w:rPr>
                <w:rFonts w:ascii="仿宋" w:hAnsi="仿宋" w:eastAsia="仿宋" w:cs="仿宋"/>
              </w:rPr>
            </w:pPr>
            <w:r>
              <w:rPr>
                <w:rFonts w:hint="eastAsia" w:ascii="仿宋" w:hAnsi="仿宋" w:eastAsia="仿宋" w:cs="仿宋"/>
              </w:rPr>
              <w:t>科目编码</w:t>
            </w:r>
          </w:p>
        </w:tc>
        <w:tc>
          <w:tcPr>
            <w:tcW w:w="2925"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1592" w:type="dxa"/>
            <w:vMerge w:val="continue"/>
            <w:tcBorders>
              <w:left w:val="single" w:color="000000" w:sz="4" w:space="0"/>
              <w:bottom w:val="single" w:color="000000" w:sz="4" w:space="0"/>
            </w:tcBorders>
          </w:tcPr>
          <w:p>
            <w:pPr>
              <w:rPr>
                <w:rFonts w:ascii="仿宋" w:hAnsi="仿宋" w:eastAsia="仿宋" w:cs="仿宋"/>
              </w:rPr>
            </w:pPr>
          </w:p>
        </w:tc>
        <w:tc>
          <w:tcPr>
            <w:tcW w:w="1604" w:type="dxa"/>
            <w:vMerge w:val="continue"/>
            <w:tcBorders>
              <w:left w:val="single" w:color="000000" w:sz="4" w:space="0"/>
              <w:bottom w:val="single" w:color="000000" w:sz="4" w:space="0"/>
            </w:tcBorders>
          </w:tcPr>
          <w:p>
            <w:pPr>
              <w:rPr>
                <w:rFonts w:ascii="仿宋" w:hAnsi="仿宋" w:eastAsia="仿宋" w:cs="仿宋"/>
              </w:rPr>
            </w:pPr>
          </w:p>
        </w:tc>
        <w:tc>
          <w:tcPr>
            <w:tcW w:w="1565" w:type="dxa"/>
            <w:vMerge w:val="continue"/>
            <w:tcBorders>
              <w:left w:val="single" w:color="000000" w:sz="4" w:space="0"/>
              <w:bottom w:val="single" w:color="000000" w:sz="4" w:space="0"/>
            </w:tcBorders>
          </w:tcPr>
          <w:p>
            <w:pPr>
              <w:rPr>
                <w:rFonts w:ascii="仿宋" w:hAnsi="仿宋" w:eastAsia="仿宋" w:cs="仿宋"/>
              </w:rPr>
            </w:pPr>
          </w:p>
        </w:tc>
        <w:tc>
          <w:tcPr>
            <w:tcW w:w="1396" w:type="dxa"/>
            <w:vMerge w:val="continue"/>
            <w:tcBorders>
              <w:left w:val="single" w:color="000000" w:sz="4" w:space="0"/>
              <w:bottom w:val="single" w:color="000000" w:sz="4" w:space="0"/>
            </w:tcBorders>
            <w:vAlign w:val="center"/>
          </w:tcPr>
          <w:p>
            <w:pPr>
              <w:pStyle w:val="22"/>
              <w:jc w:val="center"/>
              <w:rPr>
                <w:rFonts w:ascii="仿宋" w:hAnsi="仿宋" w:eastAsia="仿宋" w:cs="仿宋"/>
              </w:rPr>
            </w:pPr>
          </w:p>
        </w:tc>
        <w:tc>
          <w:tcPr>
            <w:tcW w:w="1578" w:type="dxa"/>
            <w:vMerge w:val="continue"/>
            <w:tcBorders>
              <w:left w:val="single" w:color="000000" w:sz="4" w:space="0"/>
              <w:bottom w:val="single" w:color="000000" w:sz="4" w:space="0"/>
            </w:tcBorders>
            <w:vAlign w:val="center"/>
          </w:tcPr>
          <w:p>
            <w:pPr>
              <w:pStyle w:val="22"/>
              <w:jc w:val="center"/>
              <w:rPr>
                <w:rFonts w:ascii="仿宋" w:hAnsi="仿宋" w:eastAsia="仿宋" w:cs="仿宋"/>
              </w:rPr>
            </w:pPr>
          </w:p>
        </w:tc>
        <w:tc>
          <w:tcPr>
            <w:tcW w:w="1174" w:type="dxa"/>
            <w:vMerge w:val="continue"/>
            <w:tcBorders>
              <w:left w:val="single" w:color="000000" w:sz="4" w:space="0"/>
              <w:bottom w:val="single" w:color="000000" w:sz="4" w:space="0"/>
            </w:tcBorders>
          </w:tcPr>
          <w:p>
            <w:pPr>
              <w:rPr>
                <w:rFonts w:ascii="仿宋" w:hAnsi="仿宋" w:eastAsia="仿宋" w:cs="仿宋"/>
              </w:rPr>
            </w:pPr>
          </w:p>
        </w:tc>
        <w:tc>
          <w:tcPr>
            <w:tcW w:w="1277" w:type="dxa"/>
            <w:vMerge w:val="continue"/>
            <w:tcBorders>
              <w:left w:val="single" w:color="000000" w:sz="4" w:space="0"/>
              <w:bottom w:val="single" w:color="000000" w:sz="4" w:space="0"/>
            </w:tcBorders>
          </w:tcPr>
          <w:p>
            <w:pPr>
              <w:rPr>
                <w:rFonts w:ascii="仿宋" w:hAnsi="仿宋" w:eastAsia="仿宋" w:cs="仿宋"/>
              </w:rPr>
            </w:pPr>
          </w:p>
        </w:tc>
        <w:tc>
          <w:tcPr>
            <w:tcW w:w="1213" w:type="dxa"/>
            <w:vMerge w:val="continue"/>
            <w:tcBorders>
              <w:left w:val="single" w:color="000000" w:sz="4" w:space="0"/>
              <w:bottom w:val="single" w:color="000000" w:sz="4" w:space="0"/>
              <w:right w:val="single" w:color="000000" w:sz="4" w:space="0"/>
            </w:tcBorders>
          </w:tcPr>
          <w:p>
            <w:pPr>
              <w:rPr>
                <w:rFonts w:ascii="仿宋" w:hAnsi="仿宋" w:eastAsia="仿宋" w:cs="仿宋"/>
              </w:rPr>
            </w:pPr>
          </w:p>
        </w:tc>
      </w:tr>
      <w:tr>
        <w:tblPrEx>
          <w:tblLayout w:type="fixed"/>
          <w:tblCellMar>
            <w:top w:w="0" w:type="dxa"/>
            <w:left w:w="108" w:type="dxa"/>
            <w:bottom w:w="0" w:type="dxa"/>
            <w:right w:w="108" w:type="dxa"/>
          </w:tblCellMar>
        </w:tblPrEx>
        <w:trPr>
          <w:cantSplit/>
          <w:trHeight w:val="432" w:hRule="exact"/>
          <w:jc w:val="center"/>
        </w:trPr>
        <w:tc>
          <w:tcPr>
            <w:tcW w:w="4040"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ascii="仿宋" w:hAnsi="仿宋" w:eastAsia="仿宋" w:cs="仿宋"/>
              </w:rPr>
              <w:t>合计</w:t>
            </w:r>
          </w:p>
        </w:tc>
        <w:tc>
          <w:tcPr>
            <w:tcW w:w="1592" w:type="dxa"/>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260.89</w:t>
            </w:r>
          </w:p>
        </w:tc>
        <w:tc>
          <w:tcPr>
            <w:tcW w:w="1604" w:type="dxa"/>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260.85</w:t>
            </w:r>
          </w:p>
        </w:tc>
        <w:tc>
          <w:tcPr>
            <w:tcW w:w="1565" w:type="dxa"/>
            <w:tcBorders>
              <w:left w:val="single" w:color="000000" w:sz="4" w:space="0"/>
              <w:bottom w:val="single" w:color="000000" w:sz="4" w:space="0"/>
            </w:tcBorders>
            <w:vAlign w:val="center"/>
          </w:tcPr>
          <w:p>
            <w:pPr>
              <w:jc w:val="right"/>
              <w:rPr>
                <w:rFonts w:ascii="仿宋" w:hAnsi="仿宋" w:eastAsia="仿宋" w:cs="仿宋"/>
              </w:rPr>
            </w:pPr>
          </w:p>
        </w:tc>
        <w:tc>
          <w:tcPr>
            <w:tcW w:w="1396" w:type="dxa"/>
            <w:tcBorders>
              <w:left w:val="single" w:color="000000" w:sz="4" w:space="0"/>
              <w:bottom w:val="single" w:color="000000" w:sz="4" w:space="0"/>
            </w:tcBorders>
            <w:vAlign w:val="center"/>
          </w:tcPr>
          <w:p>
            <w:pPr>
              <w:jc w:val="right"/>
              <w:rPr>
                <w:rFonts w:ascii="仿宋" w:hAnsi="仿宋" w:eastAsia="仿宋" w:cs="仿宋"/>
              </w:rPr>
            </w:pPr>
          </w:p>
        </w:tc>
        <w:tc>
          <w:tcPr>
            <w:tcW w:w="1578" w:type="dxa"/>
            <w:tcBorders>
              <w:left w:val="single" w:color="000000" w:sz="4" w:space="0"/>
              <w:bottom w:val="single" w:color="000000" w:sz="4" w:space="0"/>
            </w:tcBorders>
            <w:vAlign w:val="center"/>
          </w:tcPr>
          <w:p>
            <w:pPr>
              <w:jc w:val="right"/>
              <w:rPr>
                <w:rFonts w:ascii="仿宋" w:hAnsi="仿宋" w:eastAsia="仿宋" w:cs="仿宋"/>
              </w:rPr>
            </w:pPr>
          </w:p>
        </w:tc>
        <w:tc>
          <w:tcPr>
            <w:tcW w:w="1174" w:type="dxa"/>
            <w:tcBorders>
              <w:left w:val="single" w:color="000000" w:sz="4" w:space="0"/>
              <w:bottom w:val="single" w:color="000000" w:sz="4" w:space="0"/>
            </w:tcBorders>
            <w:vAlign w:val="center"/>
          </w:tcPr>
          <w:p>
            <w:pPr>
              <w:jc w:val="right"/>
              <w:rPr>
                <w:rFonts w:ascii="仿宋" w:hAnsi="仿宋" w:eastAsia="仿宋" w:cs="仿宋"/>
              </w:rPr>
            </w:pPr>
          </w:p>
        </w:tc>
        <w:tc>
          <w:tcPr>
            <w:tcW w:w="1277" w:type="dxa"/>
            <w:tcBorders>
              <w:left w:val="single" w:color="000000" w:sz="4" w:space="0"/>
              <w:bottom w:val="single" w:color="000000" w:sz="4" w:space="0"/>
            </w:tcBorders>
            <w:vAlign w:val="center"/>
          </w:tcPr>
          <w:p>
            <w:pPr>
              <w:jc w:val="right"/>
              <w:rPr>
                <w:rFonts w:ascii="仿宋" w:hAnsi="仿宋" w:eastAsia="仿宋" w:cs="仿宋"/>
              </w:rPr>
            </w:pPr>
          </w:p>
        </w:tc>
        <w:tc>
          <w:tcPr>
            <w:tcW w:w="1213" w:type="dxa"/>
            <w:tcBorders>
              <w:left w:val="single" w:color="000000" w:sz="4" w:space="0"/>
              <w:bottom w:val="single" w:color="000000" w:sz="4" w:space="0"/>
              <w:right w:val="single" w:color="000000" w:sz="4" w:space="0"/>
            </w:tcBorders>
            <w:vAlign w:val="center"/>
          </w:tcPr>
          <w:p>
            <w:pPr>
              <w:jc w:val="right"/>
              <w:rPr>
                <w:rFonts w:ascii="仿宋" w:hAnsi="仿宋" w:eastAsia="仿宋" w:cs="仿宋"/>
              </w:rPr>
            </w:pPr>
            <w:r>
              <w:rPr>
                <w:rFonts w:hint="eastAsia" w:ascii="仿宋" w:hAnsi="仿宋" w:eastAsia="仿宋" w:cs="仿宋"/>
              </w:rPr>
              <w:t>0.04</w:t>
            </w: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208</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社会保障和就业支出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197.92</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197.88</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0.04</w:t>
            </w: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20805</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行政事业单位养老支出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17.39</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17.39</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2080505</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机关事业单位基本养老保险缴费支出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11.59</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11.59</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2080506</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机关事业单位职业年金缴费支出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5.80</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5.80</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20899</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其他社会保障和就业支出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180.53</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180.49</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0.04</w:t>
            </w: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2089999</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其他社会保障和就业支出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180.53</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180.49</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0.04</w:t>
            </w: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221</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住房保障支出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62.97</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62.97</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22102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住房改革支出</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62.97</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62.97</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2210201</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住房公积金</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19.89</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19.89</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11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2210202</w:t>
            </w:r>
          </w:p>
        </w:tc>
        <w:tc>
          <w:tcPr>
            <w:tcW w:w="29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提租补贴</w:t>
            </w:r>
          </w:p>
        </w:tc>
        <w:tc>
          <w:tcPr>
            <w:tcW w:w="1592"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43.08</w:t>
            </w:r>
          </w:p>
        </w:tc>
        <w:tc>
          <w:tcPr>
            <w:tcW w:w="160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43.08</w:t>
            </w:r>
          </w:p>
        </w:tc>
        <w:tc>
          <w:tcPr>
            <w:tcW w:w="1565"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3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174"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213"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bl>
    <w:p>
      <w:pPr>
        <w:spacing w:before="66"/>
        <w:jc w:val="both"/>
        <w:rPr>
          <w:rFonts w:ascii="仿宋" w:hAnsi="仿宋" w:eastAsia="仿宋" w:cs="仿宋"/>
        </w:rPr>
      </w:pPr>
      <w:r>
        <w:rPr>
          <w:rFonts w:hint="eastAsia" w:ascii="仿宋" w:hAnsi="仿宋" w:eastAsia="仿宋" w:cs="仿宋"/>
          <w:color w:val="000000"/>
        </w:rPr>
        <w:t>注：</w:t>
      </w:r>
      <w:r>
        <w:rPr>
          <w:rFonts w:hint="eastAsia" w:ascii="仿宋" w:hAnsi="仿宋" w:eastAsia="仿宋" w:cs="仿宋"/>
        </w:rPr>
        <w:t>本表反映本年度取得的各项收入情况。本表金额单位转换时可能存在尾数误差。</w:t>
      </w:r>
    </w:p>
    <w:p>
      <w:pPr>
        <w:spacing w:before="66"/>
        <w:ind w:left="57" w:firstLine="220" w:firstLineChars="100"/>
        <w:jc w:val="both"/>
        <w:rPr>
          <w:rFonts w:ascii="仿宋" w:hAnsi="仿宋" w:eastAsia="仿宋" w:cs="仿宋"/>
        </w:rPr>
        <w:sectPr>
          <w:footerReference r:id="rId12" w:type="default"/>
          <w:pgSz w:w="16838" w:h="11906" w:orient="landscape"/>
          <w:pgMar w:top="720" w:right="720" w:bottom="720" w:left="720" w:header="170" w:footer="280" w:gutter="0"/>
          <w:pgNumType w:fmt="numberInDash"/>
          <w:cols w:space="720" w:num="1"/>
          <w:formProt w:val="0"/>
          <w:docGrid w:linePitch="100" w:charSpace="0"/>
        </w:sectPr>
      </w:pPr>
    </w:p>
    <w:tbl>
      <w:tblPr>
        <w:tblStyle w:val="13"/>
        <w:tblW w:w="15347" w:type="dxa"/>
        <w:tblInd w:w="96" w:type="dxa"/>
        <w:tblLayout w:type="fixed"/>
        <w:tblCellMar>
          <w:top w:w="55" w:type="dxa"/>
          <w:left w:w="55" w:type="dxa"/>
          <w:bottom w:w="55" w:type="dxa"/>
          <w:right w:w="55" w:type="dxa"/>
        </w:tblCellMar>
      </w:tblPr>
      <w:tblGrid>
        <w:gridCol w:w="1556"/>
        <w:gridCol w:w="4183"/>
        <w:gridCol w:w="2011"/>
        <w:gridCol w:w="1486"/>
        <w:gridCol w:w="1564"/>
        <w:gridCol w:w="1593"/>
        <w:gridCol w:w="1472"/>
        <w:gridCol w:w="1482"/>
      </w:tblGrid>
      <w:tr>
        <w:tblPrEx>
          <w:tblLayout w:type="fixed"/>
          <w:tblCellMar>
            <w:top w:w="55" w:type="dxa"/>
            <w:left w:w="55" w:type="dxa"/>
            <w:bottom w:w="55" w:type="dxa"/>
            <w:right w:w="55" w:type="dxa"/>
          </w:tblCellMar>
        </w:tblPrEx>
        <w:trPr>
          <w:trHeight w:val="341" w:hRule="atLeast"/>
        </w:trPr>
        <w:tc>
          <w:tcPr>
            <w:tcW w:w="15347" w:type="dxa"/>
            <w:gridSpan w:val="8"/>
            <w:vAlign w:val="center"/>
          </w:tcPr>
          <w:p>
            <w:pPr>
              <w:pStyle w:val="5"/>
              <w:rPr>
                <w:rFonts w:ascii="仿宋" w:hAnsi="仿宋" w:eastAsia="仿宋" w:cs="仿宋"/>
                <w:b/>
                <w:bCs/>
                <w:sz w:val="44"/>
                <w:szCs w:val="44"/>
              </w:rPr>
            </w:pPr>
            <w:r>
              <w:rPr>
                <w:rFonts w:hint="eastAsia" w:ascii="宋体" w:hAnsi="宋体" w:eastAsia="宋体" w:cs="宋体"/>
                <w:b/>
                <w:bCs/>
                <w:color w:val="000000"/>
                <w:lang w:eastAsia="ar-SA"/>
              </w:rPr>
              <w:t>支出决算表</w:t>
            </w:r>
          </w:p>
        </w:tc>
      </w:tr>
      <w:tr>
        <w:tblPrEx>
          <w:tblLayout w:type="fixed"/>
          <w:tblCellMar>
            <w:top w:w="55" w:type="dxa"/>
            <w:left w:w="55" w:type="dxa"/>
            <w:bottom w:w="55" w:type="dxa"/>
            <w:right w:w="55" w:type="dxa"/>
          </w:tblCellMar>
        </w:tblPrEx>
        <w:trPr>
          <w:trHeight w:val="321" w:hRule="atLeast"/>
        </w:trPr>
        <w:tc>
          <w:tcPr>
            <w:tcW w:w="5739" w:type="dxa"/>
            <w:gridSpan w:val="2"/>
            <w:vAlign w:val="center"/>
          </w:tcPr>
          <w:p>
            <w:pPr>
              <w:pStyle w:val="22"/>
              <w:jc w:val="center"/>
              <w:rPr>
                <w:rFonts w:ascii="仿宋" w:hAnsi="仿宋" w:eastAsia="仿宋" w:cs="仿宋"/>
              </w:rPr>
            </w:pPr>
          </w:p>
        </w:tc>
        <w:tc>
          <w:tcPr>
            <w:tcW w:w="2011" w:type="dxa"/>
            <w:vAlign w:val="center"/>
          </w:tcPr>
          <w:p>
            <w:pPr>
              <w:pStyle w:val="22"/>
              <w:jc w:val="center"/>
              <w:rPr>
                <w:rFonts w:ascii="仿宋" w:hAnsi="仿宋" w:eastAsia="仿宋" w:cs="仿宋"/>
                <w:sz w:val="20"/>
              </w:rPr>
            </w:pPr>
          </w:p>
        </w:tc>
        <w:tc>
          <w:tcPr>
            <w:tcW w:w="1486" w:type="dxa"/>
            <w:vAlign w:val="center"/>
          </w:tcPr>
          <w:p>
            <w:pPr>
              <w:pStyle w:val="22"/>
              <w:jc w:val="center"/>
              <w:rPr>
                <w:rFonts w:ascii="仿宋" w:hAnsi="仿宋" w:eastAsia="仿宋" w:cs="仿宋"/>
                <w:sz w:val="20"/>
              </w:rPr>
            </w:pPr>
          </w:p>
        </w:tc>
        <w:tc>
          <w:tcPr>
            <w:tcW w:w="1564" w:type="dxa"/>
            <w:vAlign w:val="center"/>
          </w:tcPr>
          <w:p>
            <w:pPr>
              <w:pStyle w:val="22"/>
              <w:jc w:val="center"/>
              <w:rPr>
                <w:rFonts w:ascii="仿宋" w:hAnsi="仿宋" w:eastAsia="仿宋" w:cs="仿宋"/>
                <w:sz w:val="20"/>
              </w:rPr>
            </w:pPr>
          </w:p>
        </w:tc>
        <w:tc>
          <w:tcPr>
            <w:tcW w:w="1593" w:type="dxa"/>
            <w:vAlign w:val="center"/>
          </w:tcPr>
          <w:p>
            <w:pPr>
              <w:pStyle w:val="22"/>
              <w:jc w:val="center"/>
              <w:rPr>
                <w:rFonts w:ascii="仿宋" w:hAnsi="仿宋" w:eastAsia="仿宋" w:cs="仿宋"/>
                <w:sz w:val="20"/>
              </w:rPr>
            </w:pPr>
          </w:p>
        </w:tc>
        <w:tc>
          <w:tcPr>
            <w:tcW w:w="2954" w:type="dxa"/>
            <w:gridSpan w:val="2"/>
            <w:vAlign w:val="center"/>
          </w:tcPr>
          <w:p>
            <w:pPr>
              <w:pStyle w:val="22"/>
              <w:jc w:val="right"/>
              <w:rPr>
                <w:rFonts w:ascii="仿宋" w:hAnsi="仿宋" w:eastAsia="仿宋" w:cs="仿宋"/>
              </w:rPr>
            </w:pPr>
            <w:r>
              <w:rPr>
                <w:rFonts w:hint="eastAsia" w:ascii="仿宋" w:hAnsi="仿宋" w:eastAsia="仿宋" w:cs="仿宋"/>
              </w:rPr>
              <w:t>公开03表</w:t>
            </w:r>
          </w:p>
        </w:tc>
      </w:tr>
      <w:tr>
        <w:tblPrEx>
          <w:tblLayout w:type="fixed"/>
          <w:tblCellMar>
            <w:top w:w="55" w:type="dxa"/>
            <w:left w:w="55" w:type="dxa"/>
            <w:bottom w:w="55" w:type="dxa"/>
            <w:right w:w="55" w:type="dxa"/>
          </w:tblCellMar>
        </w:tblPrEx>
        <w:trPr>
          <w:trHeight w:val="321" w:hRule="atLeast"/>
        </w:trPr>
        <w:tc>
          <w:tcPr>
            <w:tcW w:w="12393" w:type="dxa"/>
            <w:gridSpan w:val="6"/>
            <w:vAlign w:val="center"/>
          </w:tcPr>
          <w:p>
            <w:pPr>
              <w:pStyle w:val="22"/>
              <w:rPr>
                <w:rFonts w:ascii="仿宋" w:hAnsi="仿宋" w:eastAsia="仿宋" w:cs="仿宋"/>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江苏省社会捐助服务中心</w:t>
            </w:r>
          </w:p>
        </w:tc>
        <w:tc>
          <w:tcPr>
            <w:tcW w:w="2954" w:type="dxa"/>
            <w:gridSpan w:val="2"/>
            <w:vAlign w:val="center"/>
          </w:tcPr>
          <w:p>
            <w:pPr>
              <w:pStyle w:val="22"/>
              <w:jc w:val="right"/>
              <w:rPr>
                <w:rFonts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21" w:hRule="atLeast"/>
        </w:trPr>
        <w:tc>
          <w:tcPr>
            <w:tcW w:w="5739" w:type="dxa"/>
            <w:gridSpan w:val="2"/>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项目</w:t>
            </w:r>
          </w:p>
        </w:tc>
        <w:tc>
          <w:tcPr>
            <w:tcW w:w="2011"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本年支出合计</w:t>
            </w:r>
          </w:p>
        </w:tc>
        <w:tc>
          <w:tcPr>
            <w:tcW w:w="1486"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基本支出</w:t>
            </w:r>
          </w:p>
        </w:tc>
        <w:tc>
          <w:tcPr>
            <w:tcW w:w="1564"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项目支出</w:t>
            </w:r>
          </w:p>
        </w:tc>
        <w:tc>
          <w:tcPr>
            <w:tcW w:w="1593"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上缴上级支出</w:t>
            </w:r>
          </w:p>
        </w:tc>
        <w:tc>
          <w:tcPr>
            <w:tcW w:w="1472" w:type="dxa"/>
            <w:vMerge w:val="restart"/>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经营支出</w:t>
            </w: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对附属单位补助支出</w:t>
            </w:r>
          </w:p>
        </w:tc>
      </w:tr>
      <w:tr>
        <w:tblPrEx>
          <w:tblLayout w:type="fixed"/>
          <w:tblCellMar>
            <w:top w:w="55" w:type="dxa"/>
            <w:left w:w="55" w:type="dxa"/>
            <w:bottom w:w="55" w:type="dxa"/>
            <w:right w:w="55" w:type="dxa"/>
          </w:tblCellMar>
        </w:tblPrEx>
        <w:trPr>
          <w:trHeight w:val="370" w:hRule="atLeast"/>
        </w:trPr>
        <w:tc>
          <w:tcPr>
            <w:tcW w:w="1556"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功能分类</w:t>
            </w:r>
          </w:p>
          <w:p>
            <w:pPr>
              <w:pStyle w:val="22"/>
              <w:jc w:val="center"/>
              <w:rPr>
                <w:rFonts w:ascii="仿宋" w:hAnsi="仿宋" w:eastAsia="仿宋" w:cs="仿宋"/>
              </w:rPr>
            </w:pPr>
            <w:r>
              <w:rPr>
                <w:rFonts w:hint="eastAsia" w:ascii="仿宋" w:hAnsi="仿宋" w:eastAsia="仿宋" w:cs="仿宋"/>
              </w:rPr>
              <w:t>科目编码</w:t>
            </w:r>
          </w:p>
        </w:tc>
        <w:tc>
          <w:tcPr>
            <w:tcW w:w="4183"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2011" w:type="dxa"/>
            <w:vMerge w:val="continue"/>
            <w:tcBorders>
              <w:left w:val="single" w:color="000000" w:sz="4" w:space="0"/>
              <w:bottom w:val="single" w:color="000000" w:sz="4" w:space="0"/>
            </w:tcBorders>
          </w:tcPr>
          <w:p>
            <w:pPr>
              <w:rPr>
                <w:rFonts w:ascii="仿宋" w:hAnsi="仿宋" w:eastAsia="仿宋" w:cs="仿宋"/>
              </w:rPr>
            </w:pPr>
          </w:p>
        </w:tc>
        <w:tc>
          <w:tcPr>
            <w:tcW w:w="1486" w:type="dxa"/>
            <w:vMerge w:val="continue"/>
            <w:tcBorders>
              <w:left w:val="single" w:color="000000" w:sz="4" w:space="0"/>
              <w:bottom w:val="single" w:color="000000" w:sz="4" w:space="0"/>
            </w:tcBorders>
          </w:tcPr>
          <w:p>
            <w:pPr>
              <w:rPr>
                <w:rFonts w:ascii="仿宋" w:hAnsi="仿宋" w:eastAsia="仿宋" w:cs="仿宋"/>
              </w:rPr>
            </w:pPr>
          </w:p>
        </w:tc>
        <w:tc>
          <w:tcPr>
            <w:tcW w:w="1564" w:type="dxa"/>
            <w:vMerge w:val="continue"/>
            <w:tcBorders>
              <w:left w:val="single" w:color="000000" w:sz="4" w:space="0"/>
              <w:bottom w:val="single" w:color="000000" w:sz="4" w:space="0"/>
            </w:tcBorders>
          </w:tcPr>
          <w:p>
            <w:pPr>
              <w:rPr>
                <w:rFonts w:ascii="仿宋" w:hAnsi="仿宋" w:eastAsia="仿宋" w:cs="仿宋"/>
              </w:rPr>
            </w:pPr>
          </w:p>
        </w:tc>
        <w:tc>
          <w:tcPr>
            <w:tcW w:w="1593" w:type="dxa"/>
            <w:vMerge w:val="continue"/>
            <w:tcBorders>
              <w:left w:val="single" w:color="000000" w:sz="4" w:space="0"/>
              <w:bottom w:val="single" w:color="000000" w:sz="4" w:space="0"/>
            </w:tcBorders>
          </w:tcPr>
          <w:p>
            <w:pPr>
              <w:rPr>
                <w:rFonts w:ascii="仿宋" w:hAnsi="仿宋" w:eastAsia="仿宋" w:cs="仿宋"/>
              </w:rPr>
            </w:pPr>
          </w:p>
        </w:tc>
        <w:tc>
          <w:tcPr>
            <w:tcW w:w="1472" w:type="dxa"/>
            <w:vMerge w:val="continue"/>
            <w:tcBorders>
              <w:left w:val="single" w:color="000000" w:sz="4" w:space="0"/>
              <w:bottom w:val="single" w:color="000000" w:sz="4" w:space="0"/>
            </w:tcBorders>
          </w:tcPr>
          <w:p>
            <w:pPr>
              <w:rPr>
                <w:rFonts w:ascii="仿宋" w:hAnsi="仿宋" w:eastAsia="仿宋" w:cs="仿宋"/>
              </w:rPr>
            </w:pPr>
          </w:p>
        </w:tc>
        <w:tc>
          <w:tcPr>
            <w:tcW w:w="1482" w:type="dxa"/>
            <w:vMerge w:val="continue"/>
            <w:tcBorders>
              <w:left w:val="single" w:color="000000" w:sz="4" w:space="0"/>
              <w:bottom w:val="single" w:color="000000" w:sz="4" w:space="0"/>
              <w:right w:val="single" w:color="000000" w:sz="4" w:space="0"/>
            </w:tcBorders>
          </w:tcPr>
          <w:p>
            <w:pPr>
              <w:rPr>
                <w:rFonts w:ascii="仿宋" w:hAnsi="仿宋" w:eastAsia="仿宋" w:cs="仿宋"/>
              </w:rPr>
            </w:pPr>
          </w:p>
        </w:tc>
      </w:tr>
      <w:tr>
        <w:tblPrEx>
          <w:tblLayout w:type="fixed"/>
          <w:tblCellMar>
            <w:top w:w="55" w:type="dxa"/>
            <w:left w:w="55" w:type="dxa"/>
            <w:bottom w:w="55" w:type="dxa"/>
            <w:right w:w="55" w:type="dxa"/>
          </w:tblCellMar>
        </w:tblPrEx>
        <w:trPr>
          <w:trHeight w:val="403" w:hRule="exact"/>
        </w:trPr>
        <w:tc>
          <w:tcPr>
            <w:tcW w:w="5739"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ascii="仿宋" w:hAnsi="仿宋" w:eastAsia="仿宋" w:cs="仿宋"/>
              </w:rPr>
              <w:t>合计</w:t>
            </w:r>
          </w:p>
        </w:tc>
        <w:tc>
          <w:tcPr>
            <w:tcW w:w="2011" w:type="dxa"/>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440.49</w:t>
            </w:r>
          </w:p>
        </w:tc>
        <w:tc>
          <w:tcPr>
            <w:tcW w:w="1486" w:type="dxa"/>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252.81</w:t>
            </w:r>
          </w:p>
        </w:tc>
        <w:tc>
          <w:tcPr>
            <w:tcW w:w="1564" w:type="dxa"/>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187.68</w:t>
            </w:r>
          </w:p>
        </w:tc>
        <w:tc>
          <w:tcPr>
            <w:tcW w:w="1593" w:type="dxa"/>
            <w:tcBorders>
              <w:left w:val="single" w:color="000000" w:sz="4" w:space="0"/>
              <w:bottom w:val="single" w:color="000000" w:sz="4" w:space="0"/>
            </w:tcBorders>
            <w:vAlign w:val="center"/>
          </w:tcPr>
          <w:p>
            <w:pPr>
              <w:jc w:val="right"/>
              <w:rPr>
                <w:rFonts w:ascii="仿宋" w:hAnsi="仿宋" w:eastAsia="仿宋" w:cs="仿宋"/>
              </w:rPr>
            </w:pPr>
          </w:p>
        </w:tc>
        <w:tc>
          <w:tcPr>
            <w:tcW w:w="1472" w:type="dxa"/>
            <w:tcBorders>
              <w:left w:val="single" w:color="000000" w:sz="4" w:space="0"/>
              <w:bottom w:val="single" w:color="000000" w:sz="4" w:space="0"/>
            </w:tcBorders>
            <w:vAlign w:val="center"/>
          </w:tcPr>
          <w:p>
            <w:pPr>
              <w:jc w:val="right"/>
              <w:rPr>
                <w:rFonts w:ascii="仿宋" w:hAnsi="仿宋" w:eastAsia="仿宋" w:cs="仿宋"/>
              </w:rPr>
            </w:pPr>
          </w:p>
        </w:tc>
        <w:tc>
          <w:tcPr>
            <w:tcW w:w="1482" w:type="dxa"/>
            <w:tcBorders>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208</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社会保障和就业支出</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377.52</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189.84</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187.68</w:t>
            </w: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20805</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行政事业单位养老支出</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17.39</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17.39</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2080505</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机关事业单位基本养老保险缴费支出</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11.59</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11.59</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2080506</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机关事业单位职业年金缴费支出</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5.80</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5.80</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20899</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其他社会保障和就业支出</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360.13</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172.45</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187.68</w:t>
            </w: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2089999</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其他社会保障和就业支出</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360.13</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172.45</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187.68</w:t>
            </w: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221</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住房保障支出</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62.97</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62.97</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22102</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住房改革支出</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62.97</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62.97</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2210201</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住房公积金</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19.89</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19.89</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2210202</w:t>
            </w:r>
          </w:p>
        </w:tc>
        <w:tc>
          <w:tcPr>
            <w:tcW w:w="4183" w:type="dxa"/>
            <w:tcBorders>
              <w:top w:val="single" w:color="000000" w:sz="4" w:space="0"/>
              <w:left w:val="single" w:color="000000" w:sz="4" w:space="0"/>
              <w:bottom w:val="single" w:color="000000" w:sz="4" w:space="0"/>
              <w:right w:val="single" w:color="000000" w:sz="4" w:space="0"/>
            </w:tcBorders>
          </w:tcPr>
          <w:p>
            <w:pPr>
              <w:pStyle w:val="22"/>
              <w:spacing w:before="30"/>
              <w:ind w:left="107"/>
              <w:rPr>
                <w:rFonts w:ascii="仿宋" w:hAnsi="仿宋" w:eastAsia="仿宋" w:cs="仿宋"/>
              </w:rPr>
            </w:pPr>
            <w:r>
              <w:rPr>
                <w:rFonts w:hint="eastAsia" w:ascii="仿宋" w:hAnsi="仿宋" w:eastAsia="仿宋" w:cs="仿宋"/>
              </w:rPr>
              <w:t xml:space="preserve">    提租补贴</w:t>
            </w:r>
          </w:p>
        </w:tc>
        <w:tc>
          <w:tcPr>
            <w:tcW w:w="2011"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43.08</w:t>
            </w:r>
          </w:p>
        </w:tc>
        <w:tc>
          <w:tcPr>
            <w:tcW w:w="1486"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r>
              <w:rPr>
                <w:rFonts w:hint="eastAsia" w:ascii="仿宋" w:hAnsi="仿宋" w:eastAsia="仿宋" w:cs="仿宋"/>
              </w:rPr>
              <w:t>43.08</w:t>
            </w:r>
          </w:p>
        </w:tc>
        <w:tc>
          <w:tcPr>
            <w:tcW w:w="1564"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593"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7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c>
          <w:tcPr>
            <w:tcW w:w="1482" w:type="dxa"/>
            <w:tcBorders>
              <w:top w:val="single" w:color="000000" w:sz="4" w:space="0"/>
              <w:left w:val="single" w:color="000000" w:sz="4" w:space="0"/>
              <w:bottom w:val="single" w:color="000000" w:sz="4" w:space="0"/>
              <w:right w:val="single" w:color="000000" w:sz="4" w:space="0"/>
            </w:tcBorders>
          </w:tcPr>
          <w:p>
            <w:pPr>
              <w:pStyle w:val="22"/>
              <w:spacing w:before="30"/>
              <w:ind w:left="107"/>
              <w:jc w:val="right"/>
              <w:rPr>
                <w:rFonts w:ascii="仿宋" w:hAnsi="仿宋" w:eastAsia="仿宋" w:cs="仿宋"/>
              </w:rPr>
            </w:pPr>
          </w:p>
        </w:tc>
      </w:tr>
    </w:tbl>
    <w:p>
      <w:pPr>
        <w:spacing w:before="59"/>
        <w:rPr>
          <w:rFonts w:ascii="仿宋" w:hAnsi="仿宋" w:eastAsia="仿宋" w:cs="仿宋"/>
        </w:rPr>
      </w:pPr>
      <w:r>
        <w:rPr>
          <w:rFonts w:hint="eastAsia" w:ascii="仿宋" w:hAnsi="仿宋" w:eastAsia="仿宋" w:cs="仿宋"/>
        </w:rPr>
        <w:t>注：本表反映本年度各项支出情况。本表金额单位转换时可能存在尾数误差。</w:t>
      </w:r>
    </w:p>
    <w:p>
      <w:pPr>
        <w:spacing w:before="59"/>
        <w:ind w:left="57"/>
        <w:rPr>
          <w:rFonts w:ascii="仿宋" w:hAnsi="仿宋" w:eastAsia="仿宋" w:cs="仿宋"/>
        </w:rPr>
        <w:sectPr>
          <w:footerReference r:id="rId13" w:type="default"/>
          <w:pgSz w:w="16838" w:h="11906" w:orient="landscape"/>
          <w:pgMar w:top="720" w:right="720" w:bottom="720" w:left="720" w:header="170" w:footer="280" w:gutter="0"/>
          <w:pgNumType w:fmt="numberInDash"/>
          <w:cols w:space="720" w:num="1"/>
          <w:formProt w:val="0"/>
          <w:docGrid w:linePitch="100" w:charSpace="0"/>
        </w:sectPr>
      </w:pPr>
    </w:p>
    <w:tbl>
      <w:tblPr>
        <w:tblStyle w:val="13"/>
        <w:tblW w:w="15372" w:type="dxa"/>
        <w:tblInd w:w="75" w:type="dxa"/>
        <w:tblLayout w:type="fixed"/>
        <w:tblCellMar>
          <w:top w:w="55" w:type="dxa"/>
          <w:left w:w="55" w:type="dxa"/>
          <w:bottom w:w="55" w:type="dxa"/>
          <w:right w:w="55" w:type="dxa"/>
        </w:tblCellMar>
      </w:tblPr>
      <w:tblGrid>
        <w:gridCol w:w="3725"/>
        <w:gridCol w:w="1837"/>
        <w:gridCol w:w="847"/>
        <w:gridCol w:w="1913"/>
        <w:gridCol w:w="907"/>
        <w:gridCol w:w="1728"/>
        <w:gridCol w:w="1194"/>
        <w:gridCol w:w="221"/>
        <w:gridCol w:w="1500"/>
        <w:gridCol w:w="1500"/>
      </w:tblGrid>
      <w:tr>
        <w:tblPrEx>
          <w:tblLayout w:type="fixed"/>
          <w:tblCellMar>
            <w:top w:w="55" w:type="dxa"/>
            <w:left w:w="55" w:type="dxa"/>
            <w:bottom w:w="55" w:type="dxa"/>
            <w:right w:w="55" w:type="dxa"/>
          </w:tblCellMar>
        </w:tblPrEx>
        <w:trPr>
          <w:trHeight w:val="319" w:hRule="atLeast"/>
        </w:trPr>
        <w:tc>
          <w:tcPr>
            <w:tcW w:w="15372" w:type="dxa"/>
            <w:gridSpan w:val="10"/>
          </w:tcPr>
          <w:p>
            <w:pPr>
              <w:pStyle w:val="22"/>
              <w:jc w:val="center"/>
              <w:rPr>
                <w:rFonts w:ascii="仿宋" w:hAnsi="仿宋" w:eastAsia="仿宋" w:cs="仿宋"/>
                <w:b/>
                <w:bCs/>
                <w:sz w:val="44"/>
                <w:szCs w:val="44"/>
              </w:rPr>
            </w:pPr>
            <w:r>
              <w:rPr>
                <w:rFonts w:hint="eastAsia"/>
                <w:b/>
                <w:bCs/>
                <w:color w:val="000000"/>
                <w:sz w:val="36"/>
                <w:szCs w:val="36"/>
                <w:lang w:eastAsia="ar-SA"/>
              </w:rPr>
              <w:t>财政拨款收入支出决算总表</w:t>
            </w:r>
          </w:p>
        </w:tc>
      </w:tr>
      <w:tr>
        <w:tblPrEx>
          <w:tblLayout w:type="fixed"/>
          <w:tblCellMar>
            <w:top w:w="55" w:type="dxa"/>
            <w:left w:w="55" w:type="dxa"/>
            <w:bottom w:w="55" w:type="dxa"/>
            <w:right w:w="55" w:type="dxa"/>
          </w:tblCellMar>
        </w:tblPrEx>
        <w:trPr>
          <w:trHeight w:val="319" w:hRule="atLeast"/>
        </w:trPr>
        <w:tc>
          <w:tcPr>
            <w:tcW w:w="5562" w:type="dxa"/>
            <w:gridSpan w:val="2"/>
          </w:tcPr>
          <w:p>
            <w:pPr>
              <w:pStyle w:val="22"/>
              <w:rPr>
                <w:rFonts w:ascii="仿宋" w:hAnsi="仿宋" w:eastAsia="仿宋" w:cs="仿宋"/>
                <w:sz w:val="20"/>
              </w:rPr>
            </w:pPr>
          </w:p>
        </w:tc>
        <w:tc>
          <w:tcPr>
            <w:tcW w:w="847" w:type="dxa"/>
          </w:tcPr>
          <w:p>
            <w:pPr>
              <w:pStyle w:val="22"/>
              <w:rPr>
                <w:rFonts w:ascii="仿宋" w:hAnsi="仿宋" w:eastAsia="仿宋" w:cs="仿宋"/>
                <w:sz w:val="20"/>
              </w:rPr>
            </w:pPr>
          </w:p>
        </w:tc>
        <w:tc>
          <w:tcPr>
            <w:tcW w:w="1913" w:type="dxa"/>
          </w:tcPr>
          <w:p>
            <w:pPr>
              <w:pStyle w:val="22"/>
              <w:rPr>
                <w:rFonts w:ascii="仿宋" w:hAnsi="仿宋" w:eastAsia="仿宋" w:cs="仿宋"/>
                <w:sz w:val="20"/>
              </w:rPr>
            </w:pPr>
          </w:p>
        </w:tc>
        <w:tc>
          <w:tcPr>
            <w:tcW w:w="2635" w:type="dxa"/>
            <w:gridSpan w:val="2"/>
          </w:tcPr>
          <w:p>
            <w:pPr>
              <w:pStyle w:val="22"/>
              <w:rPr>
                <w:rFonts w:ascii="仿宋" w:hAnsi="仿宋" w:eastAsia="仿宋" w:cs="仿宋"/>
                <w:sz w:val="20"/>
              </w:rPr>
            </w:pPr>
          </w:p>
        </w:tc>
        <w:tc>
          <w:tcPr>
            <w:tcW w:w="1194" w:type="dxa"/>
          </w:tcPr>
          <w:p>
            <w:pPr>
              <w:pStyle w:val="22"/>
              <w:rPr>
                <w:rFonts w:ascii="仿宋" w:hAnsi="仿宋" w:eastAsia="仿宋" w:cs="仿宋"/>
                <w:sz w:val="20"/>
              </w:rPr>
            </w:pPr>
          </w:p>
        </w:tc>
        <w:tc>
          <w:tcPr>
            <w:tcW w:w="3221" w:type="dxa"/>
            <w:gridSpan w:val="3"/>
            <w:vAlign w:val="center"/>
          </w:tcPr>
          <w:p>
            <w:pPr>
              <w:pStyle w:val="22"/>
              <w:jc w:val="right"/>
              <w:rPr>
                <w:rFonts w:ascii="仿宋" w:hAnsi="仿宋" w:eastAsia="仿宋" w:cs="仿宋"/>
              </w:rPr>
            </w:pPr>
            <w:r>
              <w:rPr>
                <w:rFonts w:hint="eastAsia" w:ascii="仿宋" w:hAnsi="仿宋" w:eastAsia="仿宋" w:cs="仿宋"/>
              </w:rPr>
              <w:t>公开04表</w:t>
            </w:r>
          </w:p>
        </w:tc>
      </w:tr>
      <w:tr>
        <w:tblPrEx>
          <w:tblLayout w:type="fixed"/>
          <w:tblCellMar>
            <w:top w:w="55" w:type="dxa"/>
            <w:left w:w="55" w:type="dxa"/>
            <w:bottom w:w="55" w:type="dxa"/>
            <w:right w:w="55" w:type="dxa"/>
          </w:tblCellMar>
        </w:tblPrEx>
        <w:trPr>
          <w:trHeight w:val="319" w:hRule="atLeast"/>
        </w:trPr>
        <w:tc>
          <w:tcPr>
            <w:tcW w:w="12151" w:type="dxa"/>
            <w:gridSpan w:val="7"/>
          </w:tcPr>
          <w:p>
            <w:pPr>
              <w:pStyle w:val="22"/>
              <w:rPr>
                <w:rFonts w:ascii="仿宋" w:hAnsi="仿宋" w:eastAsia="仿宋" w:cs="仿宋"/>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江苏省社会捐助服务中心</w:t>
            </w:r>
          </w:p>
        </w:tc>
        <w:tc>
          <w:tcPr>
            <w:tcW w:w="3221" w:type="dxa"/>
            <w:gridSpan w:val="3"/>
            <w:vAlign w:val="center"/>
          </w:tcPr>
          <w:p>
            <w:pPr>
              <w:pStyle w:val="22"/>
              <w:jc w:val="right"/>
              <w:rPr>
                <w:rFonts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62" w:hRule="atLeast"/>
        </w:trPr>
        <w:tc>
          <w:tcPr>
            <w:tcW w:w="5562" w:type="dxa"/>
            <w:gridSpan w:val="2"/>
            <w:tcBorders>
              <w:top w:val="single" w:color="000000" w:sz="4" w:space="0"/>
              <w:left w:val="single" w:color="000000" w:sz="4" w:space="0"/>
              <w:bottom w:val="single" w:color="000000" w:sz="4" w:space="0"/>
            </w:tcBorders>
          </w:tcPr>
          <w:p>
            <w:pPr>
              <w:pStyle w:val="22"/>
              <w:jc w:val="center"/>
              <w:rPr>
                <w:rFonts w:ascii="仿宋" w:hAnsi="仿宋" w:eastAsia="仿宋" w:cs="仿宋"/>
              </w:rPr>
            </w:pPr>
            <w:r>
              <w:rPr>
                <w:rFonts w:hint="eastAsia" w:ascii="仿宋" w:hAnsi="仿宋" w:eastAsia="仿宋" w:cs="仿宋"/>
              </w:rPr>
              <w:t>收</w:t>
            </w:r>
            <w:r>
              <w:rPr>
                <w:rFonts w:hint="eastAsia" w:ascii="仿宋" w:hAnsi="仿宋" w:eastAsia="仿宋" w:cs="仿宋"/>
              </w:rPr>
              <w:tab/>
            </w:r>
            <w:r>
              <w:rPr>
                <w:rFonts w:hint="eastAsia" w:ascii="仿宋" w:hAnsi="仿宋" w:eastAsia="仿宋" w:cs="仿宋"/>
              </w:rPr>
              <w:t>入</w:t>
            </w:r>
          </w:p>
        </w:tc>
        <w:tc>
          <w:tcPr>
            <w:tcW w:w="9810" w:type="dxa"/>
            <w:gridSpan w:val="8"/>
            <w:tcBorders>
              <w:top w:val="single" w:color="000000" w:sz="4" w:space="0"/>
              <w:left w:val="single" w:color="000000" w:sz="4" w:space="0"/>
              <w:bottom w:val="single" w:color="000000" w:sz="4" w:space="0"/>
              <w:right w:val="single" w:color="000000" w:sz="4" w:space="0"/>
            </w:tcBorders>
          </w:tcPr>
          <w:p>
            <w:pPr>
              <w:pStyle w:val="22"/>
              <w:jc w:val="center"/>
              <w:rPr>
                <w:rFonts w:ascii="仿宋" w:hAnsi="仿宋" w:eastAsia="仿宋" w:cs="仿宋"/>
              </w:rPr>
            </w:pPr>
            <w:r>
              <w:rPr>
                <w:rFonts w:hint="eastAsia" w:ascii="仿宋" w:hAnsi="仿宋" w:eastAsia="仿宋" w:cs="仿宋"/>
              </w:rPr>
              <w:t>支</w:t>
            </w:r>
            <w:r>
              <w:rPr>
                <w:rFonts w:hint="eastAsia" w:ascii="仿宋" w:hAnsi="仿宋" w:eastAsia="仿宋" w:cs="仿宋"/>
              </w:rPr>
              <w:tab/>
            </w:r>
            <w:r>
              <w:rPr>
                <w:rFonts w:hint="eastAsia" w:ascii="仿宋" w:hAnsi="仿宋" w:eastAsia="仿宋" w:cs="仿宋"/>
              </w:rPr>
              <w:t>出</w:t>
            </w:r>
          </w:p>
        </w:tc>
      </w:tr>
      <w:tr>
        <w:tblPrEx>
          <w:tblLayout w:type="fixed"/>
          <w:tblCellMar>
            <w:top w:w="55" w:type="dxa"/>
            <w:left w:w="55" w:type="dxa"/>
            <w:bottom w:w="55" w:type="dxa"/>
            <w:right w:w="55" w:type="dxa"/>
          </w:tblCellMar>
        </w:tblPrEx>
        <w:trPr>
          <w:trHeight w:val="199" w:hRule="atLeast"/>
        </w:trPr>
        <w:tc>
          <w:tcPr>
            <w:tcW w:w="3725" w:type="dxa"/>
            <w:vMerge w:val="restart"/>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1837" w:type="dxa"/>
            <w:vMerge w:val="restart"/>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决算数</w:t>
            </w:r>
          </w:p>
        </w:tc>
        <w:tc>
          <w:tcPr>
            <w:tcW w:w="3667" w:type="dxa"/>
            <w:gridSpan w:val="3"/>
            <w:vMerge w:val="restart"/>
            <w:tcBorders>
              <w:left w:val="single" w:color="000000" w:sz="4" w:space="0"/>
              <w:bottom w:val="single" w:color="000000" w:sz="4" w:space="0"/>
            </w:tcBorders>
            <w:vAlign w:val="center"/>
          </w:tcPr>
          <w:p>
            <w:pPr>
              <w:jc w:val="center"/>
              <w:rPr>
                <w:rFonts w:ascii="仿宋" w:hAnsi="仿宋" w:eastAsia="仿宋" w:cs="仿宋"/>
              </w:rPr>
            </w:pPr>
            <w:r>
              <w:rPr>
                <w:rFonts w:hint="eastAsia" w:ascii="仿宋" w:hAnsi="仿宋" w:eastAsia="仿宋" w:cs="仿宋"/>
              </w:rPr>
              <w:t>按功能分类</w:t>
            </w:r>
          </w:p>
        </w:tc>
        <w:tc>
          <w:tcPr>
            <w:tcW w:w="6143" w:type="dxa"/>
            <w:gridSpan w:val="5"/>
            <w:tcBorders>
              <w:left w:val="single" w:color="000000" w:sz="4" w:space="0"/>
              <w:bottom w:val="single" w:color="000000" w:sz="4" w:space="0"/>
              <w:right w:val="single" w:color="000000" w:sz="4" w:space="0"/>
            </w:tcBorders>
            <w:vAlign w:val="center"/>
          </w:tcPr>
          <w:p>
            <w:pPr>
              <w:jc w:val="center"/>
              <w:rPr>
                <w:rFonts w:ascii="仿宋" w:hAnsi="仿宋" w:eastAsia="仿宋" w:cs="仿宋"/>
              </w:rPr>
            </w:pPr>
            <w:r>
              <w:rPr>
                <w:rFonts w:hint="eastAsia" w:ascii="仿宋" w:hAnsi="仿宋" w:eastAsia="仿宋" w:cs="仿宋"/>
              </w:rPr>
              <w:t>决算数</w:t>
            </w:r>
          </w:p>
        </w:tc>
      </w:tr>
      <w:tr>
        <w:tblPrEx>
          <w:tblLayout w:type="fixed"/>
          <w:tblCellMar>
            <w:top w:w="55" w:type="dxa"/>
            <w:left w:w="55" w:type="dxa"/>
            <w:bottom w:w="55" w:type="dxa"/>
            <w:right w:w="55" w:type="dxa"/>
          </w:tblCellMar>
        </w:tblPrEx>
        <w:trPr>
          <w:trHeight w:val="578" w:hRule="atLeast"/>
        </w:trPr>
        <w:tc>
          <w:tcPr>
            <w:tcW w:w="3725" w:type="dxa"/>
            <w:vMerge w:val="continue"/>
            <w:tcBorders>
              <w:left w:val="single" w:color="000000" w:sz="4" w:space="0"/>
              <w:bottom w:val="single" w:color="000000" w:sz="4" w:space="0"/>
            </w:tcBorders>
          </w:tcPr>
          <w:p>
            <w:pPr>
              <w:pStyle w:val="22"/>
              <w:rPr>
                <w:rFonts w:ascii="仿宋" w:hAnsi="仿宋" w:eastAsia="仿宋" w:cs="仿宋"/>
              </w:rPr>
            </w:pPr>
          </w:p>
        </w:tc>
        <w:tc>
          <w:tcPr>
            <w:tcW w:w="1837" w:type="dxa"/>
            <w:vMerge w:val="continue"/>
            <w:tcBorders>
              <w:left w:val="single" w:color="000000" w:sz="4" w:space="0"/>
              <w:bottom w:val="single" w:color="000000" w:sz="4" w:space="0"/>
            </w:tcBorders>
          </w:tcPr>
          <w:p>
            <w:pPr>
              <w:pStyle w:val="22"/>
              <w:rPr>
                <w:rFonts w:ascii="仿宋" w:hAnsi="仿宋" w:eastAsia="仿宋" w:cs="仿宋"/>
              </w:rPr>
            </w:pPr>
          </w:p>
        </w:tc>
        <w:tc>
          <w:tcPr>
            <w:tcW w:w="3667" w:type="dxa"/>
            <w:gridSpan w:val="3"/>
            <w:vMerge w:val="continue"/>
            <w:tcBorders>
              <w:left w:val="single" w:color="000000" w:sz="4" w:space="0"/>
              <w:bottom w:val="single" w:color="000000" w:sz="4" w:space="0"/>
            </w:tcBorders>
          </w:tcPr>
          <w:p>
            <w:pPr>
              <w:pStyle w:val="22"/>
              <w:rPr>
                <w:rFonts w:ascii="仿宋" w:hAnsi="仿宋" w:eastAsia="仿宋" w:cs="仿宋"/>
              </w:rPr>
            </w:pPr>
          </w:p>
        </w:tc>
        <w:tc>
          <w:tcPr>
            <w:tcW w:w="1728" w:type="dxa"/>
            <w:tcBorders>
              <w:left w:val="single" w:color="000000" w:sz="4" w:space="0"/>
              <w:bottom w:val="single" w:color="000000" w:sz="4" w:space="0"/>
            </w:tcBorders>
            <w:vAlign w:val="center"/>
          </w:tcPr>
          <w:p>
            <w:pPr>
              <w:pStyle w:val="22"/>
              <w:jc w:val="center"/>
              <w:rPr>
                <w:rFonts w:ascii="仿宋" w:hAnsi="仿宋" w:eastAsia="仿宋" w:cs="仿宋"/>
              </w:rPr>
            </w:pPr>
            <w:r>
              <w:rPr>
                <w:rFonts w:ascii="仿宋" w:hAnsi="仿宋" w:eastAsia="仿宋" w:cs="仿宋"/>
              </w:rPr>
              <w:t>小计</w:t>
            </w:r>
          </w:p>
        </w:tc>
        <w:tc>
          <w:tcPr>
            <w:tcW w:w="1415"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一般公共预算财政拨款</w:t>
            </w:r>
          </w:p>
        </w:tc>
        <w:tc>
          <w:tcPr>
            <w:tcW w:w="1500"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政府性基金预算财政拨款</w:t>
            </w:r>
          </w:p>
        </w:tc>
        <w:tc>
          <w:tcPr>
            <w:tcW w:w="1500" w:type="dxa"/>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国有资本经营预算财政拨款</w:t>
            </w: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一、一般公共预算财政拨款收入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260.85</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一、一般公共服务支出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二、政府性基金预算财政拨款收入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二、外交支出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三、国有资本经营预算财政拨款收入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三、国防支出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四、公共安全支出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五、教育支出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六、科学技术支出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七、文化旅游体育与传媒支出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八、社会保障和就业支出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197.52</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197.52</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九、卫生健康支出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十、节能环保支出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十一、城乡社区支出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十二、农林水支出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十三、交通运输支出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十四、资源勘探工业信息等支出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十五、商业服务业等支出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十六、金融支出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十七、援助其他地区支出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十八、自然资源海洋气象等支出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十九、住房保障支出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62.97</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62.97</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二十、粮油物资储备支出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二十一、国有资本经营预算支出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二十二、灾害防治及应急管理支出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二十三、其他支出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二十四、债务还本支出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二十五、债务付息支出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二十六、抗疫特别国债安排的支出</w:t>
            </w:r>
          </w:p>
        </w:tc>
        <w:tc>
          <w:tcPr>
            <w:tcW w:w="172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359" w:hRule="exact"/>
        </w:trPr>
        <w:tc>
          <w:tcPr>
            <w:tcW w:w="3725" w:type="dxa"/>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b/>
                <w:bCs/>
              </w:rPr>
              <w:t>本年收入合计</w:t>
            </w:r>
          </w:p>
        </w:tc>
        <w:tc>
          <w:tcPr>
            <w:tcW w:w="1837" w:type="dxa"/>
            <w:tcBorders>
              <w:top w:val="single" w:color="000000" w:sz="4" w:space="0"/>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260.85</w:t>
            </w:r>
          </w:p>
        </w:tc>
        <w:tc>
          <w:tcPr>
            <w:tcW w:w="3667" w:type="dxa"/>
            <w:gridSpan w:val="3"/>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b/>
                <w:bCs/>
              </w:rPr>
              <w:t>本年支出合计</w:t>
            </w:r>
          </w:p>
        </w:tc>
        <w:tc>
          <w:tcPr>
            <w:tcW w:w="1728" w:type="dxa"/>
            <w:tcBorders>
              <w:top w:val="single" w:color="000000" w:sz="4" w:space="0"/>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260.49</w:t>
            </w:r>
          </w:p>
        </w:tc>
        <w:tc>
          <w:tcPr>
            <w:tcW w:w="1415" w:type="dxa"/>
            <w:gridSpan w:val="2"/>
            <w:tcBorders>
              <w:top w:val="single" w:color="000000" w:sz="4" w:space="0"/>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260.49</w:t>
            </w:r>
          </w:p>
        </w:tc>
        <w:tc>
          <w:tcPr>
            <w:tcW w:w="1500" w:type="dxa"/>
            <w:tcBorders>
              <w:top w:val="single" w:color="000000" w:sz="4" w:space="0"/>
              <w:left w:val="single" w:color="000000" w:sz="4" w:space="0"/>
              <w:bottom w:val="single" w:color="000000" w:sz="4" w:space="0"/>
            </w:tcBorders>
            <w:vAlign w:val="center"/>
          </w:tcPr>
          <w:p>
            <w:pPr>
              <w:jc w:val="right"/>
              <w:rPr>
                <w:rFonts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年初财政拨款结转和结余</w:t>
            </w:r>
          </w:p>
        </w:tc>
        <w:tc>
          <w:tcPr>
            <w:tcW w:w="1837" w:type="dxa"/>
            <w:tcBorders>
              <w:left w:val="single" w:color="000000" w:sz="4" w:space="0"/>
              <w:bottom w:val="single" w:color="000000" w:sz="4" w:space="0"/>
            </w:tcBorders>
            <w:vAlign w:val="center"/>
          </w:tcPr>
          <w:p>
            <w:pPr>
              <w:pStyle w:val="22"/>
              <w:jc w:val="right"/>
              <w:rPr>
                <w:rFonts w:ascii="仿宋" w:hAnsi="仿宋" w:eastAsia="仿宋" w:cs="仿宋"/>
              </w:rPr>
            </w:pPr>
            <w:r>
              <w:rPr>
                <w:rFonts w:hint="eastAsia" w:ascii="仿宋" w:hAnsi="仿宋" w:eastAsia="仿宋" w:cs="仿宋"/>
              </w:rPr>
              <w:t>110.71</w:t>
            </w:r>
          </w:p>
        </w:tc>
        <w:tc>
          <w:tcPr>
            <w:tcW w:w="3667" w:type="dxa"/>
            <w:gridSpan w:val="3"/>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年末财政拨款结转和结余</w:t>
            </w:r>
          </w:p>
        </w:tc>
        <w:tc>
          <w:tcPr>
            <w:tcW w:w="1728" w:type="dxa"/>
            <w:tcBorders>
              <w:left w:val="single" w:color="000000" w:sz="4" w:space="0"/>
              <w:bottom w:val="single" w:color="000000" w:sz="4" w:space="0"/>
            </w:tcBorders>
            <w:vAlign w:val="center"/>
          </w:tcPr>
          <w:p>
            <w:pPr>
              <w:pStyle w:val="22"/>
              <w:jc w:val="right"/>
              <w:rPr>
                <w:rFonts w:ascii="仿宋" w:hAnsi="仿宋" w:eastAsia="仿宋" w:cs="仿宋"/>
              </w:rPr>
            </w:pPr>
            <w:r>
              <w:rPr>
                <w:rFonts w:hint="eastAsia" w:ascii="仿宋" w:hAnsi="仿宋" w:eastAsia="仿宋" w:cs="仿宋"/>
              </w:rPr>
              <w:t>111.08</w:t>
            </w:r>
          </w:p>
        </w:tc>
        <w:tc>
          <w:tcPr>
            <w:tcW w:w="1415" w:type="dxa"/>
            <w:gridSpan w:val="2"/>
            <w:tcBorders>
              <w:left w:val="single" w:color="000000" w:sz="4" w:space="0"/>
              <w:bottom w:val="single" w:color="000000" w:sz="4" w:space="0"/>
            </w:tcBorders>
            <w:vAlign w:val="center"/>
          </w:tcPr>
          <w:p>
            <w:pPr>
              <w:pStyle w:val="22"/>
              <w:jc w:val="right"/>
              <w:rPr>
                <w:rFonts w:ascii="仿宋" w:hAnsi="仿宋" w:eastAsia="仿宋" w:cs="仿宋"/>
              </w:rPr>
            </w:pPr>
            <w:r>
              <w:rPr>
                <w:rFonts w:hint="eastAsia" w:ascii="仿宋" w:hAnsi="仿宋" w:eastAsia="仿宋" w:cs="仿宋"/>
              </w:rPr>
              <w:t>111.08</w:t>
            </w:r>
          </w:p>
        </w:tc>
        <w:tc>
          <w:tcPr>
            <w:tcW w:w="1500"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500"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一、一般公共预算财政拨款</w:t>
            </w:r>
          </w:p>
        </w:tc>
        <w:tc>
          <w:tcPr>
            <w:tcW w:w="1837" w:type="dxa"/>
            <w:tcBorders>
              <w:left w:val="single" w:color="000000" w:sz="4" w:space="0"/>
              <w:bottom w:val="single" w:color="000000" w:sz="4" w:space="0"/>
            </w:tcBorders>
            <w:vAlign w:val="center"/>
          </w:tcPr>
          <w:p>
            <w:pPr>
              <w:pStyle w:val="22"/>
              <w:jc w:val="right"/>
              <w:rPr>
                <w:rFonts w:ascii="仿宋" w:hAnsi="仿宋" w:eastAsia="仿宋" w:cs="仿宋"/>
              </w:rPr>
            </w:pPr>
            <w:r>
              <w:rPr>
                <w:rFonts w:hint="eastAsia" w:ascii="仿宋" w:hAnsi="仿宋" w:eastAsia="仿宋" w:cs="仿宋"/>
              </w:rPr>
              <w:t>110.71</w:t>
            </w:r>
          </w:p>
        </w:tc>
        <w:tc>
          <w:tcPr>
            <w:tcW w:w="3667" w:type="dxa"/>
            <w:gridSpan w:val="3"/>
            <w:tcBorders>
              <w:left w:val="single" w:color="000000" w:sz="4" w:space="0"/>
              <w:bottom w:val="single" w:color="000000" w:sz="4" w:space="0"/>
            </w:tcBorders>
            <w:vAlign w:val="center"/>
          </w:tcPr>
          <w:p>
            <w:pPr>
              <w:pStyle w:val="22"/>
              <w:rPr>
                <w:rFonts w:ascii="仿宋" w:hAnsi="仿宋" w:eastAsia="仿宋" w:cs="仿宋"/>
              </w:rPr>
            </w:pPr>
          </w:p>
        </w:tc>
        <w:tc>
          <w:tcPr>
            <w:tcW w:w="1728"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415" w:type="dxa"/>
            <w:gridSpan w:val="2"/>
            <w:tcBorders>
              <w:left w:val="single" w:color="000000" w:sz="4" w:space="0"/>
              <w:bottom w:val="single" w:color="000000" w:sz="4" w:space="0"/>
            </w:tcBorders>
            <w:vAlign w:val="center"/>
          </w:tcPr>
          <w:p>
            <w:pPr>
              <w:pStyle w:val="22"/>
              <w:jc w:val="right"/>
              <w:rPr>
                <w:rFonts w:ascii="仿宋" w:hAnsi="仿宋" w:eastAsia="仿宋" w:cs="仿宋"/>
              </w:rPr>
            </w:pPr>
          </w:p>
        </w:tc>
        <w:tc>
          <w:tcPr>
            <w:tcW w:w="1500"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500"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二、政府性基金预算财政拨款</w:t>
            </w:r>
          </w:p>
        </w:tc>
        <w:tc>
          <w:tcPr>
            <w:tcW w:w="1837"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3667" w:type="dxa"/>
            <w:gridSpan w:val="3"/>
            <w:tcBorders>
              <w:left w:val="single" w:color="000000" w:sz="4" w:space="0"/>
              <w:bottom w:val="single" w:color="000000" w:sz="4" w:space="0"/>
            </w:tcBorders>
            <w:vAlign w:val="center"/>
          </w:tcPr>
          <w:p>
            <w:pPr>
              <w:pStyle w:val="22"/>
              <w:rPr>
                <w:rFonts w:ascii="仿宋" w:hAnsi="仿宋" w:eastAsia="仿宋" w:cs="仿宋"/>
              </w:rPr>
            </w:pPr>
          </w:p>
        </w:tc>
        <w:tc>
          <w:tcPr>
            <w:tcW w:w="1728"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415" w:type="dxa"/>
            <w:gridSpan w:val="2"/>
            <w:tcBorders>
              <w:left w:val="single" w:color="000000" w:sz="4" w:space="0"/>
              <w:bottom w:val="single" w:color="000000" w:sz="4" w:space="0"/>
            </w:tcBorders>
            <w:vAlign w:val="center"/>
          </w:tcPr>
          <w:p>
            <w:pPr>
              <w:pStyle w:val="22"/>
              <w:jc w:val="right"/>
              <w:rPr>
                <w:rFonts w:ascii="仿宋" w:hAnsi="仿宋" w:eastAsia="仿宋" w:cs="仿宋"/>
              </w:rPr>
            </w:pPr>
          </w:p>
        </w:tc>
        <w:tc>
          <w:tcPr>
            <w:tcW w:w="1500"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500"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三、国有资本经营预算财政拨款</w:t>
            </w:r>
          </w:p>
        </w:tc>
        <w:tc>
          <w:tcPr>
            <w:tcW w:w="1837"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3667" w:type="dxa"/>
            <w:gridSpan w:val="3"/>
            <w:tcBorders>
              <w:left w:val="single" w:color="000000" w:sz="4" w:space="0"/>
              <w:bottom w:val="single" w:color="000000" w:sz="4" w:space="0"/>
            </w:tcBorders>
            <w:vAlign w:val="center"/>
          </w:tcPr>
          <w:p>
            <w:pPr>
              <w:pStyle w:val="22"/>
              <w:rPr>
                <w:rFonts w:ascii="仿宋" w:hAnsi="仿宋" w:eastAsia="仿宋" w:cs="仿宋"/>
              </w:rPr>
            </w:pPr>
          </w:p>
        </w:tc>
        <w:tc>
          <w:tcPr>
            <w:tcW w:w="1728"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415" w:type="dxa"/>
            <w:gridSpan w:val="2"/>
            <w:tcBorders>
              <w:left w:val="single" w:color="000000" w:sz="4" w:space="0"/>
              <w:bottom w:val="single" w:color="000000" w:sz="4" w:space="0"/>
            </w:tcBorders>
            <w:vAlign w:val="center"/>
          </w:tcPr>
          <w:p>
            <w:pPr>
              <w:pStyle w:val="22"/>
              <w:jc w:val="right"/>
              <w:rPr>
                <w:rFonts w:ascii="仿宋" w:hAnsi="仿宋" w:eastAsia="仿宋" w:cs="仿宋"/>
              </w:rPr>
            </w:pPr>
          </w:p>
        </w:tc>
        <w:tc>
          <w:tcPr>
            <w:tcW w:w="1500"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500"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22" w:hRule="exact"/>
        </w:trPr>
        <w:tc>
          <w:tcPr>
            <w:tcW w:w="3725"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b/>
                <w:bCs/>
              </w:rPr>
              <w:t>总计</w:t>
            </w:r>
          </w:p>
        </w:tc>
        <w:tc>
          <w:tcPr>
            <w:tcW w:w="1837" w:type="dxa"/>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371.56</w:t>
            </w:r>
          </w:p>
        </w:tc>
        <w:tc>
          <w:tcPr>
            <w:tcW w:w="3667" w:type="dxa"/>
            <w:gridSpan w:val="3"/>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b/>
                <w:bCs/>
              </w:rPr>
              <w:t>总计</w:t>
            </w:r>
          </w:p>
        </w:tc>
        <w:tc>
          <w:tcPr>
            <w:tcW w:w="1728" w:type="dxa"/>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371.56</w:t>
            </w:r>
          </w:p>
        </w:tc>
        <w:tc>
          <w:tcPr>
            <w:tcW w:w="1415" w:type="dxa"/>
            <w:gridSpan w:val="2"/>
            <w:tcBorders>
              <w:left w:val="single" w:color="000000" w:sz="4" w:space="0"/>
              <w:bottom w:val="single" w:color="000000" w:sz="4" w:space="0"/>
            </w:tcBorders>
            <w:vAlign w:val="center"/>
          </w:tcPr>
          <w:p>
            <w:pPr>
              <w:jc w:val="right"/>
              <w:rPr>
                <w:rFonts w:ascii="仿宋" w:hAnsi="仿宋" w:eastAsia="仿宋" w:cs="仿宋"/>
              </w:rPr>
            </w:pPr>
            <w:r>
              <w:rPr>
                <w:rFonts w:hint="eastAsia" w:ascii="仿宋" w:hAnsi="仿宋" w:eastAsia="仿宋" w:cs="仿宋"/>
              </w:rPr>
              <w:t>371.56</w:t>
            </w:r>
          </w:p>
        </w:tc>
        <w:tc>
          <w:tcPr>
            <w:tcW w:w="1500" w:type="dxa"/>
            <w:tcBorders>
              <w:left w:val="single" w:color="000000" w:sz="4" w:space="0"/>
              <w:bottom w:val="single" w:color="000000" w:sz="4" w:space="0"/>
            </w:tcBorders>
            <w:vAlign w:val="center"/>
          </w:tcPr>
          <w:p>
            <w:pPr>
              <w:jc w:val="right"/>
              <w:rPr>
                <w:rFonts w:ascii="仿宋" w:hAnsi="仿宋" w:eastAsia="仿宋" w:cs="仿宋"/>
              </w:rPr>
            </w:pPr>
          </w:p>
        </w:tc>
        <w:tc>
          <w:tcPr>
            <w:tcW w:w="1500" w:type="dxa"/>
            <w:tcBorders>
              <w:left w:val="single" w:color="000000" w:sz="4" w:space="0"/>
              <w:bottom w:val="single" w:color="000000" w:sz="4" w:space="0"/>
              <w:right w:val="single" w:color="000000" w:sz="4" w:space="0"/>
            </w:tcBorders>
            <w:vAlign w:val="center"/>
          </w:tcPr>
          <w:p>
            <w:pPr>
              <w:jc w:val="right"/>
              <w:rPr>
                <w:rFonts w:ascii="仿宋" w:hAnsi="仿宋" w:eastAsia="仿宋" w:cs="仿宋"/>
              </w:rPr>
            </w:pPr>
          </w:p>
        </w:tc>
      </w:tr>
    </w:tbl>
    <w:p>
      <w:pPr>
        <w:jc w:val="both"/>
        <w:rPr>
          <w:rFonts w:ascii="仿宋" w:hAnsi="仿宋" w:eastAsia="仿宋" w:cs="仿宋"/>
        </w:rPr>
      </w:pPr>
      <w:r>
        <w:rPr>
          <w:rFonts w:hint="eastAsia" w:ascii="仿宋" w:hAnsi="仿宋" w:eastAsia="仿宋" w:cs="仿宋"/>
          <w:lang w:val="en-US"/>
        </w:rPr>
        <w:t>注：</w:t>
      </w:r>
      <w:r>
        <w:rPr>
          <w:rFonts w:hint="eastAsia" w:ascii="仿宋" w:hAnsi="仿宋" w:eastAsia="仿宋" w:cs="仿宋"/>
        </w:rPr>
        <w:t>本表反映本年度一般公共预算财政拨款、政府性基金预算财政拨款和国有资本经营预算财政拨款的总收支和年末结转结余情况。本表金额单位转换时可能存在尾数误差。</w:t>
      </w:r>
    </w:p>
    <w:p>
      <w:pPr>
        <w:jc w:val="both"/>
        <w:rPr>
          <w:rFonts w:ascii="仿宋" w:hAnsi="仿宋" w:eastAsia="仿宋" w:cs="仿宋"/>
        </w:rPr>
        <w:sectPr>
          <w:footerReference r:id="rId14" w:type="default"/>
          <w:pgSz w:w="16838" w:h="11906" w:orient="landscape"/>
          <w:pgMar w:top="720" w:right="720" w:bottom="720" w:left="720" w:header="170" w:footer="280" w:gutter="0"/>
          <w:pgNumType w:fmt="numberInDash"/>
          <w:cols w:space="720" w:num="1"/>
          <w:formProt w:val="0"/>
          <w:docGrid w:linePitch="100" w:charSpace="0"/>
        </w:sectPr>
      </w:pPr>
    </w:p>
    <w:tbl>
      <w:tblPr>
        <w:tblStyle w:val="13"/>
        <w:tblW w:w="15417" w:type="dxa"/>
        <w:tblInd w:w="44" w:type="dxa"/>
        <w:tblLayout w:type="fixed"/>
        <w:tblCellMar>
          <w:top w:w="55" w:type="dxa"/>
          <w:left w:w="55" w:type="dxa"/>
          <w:bottom w:w="55" w:type="dxa"/>
          <w:right w:w="55" w:type="dxa"/>
        </w:tblCellMar>
      </w:tblPr>
      <w:tblGrid>
        <w:gridCol w:w="1278"/>
        <w:gridCol w:w="5022"/>
        <w:gridCol w:w="3184"/>
        <w:gridCol w:w="2778"/>
        <w:gridCol w:w="3155"/>
      </w:tblGrid>
      <w:tr>
        <w:tblPrEx>
          <w:tblLayout w:type="fixed"/>
          <w:tblCellMar>
            <w:top w:w="55" w:type="dxa"/>
            <w:left w:w="55" w:type="dxa"/>
            <w:bottom w:w="55" w:type="dxa"/>
            <w:right w:w="55" w:type="dxa"/>
          </w:tblCellMar>
        </w:tblPrEx>
        <w:trPr>
          <w:trHeight w:val="321" w:hRule="atLeast"/>
        </w:trPr>
        <w:tc>
          <w:tcPr>
            <w:tcW w:w="15417" w:type="dxa"/>
            <w:gridSpan w:val="5"/>
            <w:vAlign w:val="center"/>
          </w:tcPr>
          <w:p>
            <w:pPr>
              <w:pStyle w:val="22"/>
              <w:jc w:val="center"/>
              <w:rPr>
                <w:rFonts w:ascii="仿宋" w:hAnsi="仿宋" w:eastAsia="仿宋" w:cs="仿宋"/>
                <w:b/>
                <w:bCs/>
                <w:sz w:val="44"/>
                <w:szCs w:val="44"/>
              </w:rPr>
            </w:pPr>
            <w:r>
              <w:rPr>
                <w:rFonts w:hint="eastAsia"/>
                <w:b/>
                <w:bCs/>
                <w:color w:val="000000"/>
                <w:sz w:val="36"/>
                <w:szCs w:val="36"/>
                <w:lang w:eastAsia="ar-SA"/>
              </w:rPr>
              <w:t>财政拨款支出决算表（功能科目）</w:t>
            </w:r>
          </w:p>
        </w:tc>
      </w:tr>
      <w:tr>
        <w:tblPrEx>
          <w:tblLayout w:type="fixed"/>
          <w:tblCellMar>
            <w:top w:w="55" w:type="dxa"/>
            <w:left w:w="55" w:type="dxa"/>
            <w:bottom w:w="55" w:type="dxa"/>
            <w:right w:w="55" w:type="dxa"/>
          </w:tblCellMar>
        </w:tblPrEx>
        <w:trPr>
          <w:trHeight w:val="321" w:hRule="atLeast"/>
        </w:trPr>
        <w:tc>
          <w:tcPr>
            <w:tcW w:w="6300" w:type="dxa"/>
            <w:gridSpan w:val="2"/>
          </w:tcPr>
          <w:p>
            <w:pPr>
              <w:pStyle w:val="22"/>
              <w:rPr>
                <w:rFonts w:ascii="仿宋" w:hAnsi="仿宋" w:eastAsia="仿宋" w:cs="仿宋"/>
                <w:sz w:val="20"/>
              </w:rPr>
            </w:pPr>
          </w:p>
        </w:tc>
        <w:tc>
          <w:tcPr>
            <w:tcW w:w="3184" w:type="dxa"/>
          </w:tcPr>
          <w:p>
            <w:pPr>
              <w:pStyle w:val="22"/>
              <w:rPr>
                <w:rFonts w:ascii="仿宋" w:hAnsi="仿宋" w:eastAsia="仿宋" w:cs="仿宋"/>
                <w:sz w:val="27"/>
              </w:rPr>
            </w:pPr>
          </w:p>
        </w:tc>
        <w:tc>
          <w:tcPr>
            <w:tcW w:w="5933" w:type="dxa"/>
            <w:gridSpan w:val="2"/>
            <w:vAlign w:val="center"/>
          </w:tcPr>
          <w:p>
            <w:pPr>
              <w:pStyle w:val="22"/>
              <w:jc w:val="right"/>
              <w:rPr>
                <w:rFonts w:ascii="仿宋" w:hAnsi="仿宋" w:eastAsia="仿宋" w:cs="仿宋"/>
                <w:sz w:val="27"/>
              </w:rPr>
            </w:pPr>
            <w:r>
              <w:rPr>
                <w:rFonts w:hint="eastAsia" w:ascii="仿宋" w:hAnsi="仿宋" w:eastAsia="仿宋" w:cs="仿宋"/>
              </w:rPr>
              <w:t>公开05表</w:t>
            </w:r>
          </w:p>
        </w:tc>
      </w:tr>
      <w:tr>
        <w:tblPrEx>
          <w:tblLayout w:type="fixed"/>
          <w:tblCellMar>
            <w:top w:w="55" w:type="dxa"/>
            <w:left w:w="55" w:type="dxa"/>
            <w:bottom w:w="55" w:type="dxa"/>
            <w:right w:w="55" w:type="dxa"/>
          </w:tblCellMar>
        </w:tblPrEx>
        <w:trPr>
          <w:trHeight w:val="288" w:hRule="atLeast"/>
        </w:trPr>
        <w:tc>
          <w:tcPr>
            <w:tcW w:w="6300" w:type="dxa"/>
            <w:gridSpan w:val="2"/>
          </w:tcPr>
          <w:p>
            <w:pPr>
              <w:pStyle w:val="22"/>
              <w:rPr>
                <w:rFonts w:ascii="仿宋" w:hAnsi="仿宋" w:eastAsia="仿宋" w:cs="仿宋"/>
                <w:sz w:val="20"/>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江苏省社会捐助服务中心</w:t>
            </w:r>
          </w:p>
        </w:tc>
        <w:tc>
          <w:tcPr>
            <w:tcW w:w="3184" w:type="dxa"/>
          </w:tcPr>
          <w:p>
            <w:pPr>
              <w:pStyle w:val="22"/>
              <w:rPr>
                <w:rFonts w:ascii="仿宋" w:hAnsi="仿宋" w:eastAsia="仿宋" w:cs="仿宋"/>
                <w:sz w:val="27"/>
              </w:rPr>
            </w:pPr>
          </w:p>
        </w:tc>
        <w:tc>
          <w:tcPr>
            <w:tcW w:w="2778" w:type="dxa"/>
            <w:vAlign w:val="center"/>
          </w:tcPr>
          <w:p>
            <w:pPr>
              <w:pStyle w:val="22"/>
              <w:jc w:val="right"/>
              <w:rPr>
                <w:rFonts w:ascii="仿宋" w:hAnsi="仿宋" w:eastAsia="仿宋" w:cs="仿宋"/>
                <w:sz w:val="27"/>
              </w:rPr>
            </w:pPr>
          </w:p>
        </w:tc>
        <w:tc>
          <w:tcPr>
            <w:tcW w:w="3155" w:type="dxa"/>
            <w:vAlign w:val="center"/>
          </w:tcPr>
          <w:p>
            <w:pPr>
              <w:pStyle w:val="22"/>
              <w:jc w:val="right"/>
              <w:rPr>
                <w:rFonts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6300" w:type="dxa"/>
            <w:gridSpan w:val="2"/>
            <w:tcBorders>
              <w:top w:val="single" w:color="000000" w:sz="6" w:space="0"/>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3184" w:type="dxa"/>
            <w:vMerge w:val="restart"/>
            <w:tcBorders>
              <w:top w:val="single" w:color="000000" w:sz="6" w:space="0"/>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本年支出合计</w:t>
            </w:r>
          </w:p>
        </w:tc>
        <w:tc>
          <w:tcPr>
            <w:tcW w:w="2778" w:type="dxa"/>
            <w:vMerge w:val="restart"/>
            <w:tcBorders>
              <w:top w:val="single" w:color="000000" w:sz="6" w:space="0"/>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基本支出</w:t>
            </w:r>
          </w:p>
        </w:tc>
        <w:tc>
          <w:tcPr>
            <w:tcW w:w="3155" w:type="dxa"/>
            <w:vMerge w:val="restart"/>
            <w:tcBorders>
              <w:top w:val="single" w:color="000000" w:sz="6" w:space="0"/>
              <w:left w:val="single" w:color="000000" w:sz="6" w:space="0"/>
              <w:bottom w:val="single" w:color="000000" w:sz="6" w:space="0"/>
              <w:right w:val="single" w:color="000000" w:sz="6" w:space="0"/>
            </w:tcBorders>
            <w:vAlign w:val="center"/>
          </w:tcPr>
          <w:p>
            <w:pPr>
              <w:pStyle w:val="22"/>
              <w:jc w:val="center"/>
              <w:rPr>
                <w:rFonts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341" w:hRule="atLeast"/>
        </w:trPr>
        <w:tc>
          <w:tcPr>
            <w:tcW w:w="1278" w:type="dxa"/>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功能分类</w:t>
            </w:r>
          </w:p>
          <w:p>
            <w:pPr>
              <w:pStyle w:val="22"/>
              <w:jc w:val="center"/>
              <w:rPr>
                <w:rFonts w:ascii="仿宋" w:hAnsi="仿宋" w:eastAsia="仿宋" w:cs="仿宋"/>
              </w:rPr>
            </w:pPr>
            <w:r>
              <w:rPr>
                <w:rFonts w:hint="eastAsia" w:ascii="仿宋" w:hAnsi="仿宋" w:eastAsia="仿宋" w:cs="仿宋"/>
              </w:rPr>
              <w:t>科目编码</w:t>
            </w:r>
          </w:p>
        </w:tc>
        <w:tc>
          <w:tcPr>
            <w:tcW w:w="5022" w:type="dxa"/>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3184" w:type="dxa"/>
            <w:vMerge w:val="continue"/>
            <w:tcBorders>
              <w:left w:val="single" w:color="000000" w:sz="6" w:space="0"/>
              <w:bottom w:val="single" w:color="000000" w:sz="6" w:space="0"/>
            </w:tcBorders>
          </w:tcPr>
          <w:p>
            <w:pPr>
              <w:rPr>
                <w:rFonts w:ascii="仿宋" w:hAnsi="仿宋" w:eastAsia="仿宋" w:cs="仿宋"/>
              </w:rPr>
            </w:pPr>
          </w:p>
        </w:tc>
        <w:tc>
          <w:tcPr>
            <w:tcW w:w="2778" w:type="dxa"/>
            <w:vMerge w:val="continue"/>
            <w:tcBorders>
              <w:left w:val="single" w:color="000000" w:sz="6" w:space="0"/>
              <w:bottom w:val="single" w:color="000000" w:sz="6" w:space="0"/>
            </w:tcBorders>
          </w:tcPr>
          <w:p>
            <w:pPr>
              <w:rPr>
                <w:rFonts w:ascii="仿宋" w:hAnsi="仿宋" w:eastAsia="仿宋" w:cs="仿宋"/>
              </w:rPr>
            </w:pPr>
          </w:p>
        </w:tc>
        <w:tc>
          <w:tcPr>
            <w:tcW w:w="3155" w:type="dxa"/>
            <w:vMerge w:val="continue"/>
            <w:tcBorders>
              <w:left w:val="single" w:color="000000" w:sz="6" w:space="0"/>
              <w:bottom w:val="single" w:color="000000" w:sz="6" w:space="0"/>
              <w:right w:val="single" w:color="000000" w:sz="6" w:space="0"/>
            </w:tcBorders>
          </w:tcPr>
          <w:p>
            <w:pPr>
              <w:rPr>
                <w:rFonts w:ascii="仿宋" w:hAnsi="仿宋" w:eastAsia="仿宋" w:cs="仿宋"/>
              </w:rPr>
            </w:pPr>
          </w:p>
        </w:tc>
      </w:tr>
      <w:tr>
        <w:tblPrEx>
          <w:tblLayout w:type="fixed"/>
          <w:tblCellMar>
            <w:top w:w="55" w:type="dxa"/>
            <w:left w:w="55" w:type="dxa"/>
            <w:bottom w:w="55" w:type="dxa"/>
            <w:right w:w="55" w:type="dxa"/>
          </w:tblCellMar>
        </w:tblPrEx>
        <w:trPr>
          <w:trHeight w:val="275" w:hRule="atLeast"/>
        </w:trPr>
        <w:tc>
          <w:tcPr>
            <w:tcW w:w="6300" w:type="dxa"/>
            <w:gridSpan w:val="2"/>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栏次</w:t>
            </w:r>
          </w:p>
        </w:tc>
        <w:tc>
          <w:tcPr>
            <w:tcW w:w="3184" w:type="dxa"/>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1</w:t>
            </w:r>
          </w:p>
        </w:tc>
        <w:tc>
          <w:tcPr>
            <w:tcW w:w="2778" w:type="dxa"/>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2</w:t>
            </w:r>
          </w:p>
        </w:tc>
        <w:tc>
          <w:tcPr>
            <w:tcW w:w="3155" w:type="dxa"/>
            <w:tcBorders>
              <w:left w:val="single" w:color="000000" w:sz="6" w:space="0"/>
              <w:bottom w:val="single" w:color="000000" w:sz="6" w:space="0"/>
              <w:right w:val="single" w:color="000000" w:sz="6" w:space="0"/>
            </w:tcBorders>
            <w:vAlign w:val="center"/>
          </w:tcPr>
          <w:p>
            <w:pPr>
              <w:pStyle w:val="22"/>
              <w:jc w:val="center"/>
              <w:rPr>
                <w:rFonts w:ascii="仿宋" w:hAnsi="仿宋" w:eastAsia="仿宋" w:cs="仿宋"/>
              </w:rPr>
            </w:pPr>
            <w:r>
              <w:rPr>
                <w:rFonts w:hint="eastAsia" w:ascii="仿宋" w:hAnsi="仿宋" w:eastAsia="仿宋" w:cs="仿宋"/>
              </w:rPr>
              <w:t>3</w:t>
            </w:r>
          </w:p>
        </w:tc>
      </w:tr>
      <w:tr>
        <w:tblPrEx>
          <w:tblLayout w:type="fixed"/>
          <w:tblCellMar>
            <w:top w:w="55" w:type="dxa"/>
            <w:left w:w="55" w:type="dxa"/>
            <w:bottom w:w="55" w:type="dxa"/>
            <w:right w:w="55" w:type="dxa"/>
          </w:tblCellMar>
        </w:tblPrEx>
        <w:trPr>
          <w:trHeight w:val="374" w:hRule="exact"/>
        </w:trPr>
        <w:tc>
          <w:tcPr>
            <w:tcW w:w="6300" w:type="dxa"/>
            <w:gridSpan w:val="2"/>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合计</w:t>
            </w:r>
          </w:p>
        </w:tc>
        <w:tc>
          <w:tcPr>
            <w:tcW w:w="3184" w:type="dxa"/>
            <w:tcBorders>
              <w:left w:val="single" w:color="000000" w:sz="6" w:space="0"/>
              <w:bottom w:val="single" w:color="000000" w:sz="6" w:space="0"/>
            </w:tcBorders>
          </w:tcPr>
          <w:p>
            <w:pPr>
              <w:pStyle w:val="22"/>
              <w:jc w:val="right"/>
              <w:rPr>
                <w:rFonts w:ascii="仿宋" w:hAnsi="仿宋" w:eastAsia="仿宋" w:cs="仿宋"/>
              </w:rPr>
            </w:pPr>
            <w:r>
              <w:rPr>
                <w:rFonts w:hint="eastAsia" w:ascii="仿宋" w:hAnsi="仿宋" w:eastAsia="仿宋" w:cs="仿宋"/>
              </w:rPr>
              <w:t>260.49</w:t>
            </w:r>
          </w:p>
        </w:tc>
        <w:tc>
          <w:tcPr>
            <w:tcW w:w="2778" w:type="dxa"/>
            <w:tcBorders>
              <w:left w:val="single" w:color="000000" w:sz="6" w:space="0"/>
              <w:bottom w:val="single" w:color="000000" w:sz="6" w:space="0"/>
            </w:tcBorders>
          </w:tcPr>
          <w:p>
            <w:pPr>
              <w:pStyle w:val="22"/>
              <w:jc w:val="right"/>
              <w:rPr>
                <w:rFonts w:ascii="仿宋" w:hAnsi="仿宋" w:eastAsia="仿宋" w:cs="仿宋"/>
              </w:rPr>
            </w:pPr>
            <w:r>
              <w:rPr>
                <w:rFonts w:hint="eastAsia" w:ascii="仿宋" w:hAnsi="仿宋" w:eastAsia="仿宋" w:cs="仿宋"/>
              </w:rPr>
              <w:t>252.81</w:t>
            </w:r>
          </w:p>
        </w:tc>
        <w:tc>
          <w:tcPr>
            <w:tcW w:w="3155" w:type="dxa"/>
            <w:tcBorders>
              <w:left w:val="single" w:color="000000" w:sz="6" w:space="0"/>
              <w:bottom w:val="single" w:color="000000" w:sz="6" w:space="0"/>
              <w:right w:val="single" w:color="000000" w:sz="6" w:space="0"/>
            </w:tcBorders>
          </w:tcPr>
          <w:p>
            <w:pPr>
              <w:pStyle w:val="22"/>
              <w:jc w:val="right"/>
              <w:rPr>
                <w:rFonts w:ascii="仿宋" w:hAnsi="仿宋" w:eastAsia="仿宋" w:cs="仿宋"/>
              </w:rPr>
            </w:pPr>
            <w:r>
              <w:rPr>
                <w:rFonts w:hint="eastAsia" w:ascii="仿宋" w:hAnsi="仿宋" w:eastAsia="仿宋" w:cs="仿宋"/>
              </w:rPr>
              <w:t>7.68</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208</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社会保障和就业支出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197.52</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189.84</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7.68</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20805</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行政事业单位养老支出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17.39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17.39</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2080505</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机关事业单位基本养老保险缴费支出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11.59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11.59</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2080506</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机关事业单位职业年金缴费支出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5.80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5.80</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20899</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其他社会保障和就业支出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180.13</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172.45</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7.68</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2089999</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其他社会保障和就业支出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180.13</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172.45</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7.68</w:t>
            </w: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221</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住房保障支出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62.97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62.97</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22102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住房改革支出</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62.97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62.97</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2210201</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住房公积金</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19.89</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19.89</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2210202</w:t>
            </w:r>
          </w:p>
        </w:tc>
        <w:tc>
          <w:tcPr>
            <w:tcW w:w="5022" w:type="dxa"/>
            <w:tcBorders>
              <w:top w:val="single" w:color="000000" w:sz="6" w:space="0"/>
              <w:left w:val="single" w:color="000000" w:sz="4" w:space="0"/>
              <w:bottom w:val="single" w:color="000000" w:sz="6"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提租补贴</w:t>
            </w:r>
          </w:p>
        </w:tc>
        <w:tc>
          <w:tcPr>
            <w:tcW w:w="3184"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43.08</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43.08</w:t>
            </w:r>
          </w:p>
        </w:tc>
        <w:tc>
          <w:tcPr>
            <w:tcW w:w="3155" w:type="dxa"/>
            <w:tcBorders>
              <w:top w:val="single" w:color="000000" w:sz="6" w:space="0"/>
              <w:left w:val="single" w:color="000000" w:sz="4" w:space="0"/>
              <w:bottom w:val="single" w:color="000000" w:sz="6" w:space="0"/>
              <w:right w:val="single" w:color="000000" w:sz="6" w:space="0"/>
            </w:tcBorders>
            <w:vAlign w:val="center"/>
          </w:tcPr>
          <w:p>
            <w:pPr>
              <w:pStyle w:val="22"/>
              <w:jc w:val="right"/>
              <w:rPr>
                <w:rFonts w:ascii="仿宋" w:hAnsi="仿宋" w:eastAsia="仿宋" w:cs="仿宋"/>
              </w:rPr>
            </w:pPr>
          </w:p>
        </w:tc>
      </w:tr>
    </w:tbl>
    <w:p>
      <w:pPr>
        <w:tabs>
          <w:tab w:val="left" w:pos="0"/>
        </w:tabs>
        <w:jc w:val="both"/>
        <w:rPr>
          <w:rFonts w:ascii="仿宋" w:hAnsi="仿宋" w:eastAsia="仿宋" w:cs="仿宋"/>
        </w:rPr>
      </w:pPr>
      <w:r>
        <w:rPr>
          <w:rFonts w:hint="eastAsia" w:ascii="仿宋" w:hAnsi="仿宋" w:eastAsia="仿宋" w:cs="仿宋"/>
        </w:rPr>
        <w:t>注：本表反映本年度一般公共预算财政拨款、政府性基金预算财政拨款和国有资本经营预算财政拨款支出情况。本表金额单位转换时可能存在尾数误差。</w:t>
      </w:r>
    </w:p>
    <w:p>
      <w:pPr>
        <w:tabs>
          <w:tab w:val="left" w:pos="55"/>
        </w:tabs>
        <w:jc w:val="both"/>
        <w:rPr>
          <w:rFonts w:ascii="仿宋" w:hAnsi="仿宋" w:eastAsia="仿宋" w:cs="仿宋"/>
        </w:rPr>
        <w:sectPr>
          <w:footerReference r:id="rId15" w:type="default"/>
          <w:pgSz w:w="16838" w:h="11906" w:orient="landscape"/>
          <w:pgMar w:top="720" w:right="720" w:bottom="720" w:left="720" w:header="170" w:footer="280" w:gutter="0"/>
          <w:pgNumType w:fmt="numberInDash"/>
          <w:cols w:space="720" w:num="1"/>
          <w:formProt w:val="0"/>
          <w:docGrid w:linePitch="100" w:charSpace="0"/>
        </w:sectPr>
      </w:pPr>
    </w:p>
    <w:tbl>
      <w:tblPr>
        <w:tblStyle w:val="13"/>
        <w:tblW w:w="10515" w:type="dxa"/>
        <w:tblInd w:w="38" w:type="dxa"/>
        <w:tblLayout w:type="fixed"/>
        <w:tblCellMar>
          <w:top w:w="55" w:type="dxa"/>
          <w:left w:w="55" w:type="dxa"/>
          <w:bottom w:w="55" w:type="dxa"/>
          <w:right w:w="55" w:type="dxa"/>
        </w:tblCellMar>
      </w:tblPr>
      <w:tblGrid>
        <w:gridCol w:w="990"/>
        <w:gridCol w:w="3542"/>
        <w:gridCol w:w="2047"/>
        <w:gridCol w:w="2040"/>
        <w:gridCol w:w="1896"/>
      </w:tblGrid>
      <w:tr>
        <w:tblPrEx>
          <w:tblLayout w:type="fixed"/>
          <w:tblCellMar>
            <w:top w:w="55" w:type="dxa"/>
            <w:left w:w="55" w:type="dxa"/>
            <w:bottom w:w="55" w:type="dxa"/>
            <w:right w:w="55" w:type="dxa"/>
          </w:tblCellMar>
        </w:tblPrEx>
        <w:trPr>
          <w:trHeight w:val="319" w:hRule="atLeast"/>
        </w:trPr>
        <w:tc>
          <w:tcPr>
            <w:tcW w:w="10515" w:type="dxa"/>
            <w:gridSpan w:val="5"/>
            <w:vAlign w:val="center"/>
          </w:tcPr>
          <w:p>
            <w:pPr>
              <w:pStyle w:val="22"/>
              <w:jc w:val="center"/>
              <w:rPr>
                <w:rFonts w:ascii="仿宋" w:hAnsi="仿宋" w:eastAsia="仿宋" w:cs="仿宋"/>
                <w:b/>
                <w:bCs/>
                <w:sz w:val="44"/>
                <w:szCs w:val="44"/>
              </w:rPr>
            </w:pPr>
            <w:r>
              <w:rPr>
                <w:rFonts w:hint="eastAsia"/>
                <w:b/>
                <w:bCs/>
                <w:color w:val="000000"/>
                <w:sz w:val="36"/>
                <w:szCs w:val="36"/>
                <w:lang w:eastAsia="ar-SA"/>
              </w:rPr>
              <w:t>财政拨款基本支出决算表（经济科目）</w:t>
            </w:r>
          </w:p>
        </w:tc>
      </w:tr>
      <w:tr>
        <w:tblPrEx>
          <w:tblLayout w:type="fixed"/>
          <w:tblCellMar>
            <w:top w:w="55" w:type="dxa"/>
            <w:left w:w="55" w:type="dxa"/>
            <w:bottom w:w="55" w:type="dxa"/>
            <w:right w:w="55" w:type="dxa"/>
          </w:tblCellMar>
        </w:tblPrEx>
        <w:trPr>
          <w:trHeight w:val="319" w:hRule="atLeast"/>
        </w:trPr>
        <w:tc>
          <w:tcPr>
            <w:tcW w:w="4532" w:type="dxa"/>
            <w:gridSpan w:val="2"/>
          </w:tcPr>
          <w:p>
            <w:pPr>
              <w:pStyle w:val="22"/>
              <w:rPr>
                <w:rFonts w:ascii="仿宋" w:hAnsi="仿宋" w:eastAsia="仿宋" w:cs="仿宋"/>
                <w:sz w:val="20"/>
              </w:rPr>
            </w:pPr>
          </w:p>
        </w:tc>
        <w:tc>
          <w:tcPr>
            <w:tcW w:w="2047" w:type="dxa"/>
          </w:tcPr>
          <w:p>
            <w:pPr>
              <w:pStyle w:val="22"/>
              <w:rPr>
                <w:rFonts w:ascii="仿宋" w:hAnsi="仿宋" w:eastAsia="仿宋" w:cs="仿宋"/>
                <w:sz w:val="20"/>
              </w:rPr>
            </w:pPr>
          </w:p>
        </w:tc>
        <w:tc>
          <w:tcPr>
            <w:tcW w:w="2040" w:type="dxa"/>
          </w:tcPr>
          <w:p>
            <w:pPr>
              <w:pStyle w:val="22"/>
              <w:rPr>
                <w:rFonts w:ascii="仿宋" w:hAnsi="仿宋" w:eastAsia="仿宋" w:cs="仿宋"/>
                <w:sz w:val="20"/>
              </w:rPr>
            </w:pPr>
          </w:p>
        </w:tc>
        <w:tc>
          <w:tcPr>
            <w:tcW w:w="1896" w:type="dxa"/>
            <w:vAlign w:val="center"/>
          </w:tcPr>
          <w:p>
            <w:pPr>
              <w:pStyle w:val="22"/>
              <w:jc w:val="right"/>
              <w:rPr>
                <w:rFonts w:ascii="仿宋" w:hAnsi="仿宋" w:eastAsia="仿宋" w:cs="仿宋"/>
                <w:sz w:val="20"/>
              </w:rPr>
            </w:pPr>
            <w:r>
              <w:rPr>
                <w:rFonts w:hint="eastAsia" w:ascii="仿宋" w:hAnsi="仿宋" w:eastAsia="仿宋" w:cs="仿宋"/>
              </w:rPr>
              <w:t>公开06表</w:t>
            </w:r>
          </w:p>
        </w:tc>
      </w:tr>
      <w:tr>
        <w:tblPrEx>
          <w:tblLayout w:type="fixed"/>
          <w:tblCellMar>
            <w:top w:w="55" w:type="dxa"/>
            <w:left w:w="55" w:type="dxa"/>
            <w:bottom w:w="55" w:type="dxa"/>
            <w:right w:w="55" w:type="dxa"/>
          </w:tblCellMar>
        </w:tblPrEx>
        <w:trPr>
          <w:trHeight w:val="319" w:hRule="atLeast"/>
        </w:trPr>
        <w:tc>
          <w:tcPr>
            <w:tcW w:w="8619" w:type="dxa"/>
            <w:gridSpan w:val="4"/>
          </w:tcPr>
          <w:p>
            <w:pPr>
              <w:pStyle w:val="22"/>
              <w:rPr>
                <w:rFonts w:ascii="仿宋" w:hAnsi="仿宋" w:eastAsia="仿宋" w:cs="仿宋"/>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江苏省社会捐助服务中心</w:t>
            </w:r>
          </w:p>
        </w:tc>
        <w:tc>
          <w:tcPr>
            <w:tcW w:w="1896" w:type="dxa"/>
            <w:vAlign w:val="center"/>
          </w:tcPr>
          <w:p>
            <w:pPr>
              <w:pStyle w:val="22"/>
              <w:jc w:val="right"/>
              <w:rPr>
                <w:rFonts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43" w:hRule="atLeast"/>
        </w:trPr>
        <w:tc>
          <w:tcPr>
            <w:tcW w:w="4532" w:type="dxa"/>
            <w:gridSpan w:val="2"/>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983" w:type="dxa"/>
            <w:gridSpan w:val="3"/>
            <w:tcBorders>
              <w:top w:val="single" w:color="000000"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sz w:val="20"/>
              </w:rPr>
            </w:pPr>
            <w:r>
              <w:rPr>
                <w:rFonts w:hint="eastAsia" w:ascii="仿宋" w:hAnsi="仿宋" w:eastAsia="仿宋" w:cs="仿宋"/>
              </w:rPr>
              <w:t>财政拨款基本支出</w:t>
            </w:r>
          </w:p>
        </w:tc>
      </w:tr>
      <w:tr>
        <w:tblPrEx>
          <w:tblLayout w:type="fixed"/>
          <w:tblCellMar>
            <w:top w:w="55" w:type="dxa"/>
            <w:left w:w="55" w:type="dxa"/>
            <w:bottom w:w="55" w:type="dxa"/>
            <w:right w:w="55" w:type="dxa"/>
          </w:tblCellMar>
        </w:tblPrEx>
        <w:trPr>
          <w:trHeight w:val="483" w:hRule="atLeast"/>
        </w:trPr>
        <w:tc>
          <w:tcPr>
            <w:tcW w:w="990"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人员经费</w:t>
            </w:r>
          </w:p>
        </w:tc>
        <w:tc>
          <w:tcPr>
            <w:tcW w:w="1896" w:type="dxa"/>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409" w:hRule="exact"/>
        </w:trPr>
        <w:tc>
          <w:tcPr>
            <w:tcW w:w="4532"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pPr>
              <w:pStyle w:val="22"/>
              <w:jc w:val="right"/>
              <w:rPr>
                <w:rFonts w:ascii="仿宋" w:hAnsi="仿宋" w:eastAsia="仿宋" w:cs="仿宋"/>
              </w:rPr>
            </w:pPr>
            <w:r>
              <w:rPr>
                <w:rFonts w:hint="eastAsia" w:ascii="仿宋" w:hAnsi="仿宋" w:eastAsia="仿宋" w:cs="仿宋"/>
              </w:rPr>
              <w:t>252.81</w:t>
            </w:r>
          </w:p>
        </w:tc>
        <w:tc>
          <w:tcPr>
            <w:tcW w:w="2040" w:type="dxa"/>
            <w:tcBorders>
              <w:left w:val="single" w:color="000000" w:sz="4" w:space="0"/>
              <w:bottom w:val="single" w:color="000000" w:sz="4" w:space="0"/>
            </w:tcBorders>
            <w:vAlign w:val="center"/>
          </w:tcPr>
          <w:p>
            <w:pPr>
              <w:pStyle w:val="22"/>
              <w:jc w:val="right"/>
              <w:rPr>
                <w:rFonts w:ascii="仿宋" w:hAnsi="仿宋" w:eastAsia="仿宋" w:cs="仿宋"/>
              </w:rPr>
            </w:pPr>
            <w:r>
              <w:rPr>
                <w:rFonts w:hint="eastAsia" w:ascii="仿宋" w:hAnsi="仿宋" w:eastAsia="仿宋" w:cs="仿宋"/>
              </w:rPr>
              <w:t>235.59</w:t>
            </w:r>
          </w:p>
        </w:tc>
        <w:tc>
          <w:tcPr>
            <w:tcW w:w="1896"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17.22</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235.59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235.59</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36.85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36.85</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47.42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47.42</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0.30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0.30</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82.70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82.70</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20.19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20.19</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9.50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9.50</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0.06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0.06</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21.59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21.59</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0.60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0.60</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16.37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16.37</w:t>
            </w: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17.22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17.22</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6.39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6.39</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咨询费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0.05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0.05</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0.09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0.09</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1.03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1.03</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1.39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1.39</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2.28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2.28</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30231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2.44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2.44</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30240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3.55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3.55</w:t>
            </w: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30701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30702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30703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30704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31021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31022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39906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赠与</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39907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39908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39999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bl>
    <w:p>
      <w:pPr>
        <w:tabs>
          <w:tab w:val="left" w:pos="660"/>
          <w:tab w:val="left" w:pos="10780"/>
        </w:tabs>
        <w:spacing w:before="25" w:line="290" w:lineRule="auto"/>
        <w:jc w:val="both"/>
        <w:rPr>
          <w:rFonts w:ascii="仿宋" w:hAnsi="仿宋" w:eastAsia="仿宋" w:cs="仿宋"/>
        </w:rPr>
      </w:pPr>
      <w:r>
        <w:rPr>
          <w:rFonts w:hint="eastAsia" w:ascii="仿宋" w:hAnsi="仿宋" w:eastAsia="仿宋" w:cs="仿宋"/>
        </w:rPr>
        <w:t>注：本表反映本年度一般公共预算财政拨款、政府性基金预算财政拨款和国有资本经营预算财政拨款基本支出情况。本表金额单位转换时可能存在尾数误差。</w:t>
      </w:r>
    </w:p>
    <w:p>
      <w:pPr>
        <w:spacing w:line="255" w:lineRule="exact"/>
        <w:jc w:val="both"/>
        <w:rPr>
          <w:rFonts w:ascii="仿宋" w:hAnsi="仿宋" w:eastAsia="仿宋" w:cs="仿宋"/>
        </w:rPr>
        <w:sectPr>
          <w:footerReference r:id="rId16" w:type="default"/>
          <w:pgSz w:w="11906" w:h="16838"/>
          <w:pgMar w:top="720" w:right="720" w:bottom="720" w:left="720" w:header="170" w:footer="280" w:gutter="0"/>
          <w:pgNumType w:fmt="numberInDash"/>
          <w:cols w:space="720" w:num="1"/>
          <w:formProt w:val="0"/>
          <w:docGrid w:linePitch="100" w:charSpace="0"/>
        </w:sectPr>
      </w:pPr>
    </w:p>
    <w:tbl>
      <w:tblPr>
        <w:tblStyle w:val="13"/>
        <w:tblW w:w="10446" w:type="dxa"/>
        <w:tblInd w:w="78" w:type="dxa"/>
        <w:tblLayout w:type="fixed"/>
        <w:tblCellMar>
          <w:top w:w="55" w:type="dxa"/>
          <w:left w:w="55" w:type="dxa"/>
          <w:bottom w:w="55" w:type="dxa"/>
          <w:right w:w="55" w:type="dxa"/>
        </w:tblCellMar>
      </w:tblPr>
      <w:tblGrid>
        <w:gridCol w:w="1134"/>
        <w:gridCol w:w="4332"/>
        <w:gridCol w:w="1969"/>
        <w:gridCol w:w="1499"/>
        <w:gridCol w:w="1512"/>
      </w:tblGrid>
      <w:tr>
        <w:tblPrEx>
          <w:tblLayout w:type="fixed"/>
          <w:tblCellMar>
            <w:top w:w="55" w:type="dxa"/>
            <w:left w:w="55" w:type="dxa"/>
            <w:bottom w:w="55" w:type="dxa"/>
            <w:right w:w="55" w:type="dxa"/>
          </w:tblCellMar>
        </w:tblPrEx>
        <w:trPr>
          <w:trHeight w:val="560" w:hRule="atLeast"/>
        </w:trPr>
        <w:tc>
          <w:tcPr>
            <w:tcW w:w="10446" w:type="dxa"/>
            <w:gridSpan w:val="5"/>
            <w:vAlign w:val="center"/>
          </w:tcPr>
          <w:p>
            <w:pPr>
              <w:pStyle w:val="22"/>
              <w:jc w:val="center"/>
              <w:rPr>
                <w:rFonts w:ascii="仿宋" w:hAnsi="仿宋" w:eastAsia="仿宋" w:cs="仿宋"/>
                <w:b/>
                <w:bCs/>
                <w:sz w:val="44"/>
                <w:szCs w:val="44"/>
              </w:rPr>
            </w:pPr>
            <w:r>
              <w:rPr>
                <w:rFonts w:hint="eastAsia"/>
                <w:b/>
                <w:bCs/>
                <w:color w:val="000000"/>
                <w:sz w:val="36"/>
                <w:szCs w:val="36"/>
                <w:lang w:eastAsia="ar-SA"/>
              </w:rPr>
              <w:t>一般公共预算支出决算表（功能科目）</w:t>
            </w:r>
          </w:p>
        </w:tc>
      </w:tr>
      <w:tr>
        <w:tblPrEx>
          <w:tblLayout w:type="fixed"/>
          <w:tblCellMar>
            <w:top w:w="55" w:type="dxa"/>
            <w:left w:w="55" w:type="dxa"/>
            <w:bottom w:w="55" w:type="dxa"/>
            <w:right w:w="55" w:type="dxa"/>
          </w:tblCellMar>
        </w:tblPrEx>
        <w:trPr>
          <w:trHeight w:val="147" w:hRule="atLeast"/>
        </w:trPr>
        <w:tc>
          <w:tcPr>
            <w:tcW w:w="5466" w:type="dxa"/>
            <w:gridSpan w:val="2"/>
          </w:tcPr>
          <w:p>
            <w:pPr>
              <w:pStyle w:val="22"/>
              <w:rPr>
                <w:rFonts w:ascii="仿宋" w:hAnsi="仿宋" w:eastAsia="仿宋" w:cs="仿宋"/>
                <w:sz w:val="20"/>
              </w:rPr>
            </w:pPr>
          </w:p>
        </w:tc>
        <w:tc>
          <w:tcPr>
            <w:tcW w:w="1969" w:type="dxa"/>
          </w:tcPr>
          <w:p>
            <w:pPr>
              <w:pStyle w:val="22"/>
              <w:rPr>
                <w:rFonts w:ascii="仿宋" w:hAnsi="仿宋" w:eastAsia="仿宋" w:cs="仿宋"/>
                <w:sz w:val="20"/>
              </w:rPr>
            </w:pPr>
          </w:p>
        </w:tc>
        <w:tc>
          <w:tcPr>
            <w:tcW w:w="1499" w:type="dxa"/>
          </w:tcPr>
          <w:p>
            <w:pPr>
              <w:pStyle w:val="22"/>
              <w:rPr>
                <w:rFonts w:ascii="仿宋" w:hAnsi="仿宋" w:eastAsia="仿宋" w:cs="仿宋"/>
                <w:sz w:val="20"/>
              </w:rPr>
            </w:pPr>
          </w:p>
        </w:tc>
        <w:tc>
          <w:tcPr>
            <w:tcW w:w="1512" w:type="dxa"/>
            <w:vAlign w:val="center"/>
          </w:tcPr>
          <w:p>
            <w:pPr>
              <w:pStyle w:val="22"/>
              <w:jc w:val="right"/>
              <w:rPr>
                <w:rFonts w:ascii="仿宋" w:hAnsi="仿宋" w:eastAsia="仿宋" w:cs="仿宋"/>
                <w:sz w:val="20"/>
              </w:rPr>
            </w:pPr>
            <w:r>
              <w:rPr>
                <w:rFonts w:hint="eastAsia" w:ascii="仿宋" w:hAnsi="仿宋" w:eastAsia="仿宋" w:cs="仿宋"/>
              </w:rPr>
              <w:t>公开07表</w:t>
            </w:r>
          </w:p>
        </w:tc>
      </w:tr>
      <w:tr>
        <w:tblPrEx>
          <w:tblLayout w:type="fixed"/>
          <w:tblCellMar>
            <w:top w:w="55" w:type="dxa"/>
            <w:left w:w="55" w:type="dxa"/>
            <w:bottom w:w="55" w:type="dxa"/>
            <w:right w:w="55" w:type="dxa"/>
          </w:tblCellMar>
        </w:tblPrEx>
        <w:trPr>
          <w:trHeight w:val="303" w:hRule="atLeast"/>
        </w:trPr>
        <w:tc>
          <w:tcPr>
            <w:tcW w:w="7435" w:type="dxa"/>
            <w:gridSpan w:val="3"/>
          </w:tcPr>
          <w:p>
            <w:pPr>
              <w:pStyle w:val="22"/>
              <w:rPr>
                <w:rFonts w:ascii="仿宋" w:hAnsi="仿宋" w:eastAsia="仿宋" w:cs="仿宋"/>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江苏省社会捐助服务中心</w:t>
            </w:r>
          </w:p>
        </w:tc>
        <w:tc>
          <w:tcPr>
            <w:tcW w:w="3011" w:type="dxa"/>
            <w:gridSpan w:val="2"/>
          </w:tcPr>
          <w:p>
            <w:pPr>
              <w:pStyle w:val="22"/>
              <w:jc w:val="right"/>
              <w:rPr>
                <w:rFonts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58" w:hRule="atLeast"/>
        </w:trPr>
        <w:tc>
          <w:tcPr>
            <w:tcW w:w="5466" w:type="dxa"/>
            <w:gridSpan w:val="2"/>
            <w:tcBorders>
              <w:top w:val="single" w:color="000000" w:sz="6" w:space="0"/>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1969" w:type="dxa"/>
            <w:vMerge w:val="restart"/>
            <w:tcBorders>
              <w:top w:val="single" w:color="000000" w:sz="6" w:space="0"/>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本年支出合计</w:t>
            </w:r>
          </w:p>
        </w:tc>
        <w:tc>
          <w:tcPr>
            <w:tcW w:w="1499" w:type="dxa"/>
            <w:vMerge w:val="restart"/>
            <w:tcBorders>
              <w:top w:val="single" w:color="000000" w:sz="6" w:space="0"/>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基本支出</w:t>
            </w:r>
          </w:p>
        </w:tc>
        <w:tc>
          <w:tcPr>
            <w:tcW w:w="1512" w:type="dxa"/>
            <w:vMerge w:val="restart"/>
            <w:tcBorders>
              <w:top w:val="single" w:color="000000" w:sz="6" w:space="0"/>
              <w:left w:val="single" w:color="000000" w:sz="6" w:space="0"/>
              <w:bottom w:val="single" w:color="000000" w:sz="6" w:space="0"/>
              <w:right w:val="single" w:color="000000" w:sz="6" w:space="0"/>
            </w:tcBorders>
            <w:vAlign w:val="center"/>
          </w:tcPr>
          <w:p>
            <w:pPr>
              <w:pStyle w:val="22"/>
              <w:jc w:val="center"/>
              <w:rPr>
                <w:rFonts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561" w:hRule="atLeast"/>
        </w:trPr>
        <w:tc>
          <w:tcPr>
            <w:tcW w:w="1134" w:type="dxa"/>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功能分类科目编码</w:t>
            </w:r>
          </w:p>
        </w:tc>
        <w:tc>
          <w:tcPr>
            <w:tcW w:w="4332" w:type="dxa"/>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1969" w:type="dxa"/>
            <w:vMerge w:val="continue"/>
            <w:tcBorders>
              <w:left w:val="single" w:color="000000" w:sz="6" w:space="0"/>
              <w:bottom w:val="single" w:color="000000" w:sz="6" w:space="0"/>
            </w:tcBorders>
          </w:tcPr>
          <w:p>
            <w:pPr>
              <w:rPr>
                <w:rFonts w:ascii="仿宋" w:hAnsi="仿宋" w:eastAsia="仿宋" w:cs="仿宋"/>
                <w:sz w:val="2"/>
                <w:szCs w:val="2"/>
              </w:rPr>
            </w:pPr>
          </w:p>
        </w:tc>
        <w:tc>
          <w:tcPr>
            <w:tcW w:w="1499" w:type="dxa"/>
            <w:vMerge w:val="continue"/>
            <w:tcBorders>
              <w:left w:val="single" w:color="000000" w:sz="6" w:space="0"/>
              <w:bottom w:val="single" w:color="000000" w:sz="6" w:space="0"/>
            </w:tcBorders>
          </w:tcPr>
          <w:p>
            <w:pPr>
              <w:rPr>
                <w:rFonts w:ascii="仿宋" w:hAnsi="仿宋" w:eastAsia="仿宋" w:cs="仿宋"/>
                <w:sz w:val="2"/>
                <w:szCs w:val="2"/>
              </w:rPr>
            </w:pPr>
          </w:p>
        </w:tc>
        <w:tc>
          <w:tcPr>
            <w:tcW w:w="1512" w:type="dxa"/>
            <w:vMerge w:val="continue"/>
            <w:tcBorders>
              <w:left w:val="single" w:color="000000" w:sz="6" w:space="0"/>
              <w:bottom w:val="single" w:color="000000" w:sz="6" w:space="0"/>
              <w:right w:val="single" w:color="000000" w:sz="6" w:space="0"/>
            </w:tcBorders>
          </w:tcPr>
          <w:p>
            <w:pPr>
              <w:rPr>
                <w:rFonts w:ascii="仿宋" w:hAnsi="仿宋" w:eastAsia="仿宋" w:cs="仿宋"/>
                <w:sz w:val="2"/>
                <w:szCs w:val="2"/>
              </w:rPr>
            </w:pPr>
          </w:p>
        </w:tc>
      </w:tr>
      <w:tr>
        <w:tblPrEx>
          <w:tblLayout w:type="fixed"/>
          <w:tblCellMar>
            <w:top w:w="55" w:type="dxa"/>
            <w:left w:w="55" w:type="dxa"/>
            <w:bottom w:w="55" w:type="dxa"/>
            <w:right w:w="55" w:type="dxa"/>
          </w:tblCellMar>
        </w:tblPrEx>
        <w:trPr>
          <w:trHeight w:val="152" w:hRule="atLeast"/>
        </w:trPr>
        <w:tc>
          <w:tcPr>
            <w:tcW w:w="5466" w:type="dxa"/>
            <w:gridSpan w:val="2"/>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栏次</w:t>
            </w:r>
          </w:p>
        </w:tc>
        <w:tc>
          <w:tcPr>
            <w:tcW w:w="1969" w:type="dxa"/>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1</w:t>
            </w:r>
          </w:p>
        </w:tc>
        <w:tc>
          <w:tcPr>
            <w:tcW w:w="1499" w:type="dxa"/>
            <w:tcBorders>
              <w:left w:val="single" w:color="000000" w:sz="6" w:space="0"/>
              <w:bottom w:val="single" w:color="000000" w:sz="6" w:space="0"/>
            </w:tcBorders>
            <w:vAlign w:val="center"/>
          </w:tcPr>
          <w:p>
            <w:pPr>
              <w:pStyle w:val="22"/>
              <w:jc w:val="center"/>
              <w:rPr>
                <w:rFonts w:ascii="仿宋" w:hAnsi="仿宋" w:eastAsia="仿宋" w:cs="仿宋"/>
              </w:rPr>
            </w:pPr>
            <w:r>
              <w:rPr>
                <w:rFonts w:hint="eastAsia" w:ascii="仿宋" w:hAnsi="仿宋" w:eastAsia="仿宋" w:cs="仿宋"/>
              </w:rPr>
              <w:t>2</w:t>
            </w:r>
          </w:p>
        </w:tc>
        <w:tc>
          <w:tcPr>
            <w:tcW w:w="1512" w:type="dxa"/>
            <w:tcBorders>
              <w:left w:val="single" w:color="000000" w:sz="6" w:space="0"/>
              <w:bottom w:val="single" w:color="000000" w:sz="6" w:space="0"/>
              <w:right w:val="single" w:color="000000" w:sz="6" w:space="0"/>
            </w:tcBorders>
            <w:vAlign w:val="center"/>
          </w:tcPr>
          <w:p>
            <w:pPr>
              <w:pStyle w:val="22"/>
              <w:jc w:val="center"/>
              <w:rPr>
                <w:rFonts w:ascii="仿宋" w:hAnsi="仿宋" w:eastAsia="仿宋" w:cs="仿宋"/>
              </w:rPr>
            </w:pPr>
            <w:r>
              <w:rPr>
                <w:rFonts w:hint="eastAsia" w:ascii="仿宋" w:hAnsi="仿宋" w:eastAsia="仿宋" w:cs="仿宋"/>
              </w:rPr>
              <w:t>3</w:t>
            </w:r>
          </w:p>
        </w:tc>
      </w:tr>
      <w:tr>
        <w:tblPrEx>
          <w:tblLayout w:type="fixed"/>
          <w:tblCellMar>
            <w:top w:w="55" w:type="dxa"/>
            <w:left w:w="55" w:type="dxa"/>
            <w:bottom w:w="55" w:type="dxa"/>
            <w:right w:w="55" w:type="dxa"/>
          </w:tblCellMar>
        </w:tblPrEx>
        <w:trPr>
          <w:trHeight w:val="298" w:hRule="exact"/>
        </w:trPr>
        <w:tc>
          <w:tcPr>
            <w:tcW w:w="5466" w:type="dxa"/>
            <w:gridSpan w:val="2"/>
            <w:tcBorders>
              <w:left w:val="single" w:color="000000" w:sz="6" w:space="0"/>
              <w:bottom w:val="single" w:color="000000" w:sz="6" w:space="0"/>
            </w:tcBorders>
            <w:vAlign w:val="center"/>
          </w:tcPr>
          <w:p>
            <w:pPr>
              <w:pStyle w:val="22"/>
              <w:jc w:val="center"/>
              <w:rPr>
                <w:rFonts w:ascii="仿宋" w:hAnsi="仿宋" w:eastAsia="仿宋" w:cs="仿宋"/>
                <w:sz w:val="20"/>
              </w:rPr>
            </w:pPr>
            <w:r>
              <w:rPr>
                <w:rFonts w:hint="eastAsia" w:ascii="仿宋" w:hAnsi="仿宋" w:eastAsia="仿宋" w:cs="仿宋"/>
              </w:rPr>
              <w:t>合计</w:t>
            </w:r>
          </w:p>
        </w:tc>
        <w:tc>
          <w:tcPr>
            <w:tcW w:w="1969" w:type="dxa"/>
            <w:tcBorders>
              <w:left w:val="single" w:color="000000" w:sz="6" w:space="0"/>
              <w:bottom w:val="single" w:color="000000" w:sz="6" w:space="0"/>
            </w:tcBorders>
            <w:vAlign w:val="center"/>
          </w:tcPr>
          <w:p>
            <w:pPr>
              <w:pStyle w:val="22"/>
              <w:jc w:val="right"/>
              <w:rPr>
                <w:rFonts w:ascii="仿宋" w:hAnsi="仿宋" w:eastAsia="仿宋" w:cs="仿宋"/>
              </w:rPr>
            </w:pPr>
            <w:r>
              <w:rPr>
                <w:rFonts w:hint="eastAsia" w:ascii="仿宋" w:hAnsi="仿宋" w:eastAsia="仿宋" w:cs="仿宋"/>
              </w:rPr>
              <w:t>260.49</w:t>
            </w:r>
          </w:p>
        </w:tc>
        <w:tc>
          <w:tcPr>
            <w:tcW w:w="1499" w:type="dxa"/>
            <w:tcBorders>
              <w:left w:val="single" w:color="000000" w:sz="6" w:space="0"/>
              <w:bottom w:val="single" w:color="000000" w:sz="6" w:space="0"/>
            </w:tcBorders>
            <w:vAlign w:val="center"/>
          </w:tcPr>
          <w:p>
            <w:pPr>
              <w:pStyle w:val="22"/>
              <w:jc w:val="right"/>
              <w:rPr>
                <w:rFonts w:ascii="仿宋" w:hAnsi="仿宋" w:eastAsia="仿宋" w:cs="仿宋"/>
              </w:rPr>
            </w:pPr>
            <w:r>
              <w:rPr>
                <w:rFonts w:hint="eastAsia" w:ascii="仿宋" w:hAnsi="仿宋" w:eastAsia="仿宋" w:cs="仿宋"/>
              </w:rPr>
              <w:t>252.81</w:t>
            </w:r>
          </w:p>
        </w:tc>
        <w:tc>
          <w:tcPr>
            <w:tcW w:w="1512" w:type="dxa"/>
            <w:tcBorders>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7.68</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208</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社会保障和就业支出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197.52</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189.84</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7.68</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20805</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 xml:space="preserve">  行政事业单位养老支出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17.39</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17.39</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2080505</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 xml:space="preserve">    机关事业单位基本养老保险缴费支出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11.59</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11.59</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2080506</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 xml:space="preserve">    机关事业单位职业年金缴费支出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5.80</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5.80</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20899</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 xml:space="preserve">  其他社会保障和就业支出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180.13</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172.45</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7.68</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2089999</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 xml:space="preserve">    其他社会保障和就业支出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180.13</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172.45</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7.68</w:t>
            </w: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221</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住房保障支出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62.97</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62.97</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22102</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 xml:space="preserve">  住房改革支出</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62.97</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62.97</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2210201</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 xml:space="preserve">    住房公积金</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19.89</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19.89</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2210202</w:t>
            </w:r>
          </w:p>
        </w:tc>
        <w:tc>
          <w:tcPr>
            <w:tcW w:w="4332" w:type="dxa"/>
            <w:tcBorders>
              <w:top w:val="single" w:color="000000" w:sz="6" w:space="0"/>
              <w:left w:val="single" w:color="000000" w:sz="6" w:space="0"/>
              <w:bottom w:val="single" w:color="000000" w:sz="6" w:space="0"/>
              <w:right w:val="single" w:color="000000" w:sz="6" w:space="0"/>
            </w:tcBorders>
            <w:vAlign w:val="center"/>
          </w:tcPr>
          <w:p>
            <w:pPr>
              <w:pStyle w:val="22"/>
              <w:rPr>
                <w:rFonts w:ascii="仿宋" w:hAnsi="仿宋" w:eastAsia="仿宋" w:cs="仿宋"/>
              </w:rPr>
            </w:pPr>
            <w:r>
              <w:rPr>
                <w:rFonts w:hint="eastAsia" w:ascii="仿宋" w:hAnsi="仿宋" w:eastAsia="仿宋" w:cs="仿宋"/>
              </w:rPr>
              <w:t xml:space="preserve">    提租补贴</w:t>
            </w:r>
          </w:p>
        </w:tc>
        <w:tc>
          <w:tcPr>
            <w:tcW w:w="196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43.08</w:t>
            </w:r>
          </w:p>
        </w:tc>
        <w:tc>
          <w:tcPr>
            <w:tcW w:w="1499"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r>
              <w:rPr>
                <w:rFonts w:hint="eastAsia" w:ascii="仿宋" w:hAnsi="仿宋" w:eastAsia="仿宋" w:cs="仿宋"/>
              </w:rPr>
              <w:t>43.08</w:t>
            </w:r>
          </w:p>
        </w:tc>
        <w:tc>
          <w:tcPr>
            <w:tcW w:w="1512" w:type="dxa"/>
            <w:tcBorders>
              <w:top w:val="single" w:color="000000" w:sz="6" w:space="0"/>
              <w:left w:val="single" w:color="000000" w:sz="6" w:space="0"/>
              <w:bottom w:val="single" w:color="000000" w:sz="6" w:space="0"/>
              <w:right w:val="single" w:color="000000" w:sz="6" w:space="0"/>
            </w:tcBorders>
            <w:vAlign w:val="center"/>
          </w:tcPr>
          <w:p>
            <w:pPr>
              <w:pStyle w:val="22"/>
              <w:jc w:val="right"/>
              <w:rPr>
                <w:rFonts w:ascii="仿宋" w:hAnsi="仿宋" w:eastAsia="仿宋" w:cs="仿宋"/>
              </w:rPr>
            </w:pPr>
          </w:p>
        </w:tc>
      </w:tr>
    </w:tbl>
    <w:p>
      <w:pPr>
        <w:tabs>
          <w:tab w:val="left" w:pos="0"/>
        </w:tabs>
        <w:spacing w:before="25"/>
        <w:jc w:val="both"/>
        <w:rPr>
          <w:rFonts w:ascii="仿宋" w:hAnsi="仿宋" w:eastAsia="仿宋" w:cs="仿宋"/>
        </w:rPr>
      </w:pPr>
      <w:r>
        <w:rPr>
          <w:rFonts w:hint="eastAsia" w:ascii="仿宋" w:hAnsi="仿宋" w:eastAsia="仿宋" w:cs="仿宋"/>
        </w:rPr>
        <w:t>注：本表反映本年度一般公共预算财政拨款支出情况。本表金额单位转换时可能存在尾数误差。</w:t>
      </w:r>
    </w:p>
    <w:p>
      <w:pPr>
        <w:spacing w:before="25"/>
        <w:jc w:val="both"/>
        <w:rPr>
          <w:rFonts w:ascii="仿宋" w:hAnsi="仿宋" w:eastAsia="仿宋" w:cs="仿宋"/>
        </w:rPr>
        <w:sectPr>
          <w:footerReference r:id="rId17" w:type="default"/>
          <w:pgSz w:w="11906" w:h="16838"/>
          <w:pgMar w:top="720" w:right="720" w:bottom="720" w:left="720" w:header="170" w:footer="280" w:gutter="0"/>
          <w:pgNumType w:fmt="numberInDash"/>
          <w:cols w:space="720" w:num="1"/>
          <w:formProt w:val="0"/>
          <w:docGrid w:linePitch="100" w:charSpace="0"/>
        </w:sectPr>
      </w:pPr>
    </w:p>
    <w:tbl>
      <w:tblPr>
        <w:tblStyle w:val="13"/>
        <w:tblW w:w="10473" w:type="dxa"/>
        <w:tblInd w:w="65" w:type="dxa"/>
        <w:tblLayout w:type="fixed"/>
        <w:tblCellMar>
          <w:top w:w="55" w:type="dxa"/>
          <w:left w:w="55" w:type="dxa"/>
          <w:bottom w:w="55" w:type="dxa"/>
          <w:right w:w="55" w:type="dxa"/>
        </w:tblCellMar>
      </w:tblPr>
      <w:tblGrid>
        <w:gridCol w:w="1121"/>
        <w:gridCol w:w="3566"/>
        <w:gridCol w:w="2200"/>
        <w:gridCol w:w="1708"/>
        <w:gridCol w:w="1878"/>
      </w:tblGrid>
      <w:tr>
        <w:tblPrEx>
          <w:tblLayout w:type="fixed"/>
          <w:tblCellMar>
            <w:top w:w="55" w:type="dxa"/>
            <w:left w:w="55" w:type="dxa"/>
            <w:bottom w:w="55" w:type="dxa"/>
            <w:right w:w="55" w:type="dxa"/>
          </w:tblCellMar>
        </w:tblPrEx>
        <w:trPr>
          <w:trHeight w:val="319" w:hRule="atLeast"/>
        </w:trPr>
        <w:tc>
          <w:tcPr>
            <w:tcW w:w="10473" w:type="dxa"/>
            <w:gridSpan w:val="5"/>
          </w:tcPr>
          <w:p>
            <w:pPr>
              <w:pStyle w:val="22"/>
              <w:jc w:val="center"/>
              <w:rPr>
                <w:rFonts w:ascii="仿宋" w:hAnsi="仿宋" w:eastAsia="仿宋" w:cs="仿宋"/>
                <w:b/>
                <w:bCs/>
                <w:sz w:val="44"/>
                <w:szCs w:val="44"/>
              </w:rPr>
            </w:pPr>
            <w:r>
              <w:rPr>
                <w:rFonts w:hint="eastAsia"/>
                <w:b/>
                <w:bCs/>
                <w:color w:val="000000"/>
                <w:sz w:val="36"/>
                <w:szCs w:val="36"/>
                <w:lang w:eastAsia="ar-SA"/>
              </w:rPr>
              <w:t>一般公共预算基本支出决算表（经济科目）</w:t>
            </w:r>
          </w:p>
        </w:tc>
      </w:tr>
      <w:tr>
        <w:tblPrEx>
          <w:tblLayout w:type="fixed"/>
          <w:tblCellMar>
            <w:top w:w="55" w:type="dxa"/>
            <w:left w:w="55" w:type="dxa"/>
            <w:bottom w:w="55" w:type="dxa"/>
            <w:right w:w="55" w:type="dxa"/>
          </w:tblCellMar>
        </w:tblPrEx>
        <w:trPr>
          <w:trHeight w:val="199" w:hRule="atLeast"/>
        </w:trPr>
        <w:tc>
          <w:tcPr>
            <w:tcW w:w="8595" w:type="dxa"/>
            <w:gridSpan w:val="4"/>
            <w:vAlign w:val="center"/>
          </w:tcPr>
          <w:p>
            <w:pPr>
              <w:pStyle w:val="22"/>
              <w:jc w:val="right"/>
              <w:rPr>
                <w:rFonts w:ascii="仿宋" w:hAnsi="仿宋" w:eastAsia="仿宋" w:cs="仿宋"/>
                <w:color w:val="000000"/>
              </w:rPr>
            </w:pPr>
          </w:p>
        </w:tc>
        <w:tc>
          <w:tcPr>
            <w:tcW w:w="1878" w:type="dxa"/>
            <w:vAlign w:val="center"/>
          </w:tcPr>
          <w:p>
            <w:pPr>
              <w:pStyle w:val="22"/>
              <w:jc w:val="right"/>
              <w:rPr>
                <w:rFonts w:ascii="仿宋" w:hAnsi="仿宋" w:eastAsia="仿宋" w:cs="仿宋"/>
              </w:rPr>
            </w:pPr>
            <w:r>
              <w:rPr>
                <w:rFonts w:hint="eastAsia" w:ascii="仿宋" w:hAnsi="仿宋" w:eastAsia="仿宋" w:cs="仿宋"/>
              </w:rPr>
              <w:t>公开08表</w:t>
            </w:r>
          </w:p>
        </w:tc>
      </w:tr>
      <w:tr>
        <w:tblPrEx>
          <w:tblLayout w:type="fixed"/>
          <w:tblCellMar>
            <w:top w:w="55" w:type="dxa"/>
            <w:left w:w="55" w:type="dxa"/>
            <w:bottom w:w="55" w:type="dxa"/>
            <w:right w:w="55" w:type="dxa"/>
          </w:tblCellMar>
        </w:tblPrEx>
        <w:trPr>
          <w:trHeight w:val="320" w:hRule="atLeast"/>
        </w:trPr>
        <w:tc>
          <w:tcPr>
            <w:tcW w:w="8595" w:type="dxa"/>
            <w:gridSpan w:val="4"/>
            <w:vAlign w:val="center"/>
          </w:tcPr>
          <w:p>
            <w:pPr>
              <w:pStyle w:val="22"/>
              <w:rPr>
                <w:rFonts w:ascii="仿宋" w:hAnsi="仿宋" w:eastAsia="仿宋" w:cs="仿宋"/>
                <w:sz w:val="20"/>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江苏省社会捐助服务中心</w:t>
            </w:r>
          </w:p>
        </w:tc>
        <w:tc>
          <w:tcPr>
            <w:tcW w:w="1878" w:type="dxa"/>
            <w:vAlign w:val="center"/>
          </w:tcPr>
          <w:p>
            <w:pPr>
              <w:pStyle w:val="22"/>
              <w:jc w:val="right"/>
              <w:rPr>
                <w:rFonts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80" w:hRule="atLeast"/>
        </w:trPr>
        <w:tc>
          <w:tcPr>
            <w:tcW w:w="4687" w:type="dxa"/>
            <w:gridSpan w:val="2"/>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786" w:type="dxa"/>
            <w:gridSpan w:val="3"/>
            <w:tcBorders>
              <w:top w:val="single" w:color="000000"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sz w:val="20"/>
              </w:rPr>
            </w:pPr>
            <w:r>
              <w:rPr>
                <w:rFonts w:hint="eastAsia" w:ascii="仿宋" w:hAnsi="仿宋" w:eastAsia="仿宋" w:cs="仿宋"/>
              </w:rPr>
              <w:t>一般公共预算财政拨款基本支出</w:t>
            </w:r>
          </w:p>
        </w:tc>
      </w:tr>
      <w:tr>
        <w:tblPrEx>
          <w:tblLayout w:type="fixed"/>
          <w:tblCellMar>
            <w:top w:w="55" w:type="dxa"/>
            <w:left w:w="55" w:type="dxa"/>
            <w:bottom w:w="55" w:type="dxa"/>
            <w:right w:w="55" w:type="dxa"/>
          </w:tblCellMar>
        </w:tblPrEx>
        <w:trPr>
          <w:trHeight w:val="474" w:hRule="atLeast"/>
        </w:trPr>
        <w:tc>
          <w:tcPr>
            <w:tcW w:w="1121"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经济分类科目编码</w:t>
            </w:r>
          </w:p>
        </w:tc>
        <w:tc>
          <w:tcPr>
            <w:tcW w:w="3566"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2200"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合计</w:t>
            </w:r>
          </w:p>
        </w:tc>
        <w:tc>
          <w:tcPr>
            <w:tcW w:w="1708"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人员经费</w:t>
            </w:r>
          </w:p>
        </w:tc>
        <w:tc>
          <w:tcPr>
            <w:tcW w:w="1878" w:type="dxa"/>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394" w:hRule="exact"/>
        </w:trPr>
        <w:tc>
          <w:tcPr>
            <w:tcW w:w="4687"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合计</w:t>
            </w:r>
          </w:p>
        </w:tc>
        <w:tc>
          <w:tcPr>
            <w:tcW w:w="2200" w:type="dxa"/>
            <w:tcBorders>
              <w:left w:val="single" w:color="000000" w:sz="4" w:space="0"/>
              <w:bottom w:val="single" w:color="000000" w:sz="4" w:space="0"/>
            </w:tcBorders>
            <w:vAlign w:val="center"/>
          </w:tcPr>
          <w:p>
            <w:pPr>
              <w:pStyle w:val="22"/>
              <w:jc w:val="right"/>
              <w:rPr>
                <w:rFonts w:ascii="仿宋" w:hAnsi="仿宋" w:eastAsia="仿宋" w:cs="仿宋"/>
              </w:rPr>
            </w:pPr>
            <w:r>
              <w:rPr>
                <w:rFonts w:hint="eastAsia" w:ascii="仿宋" w:hAnsi="仿宋" w:eastAsia="仿宋" w:cs="仿宋"/>
              </w:rPr>
              <w:t>252.81</w:t>
            </w:r>
          </w:p>
        </w:tc>
        <w:tc>
          <w:tcPr>
            <w:tcW w:w="1708" w:type="dxa"/>
            <w:tcBorders>
              <w:left w:val="single" w:color="000000" w:sz="4" w:space="0"/>
              <w:bottom w:val="single" w:color="000000" w:sz="4" w:space="0"/>
            </w:tcBorders>
            <w:vAlign w:val="center"/>
          </w:tcPr>
          <w:p>
            <w:pPr>
              <w:pStyle w:val="22"/>
              <w:jc w:val="right"/>
              <w:rPr>
                <w:rFonts w:ascii="仿宋" w:hAnsi="仿宋" w:eastAsia="仿宋" w:cs="仿宋"/>
              </w:rPr>
            </w:pPr>
            <w:r>
              <w:rPr>
                <w:rFonts w:hint="eastAsia" w:ascii="仿宋" w:hAnsi="仿宋" w:eastAsia="仿宋" w:cs="仿宋"/>
              </w:rPr>
              <w:t>235.59</w:t>
            </w:r>
          </w:p>
        </w:tc>
        <w:tc>
          <w:tcPr>
            <w:tcW w:w="1878"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17.22</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235.59</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235.59</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基本工资</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36.85</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36.85</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津贴补贴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47.42</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47.42</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奖金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0.30</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0.30</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伙食补助费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绩效工资</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82.70</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82.70</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机关事业单位基本养老保险缴费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20.19</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20.19</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职业年金缴费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9.50</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9.50</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职工基本医疗保险缴费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公务员医疗补助缴费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其他社会保障缴费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0.06</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0.06</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住房公积金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21.59</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21.59</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30114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医疗费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0.60</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0.60</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30199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16.37</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16.37</w:t>
            </w: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17.22</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17.22</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办公费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6.39</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6.39</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印刷费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咨询费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手续费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0.05</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0.05</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水费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电费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邮电费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0.09</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0.09</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取暖费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物业管理费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差旅费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1.03</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1.03</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因公出国（境）费用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维修（护）费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租赁费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会议费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培训费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公务接待费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专用材料费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被装购置费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专用燃料费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劳务费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委托业务费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工会经费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1.39</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1.39</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福利费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2.28</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2.28</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30231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公务用车运行维护费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2.44</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2.44</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30239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其他交通费用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30240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税金及附加费用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3.55</w:t>
            </w: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r>
              <w:rPr>
                <w:rFonts w:hint="eastAsia" w:ascii="仿宋" w:hAnsi="仿宋" w:eastAsia="仿宋" w:cs="仿宋"/>
              </w:rPr>
              <w:t>3.55</w:t>
            </w: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离休费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退休费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退职（役）费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抚恤金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生活补助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救济费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医疗费补助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助学金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奖励金</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个人农业生产补贴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代缴社会保险费</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30399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债务利息及费用支出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30701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国内债务付息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30702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国外债务付息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30703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国内债务发行费用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30704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国外债务发行费用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房屋建筑物购建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办公设备购置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基础设施建设</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大型修缮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信息网络及软件购置更新</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物资储备</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土地补偿</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31010</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安置补助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地上附着物和青苗补偿</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拆迁补偿</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公务用车购置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其他交通工具购置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31021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文物和陈列品购置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31022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无形资产购置</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312</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31201</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资本金注入</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31203</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政府投资基金股权投资</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31204</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费用补贴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31205</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利息补贴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31299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39906</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赠与</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39907</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国家赔偿费用支出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39908</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对民间非营利组织和群众性自治组织补贴</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39999</w:t>
            </w:r>
          </w:p>
        </w:tc>
        <w:tc>
          <w:tcPr>
            <w:tcW w:w="3566"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bl>
    <w:p>
      <w:pPr>
        <w:spacing w:before="25"/>
        <w:ind w:right="-92" w:rightChars="-42"/>
        <w:jc w:val="both"/>
        <w:rPr>
          <w:rFonts w:ascii="仿宋" w:hAnsi="仿宋" w:eastAsia="仿宋" w:cs="仿宋"/>
        </w:rPr>
      </w:pPr>
      <w:r>
        <w:rPr>
          <w:rFonts w:hint="eastAsia" w:ascii="仿宋" w:hAnsi="仿宋" w:eastAsia="仿宋" w:cs="仿宋"/>
        </w:rPr>
        <w:t>注：本表反映本年度一般公共预算财政拨款基本支出情况。本表金额单位转换时可能存在尾数误差。</w:t>
      </w:r>
    </w:p>
    <w:p>
      <w:pPr>
        <w:spacing w:before="25"/>
        <w:jc w:val="both"/>
        <w:rPr>
          <w:rFonts w:ascii="仿宋" w:hAnsi="仿宋" w:eastAsia="仿宋" w:cs="仿宋"/>
        </w:rPr>
        <w:sectPr>
          <w:footerReference r:id="rId18" w:type="default"/>
          <w:pgSz w:w="11906" w:h="16838"/>
          <w:pgMar w:top="720" w:right="720" w:bottom="720" w:left="720" w:header="170" w:footer="280" w:gutter="0"/>
          <w:pgNumType w:fmt="numberInDash"/>
          <w:cols w:space="720" w:num="1"/>
          <w:formProt w:val="0"/>
          <w:docGrid w:linePitch="100" w:charSpace="0"/>
        </w:sectPr>
      </w:pPr>
    </w:p>
    <w:tbl>
      <w:tblPr>
        <w:tblStyle w:val="13"/>
        <w:tblW w:w="16486" w:type="dxa"/>
        <w:tblInd w:w="62" w:type="dxa"/>
        <w:tblLayout w:type="fixed"/>
        <w:tblCellMar>
          <w:top w:w="55" w:type="dxa"/>
          <w:left w:w="55" w:type="dxa"/>
          <w:bottom w:w="55" w:type="dxa"/>
          <w:right w:w="55" w:type="dxa"/>
        </w:tblCellMar>
      </w:tblPr>
      <w:tblGrid>
        <w:gridCol w:w="1044"/>
        <w:gridCol w:w="1042"/>
        <w:gridCol w:w="1020"/>
        <w:gridCol w:w="1029"/>
        <w:gridCol w:w="998"/>
        <w:gridCol w:w="1026"/>
        <w:gridCol w:w="1043"/>
        <w:gridCol w:w="1010"/>
        <w:gridCol w:w="1058"/>
        <w:gridCol w:w="1010"/>
        <w:gridCol w:w="948"/>
        <w:gridCol w:w="1089"/>
        <w:gridCol w:w="1042"/>
        <w:gridCol w:w="1043"/>
        <w:gridCol w:w="1057"/>
        <w:gridCol w:w="1027"/>
      </w:tblGrid>
      <w:tr>
        <w:tblPrEx>
          <w:tblLayout w:type="fixed"/>
          <w:tblCellMar>
            <w:top w:w="55" w:type="dxa"/>
            <w:left w:w="55" w:type="dxa"/>
            <w:bottom w:w="55" w:type="dxa"/>
            <w:right w:w="55" w:type="dxa"/>
          </w:tblCellMar>
        </w:tblPrEx>
        <w:trPr>
          <w:trHeight w:val="321" w:hRule="atLeast"/>
        </w:trPr>
        <w:tc>
          <w:tcPr>
            <w:tcW w:w="16486" w:type="dxa"/>
            <w:gridSpan w:val="16"/>
          </w:tcPr>
          <w:p>
            <w:pPr>
              <w:pStyle w:val="22"/>
              <w:jc w:val="center"/>
              <w:rPr>
                <w:rFonts w:ascii="仿宋" w:hAnsi="仿宋" w:eastAsia="仿宋" w:cs="仿宋"/>
                <w:b/>
                <w:bCs/>
                <w:sz w:val="44"/>
                <w:szCs w:val="44"/>
              </w:rPr>
            </w:pPr>
            <w:r>
              <w:rPr>
                <w:rFonts w:hint="eastAsia"/>
                <w:b/>
                <w:bCs/>
                <w:color w:val="000000"/>
                <w:sz w:val="36"/>
                <w:szCs w:val="36"/>
                <w:lang w:eastAsia="ar-SA"/>
              </w:rPr>
              <w:t>一般公共预算“三公”经费、会议费、培训费支出决算表</w:t>
            </w:r>
          </w:p>
        </w:tc>
      </w:tr>
      <w:tr>
        <w:tblPrEx>
          <w:tblLayout w:type="fixed"/>
          <w:tblCellMar>
            <w:top w:w="55" w:type="dxa"/>
            <w:left w:w="55" w:type="dxa"/>
            <w:bottom w:w="55" w:type="dxa"/>
            <w:right w:w="55" w:type="dxa"/>
          </w:tblCellMar>
        </w:tblPrEx>
        <w:trPr>
          <w:trHeight w:val="207" w:hRule="atLeast"/>
        </w:trPr>
        <w:tc>
          <w:tcPr>
            <w:tcW w:w="16486" w:type="dxa"/>
            <w:gridSpan w:val="16"/>
          </w:tcPr>
          <w:p>
            <w:pPr>
              <w:pStyle w:val="22"/>
              <w:jc w:val="right"/>
              <w:rPr>
                <w:rFonts w:ascii="仿宋" w:hAnsi="仿宋" w:eastAsia="仿宋" w:cs="仿宋"/>
                <w:sz w:val="20"/>
              </w:rPr>
            </w:pPr>
            <w:r>
              <w:rPr>
                <w:rFonts w:hint="eastAsia" w:ascii="仿宋" w:hAnsi="仿宋" w:eastAsia="仿宋" w:cs="仿宋"/>
              </w:rPr>
              <w:t>公开09表</w:t>
            </w:r>
          </w:p>
        </w:tc>
      </w:tr>
      <w:tr>
        <w:tblPrEx>
          <w:tblLayout w:type="fixed"/>
          <w:tblCellMar>
            <w:top w:w="55" w:type="dxa"/>
            <w:left w:w="55" w:type="dxa"/>
            <w:bottom w:w="55" w:type="dxa"/>
            <w:right w:w="55" w:type="dxa"/>
          </w:tblCellMar>
        </w:tblPrEx>
        <w:trPr>
          <w:trHeight w:val="103" w:hRule="atLeast"/>
        </w:trPr>
        <w:tc>
          <w:tcPr>
            <w:tcW w:w="8212" w:type="dxa"/>
            <w:gridSpan w:val="8"/>
            <w:tcBorders>
              <w:bottom w:val="single" w:color="auto" w:sz="4" w:space="0"/>
            </w:tcBorders>
          </w:tcPr>
          <w:p>
            <w:pPr>
              <w:pStyle w:val="22"/>
              <w:rPr>
                <w:rFonts w:ascii="仿宋" w:hAnsi="仿宋" w:eastAsia="仿宋" w:cs="仿宋"/>
                <w:sz w:val="20"/>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江苏省社会捐助服务中心</w:t>
            </w:r>
          </w:p>
        </w:tc>
        <w:tc>
          <w:tcPr>
            <w:tcW w:w="8274" w:type="dxa"/>
            <w:gridSpan w:val="8"/>
            <w:tcBorders>
              <w:bottom w:val="single" w:color="auto" w:sz="4" w:space="0"/>
            </w:tcBorders>
          </w:tcPr>
          <w:p>
            <w:pPr>
              <w:pStyle w:val="22"/>
              <w:jc w:val="right"/>
              <w:rPr>
                <w:rFonts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71" w:hRule="atLeast"/>
        </w:trPr>
        <w:tc>
          <w:tcPr>
            <w:tcW w:w="8212" w:type="dxa"/>
            <w:gridSpan w:val="8"/>
            <w:tcBorders>
              <w:top w:val="single" w:color="auto" w:sz="4" w:space="0"/>
              <w:left w:val="single" w:color="auto" w:sz="4" w:space="0"/>
              <w:bottom w:val="single" w:color="auto" w:sz="4" w:space="0"/>
              <w:right w:val="single" w:color="auto" w:sz="4" w:space="0"/>
            </w:tcBorders>
          </w:tcPr>
          <w:p>
            <w:pPr>
              <w:pStyle w:val="22"/>
              <w:jc w:val="center"/>
              <w:rPr>
                <w:rFonts w:ascii="仿宋" w:hAnsi="仿宋" w:eastAsia="仿宋" w:cs="仿宋"/>
              </w:rPr>
            </w:pPr>
            <w:r>
              <w:rPr>
                <w:rFonts w:hint="eastAsia" w:ascii="仿宋" w:hAnsi="仿宋" w:eastAsia="仿宋" w:cs="仿宋"/>
                <w:lang w:val="en-US"/>
              </w:rPr>
              <w:t>预算数</w:t>
            </w:r>
          </w:p>
        </w:tc>
        <w:tc>
          <w:tcPr>
            <w:tcW w:w="8274" w:type="dxa"/>
            <w:gridSpan w:val="8"/>
            <w:tcBorders>
              <w:top w:val="single" w:color="auto" w:sz="4" w:space="0"/>
              <w:left w:val="single" w:color="auto" w:sz="4" w:space="0"/>
              <w:bottom w:val="single" w:color="auto" w:sz="4" w:space="0"/>
              <w:right w:val="single" w:color="auto" w:sz="4" w:space="0"/>
            </w:tcBorders>
          </w:tcPr>
          <w:p>
            <w:pPr>
              <w:pStyle w:val="22"/>
              <w:jc w:val="center"/>
              <w:rPr>
                <w:rFonts w:ascii="仿宋" w:hAnsi="仿宋" w:eastAsia="仿宋" w:cs="仿宋"/>
                <w:lang w:val="en-US"/>
              </w:rPr>
            </w:pPr>
            <w:r>
              <w:rPr>
                <w:rFonts w:hint="eastAsia" w:ascii="仿宋" w:hAnsi="仿宋" w:eastAsia="仿宋" w:cs="仿宋"/>
                <w:lang w:val="en-US"/>
              </w:rPr>
              <w:t>决算数</w:t>
            </w:r>
          </w:p>
        </w:tc>
      </w:tr>
      <w:tr>
        <w:tblPrEx>
          <w:tblLayout w:type="fixed"/>
          <w:tblCellMar>
            <w:top w:w="55" w:type="dxa"/>
            <w:left w:w="55" w:type="dxa"/>
            <w:bottom w:w="55" w:type="dxa"/>
            <w:right w:w="55" w:type="dxa"/>
          </w:tblCellMar>
        </w:tblPrEx>
        <w:trPr>
          <w:trHeight w:val="179" w:hRule="atLeast"/>
        </w:trPr>
        <w:tc>
          <w:tcPr>
            <w:tcW w:w="6159" w:type="dxa"/>
            <w:gridSpan w:val="6"/>
            <w:tcBorders>
              <w:top w:val="single" w:color="auto"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“三公”经费</w:t>
            </w:r>
          </w:p>
        </w:tc>
        <w:tc>
          <w:tcPr>
            <w:tcW w:w="1043" w:type="dxa"/>
            <w:vMerge w:val="restart"/>
            <w:tcBorders>
              <w:top w:val="single" w:color="auto"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会议费</w:t>
            </w:r>
          </w:p>
        </w:tc>
        <w:tc>
          <w:tcPr>
            <w:tcW w:w="1010" w:type="dxa"/>
            <w:vMerge w:val="restart"/>
            <w:tcBorders>
              <w:top w:val="single" w:color="auto" w:sz="4" w:space="0"/>
              <w:left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培训费</w:t>
            </w:r>
          </w:p>
        </w:tc>
        <w:tc>
          <w:tcPr>
            <w:tcW w:w="6190" w:type="dxa"/>
            <w:gridSpan w:val="6"/>
            <w:tcBorders>
              <w:top w:val="single" w:color="auto"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“三公”经费</w:t>
            </w:r>
          </w:p>
        </w:tc>
        <w:tc>
          <w:tcPr>
            <w:tcW w:w="1057" w:type="dxa"/>
            <w:vMerge w:val="restart"/>
            <w:tcBorders>
              <w:top w:val="single" w:color="auto" w:sz="4" w:space="0"/>
              <w:left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会议费</w:t>
            </w:r>
          </w:p>
        </w:tc>
        <w:tc>
          <w:tcPr>
            <w:tcW w:w="1027" w:type="dxa"/>
            <w:vMerge w:val="restart"/>
            <w:tcBorders>
              <w:top w:val="single" w:color="auto" w:sz="4" w:space="0"/>
              <w:left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培训费</w:t>
            </w:r>
          </w:p>
        </w:tc>
      </w:tr>
      <w:tr>
        <w:tblPrEx>
          <w:tblLayout w:type="fixed"/>
          <w:tblCellMar>
            <w:top w:w="55" w:type="dxa"/>
            <w:left w:w="55" w:type="dxa"/>
            <w:bottom w:w="55" w:type="dxa"/>
            <w:right w:w="55" w:type="dxa"/>
          </w:tblCellMar>
        </w:tblPrEx>
        <w:trPr>
          <w:trHeight w:val="297" w:hRule="atLeast"/>
        </w:trPr>
        <w:tc>
          <w:tcPr>
            <w:tcW w:w="1044" w:type="dxa"/>
            <w:vMerge w:val="restart"/>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“三公”经费合计</w:t>
            </w:r>
          </w:p>
        </w:tc>
        <w:tc>
          <w:tcPr>
            <w:tcW w:w="1042" w:type="dxa"/>
            <w:vMerge w:val="restart"/>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因公出国（境）费</w:t>
            </w:r>
          </w:p>
        </w:tc>
        <w:tc>
          <w:tcPr>
            <w:tcW w:w="3047" w:type="dxa"/>
            <w:gridSpan w:val="3"/>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公务用车购置及运行费</w:t>
            </w:r>
          </w:p>
        </w:tc>
        <w:tc>
          <w:tcPr>
            <w:tcW w:w="1026" w:type="dxa"/>
            <w:vMerge w:val="restart"/>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公务</w:t>
            </w:r>
          </w:p>
          <w:p>
            <w:pPr>
              <w:pStyle w:val="22"/>
              <w:jc w:val="center"/>
              <w:rPr>
                <w:rFonts w:ascii="仿宋" w:hAnsi="仿宋" w:eastAsia="仿宋" w:cs="仿宋"/>
              </w:rPr>
            </w:pPr>
            <w:r>
              <w:rPr>
                <w:rFonts w:hint="eastAsia" w:ascii="仿宋" w:hAnsi="仿宋" w:eastAsia="仿宋" w:cs="仿宋"/>
              </w:rPr>
              <w:t>接待费</w:t>
            </w:r>
          </w:p>
        </w:tc>
        <w:tc>
          <w:tcPr>
            <w:tcW w:w="1043" w:type="dxa"/>
            <w:vMerge w:val="continue"/>
            <w:tcBorders>
              <w:left w:val="single" w:color="000000" w:sz="4" w:space="0"/>
              <w:bottom w:val="single" w:color="000000" w:sz="4" w:space="0"/>
            </w:tcBorders>
            <w:vAlign w:val="center"/>
          </w:tcPr>
          <w:p>
            <w:pPr>
              <w:jc w:val="center"/>
              <w:rPr>
                <w:rFonts w:ascii="仿宋" w:hAnsi="仿宋" w:eastAsia="仿宋" w:cs="仿宋"/>
                <w:sz w:val="20"/>
              </w:rPr>
            </w:pPr>
          </w:p>
        </w:tc>
        <w:tc>
          <w:tcPr>
            <w:tcW w:w="1010" w:type="dxa"/>
            <w:vMerge w:val="continue"/>
            <w:tcBorders>
              <w:left w:val="single" w:color="000000" w:sz="4" w:space="0"/>
              <w:right w:val="single" w:color="000000" w:sz="4" w:space="0"/>
            </w:tcBorders>
            <w:vAlign w:val="center"/>
          </w:tcPr>
          <w:p>
            <w:pPr>
              <w:jc w:val="center"/>
              <w:rPr>
                <w:rFonts w:ascii="仿宋" w:hAnsi="仿宋" w:eastAsia="仿宋" w:cs="仿宋"/>
                <w:sz w:val="20"/>
              </w:rPr>
            </w:pPr>
          </w:p>
        </w:tc>
        <w:tc>
          <w:tcPr>
            <w:tcW w:w="1058" w:type="dxa"/>
            <w:vMerge w:val="restart"/>
            <w:tcBorders>
              <w:left w:val="single" w:color="000000" w:sz="4" w:space="0"/>
              <w:right w:val="single" w:color="000000" w:sz="4" w:space="0"/>
            </w:tcBorders>
            <w:vAlign w:val="center"/>
          </w:tcPr>
          <w:p>
            <w:pPr>
              <w:pStyle w:val="22"/>
              <w:jc w:val="center"/>
              <w:rPr>
                <w:rFonts w:ascii="仿宋" w:hAnsi="仿宋" w:eastAsia="仿宋" w:cs="仿宋"/>
                <w:sz w:val="20"/>
              </w:rPr>
            </w:pPr>
            <w:r>
              <w:rPr>
                <w:rFonts w:hint="eastAsia" w:ascii="仿宋" w:hAnsi="仿宋" w:eastAsia="仿宋" w:cs="仿宋"/>
              </w:rPr>
              <w:t>“三公”经费合计</w:t>
            </w:r>
          </w:p>
        </w:tc>
        <w:tc>
          <w:tcPr>
            <w:tcW w:w="1010" w:type="dxa"/>
            <w:vMerge w:val="restart"/>
            <w:tcBorders>
              <w:left w:val="single" w:color="000000" w:sz="4" w:space="0"/>
              <w:right w:val="single" w:color="000000" w:sz="4" w:space="0"/>
            </w:tcBorders>
            <w:vAlign w:val="center"/>
          </w:tcPr>
          <w:p>
            <w:pPr>
              <w:pStyle w:val="22"/>
              <w:jc w:val="center"/>
              <w:rPr>
                <w:rFonts w:ascii="仿宋" w:hAnsi="仿宋" w:eastAsia="仿宋" w:cs="仿宋"/>
                <w:sz w:val="20"/>
              </w:rPr>
            </w:pPr>
            <w:r>
              <w:rPr>
                <w:rFonts w:hint="eastAsia" w:ascii="仿宋" w:hAnsi="仿宋" w:eastAsia="仿宋" w:cs="仿宋"/>
              </w:rPr>
              <w:t>因公出国（境）费</w:t>
            </w:r>
          </w:p>
        </w:tc>
        <w:tc>
          <w:tcPr>
            <w:tcW w:w="3079" w:type="dxa"/>
            <w:gridSpan w:val="3"/>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sz w:val="20"/>
              </w:rPr>
            </w:pPr>
            <w:r>
              <w:rPr>
                <w:rFonts w:hint="eastAsia" w:ascii="仿宋" w:hAnsi="仿宋" w:eastAsia="仿宋" w:cs="仿宋"/>
              </w:rPr>
              <w:t>公务用车购置及运行费</w:t>
            </w:r>
          </w:p>
        </w:tc>
        <w:tc>
          <w:tcPr>
            <w:tcW w:w="1043" w:type="dxa"/>
            <w:vMerge w:val="restart"/>
            <w:tcBorders>
              <w:left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公务</w:t>
            </w:r>
          </w:p>
          <w:p>
            <w:pPr>
              <w:pStyle w:val="22"/>
              <w:jc w:val="center"/>
              <w:rPr>
                <w:rFonts w:ascii="仿宋" w:hAnsi="仿宋" w:eastAsia="仿宋" w:cs="仿宋"/>
                <w:sz w:val="20"/>
              </w:rPr>
            </w:pPr>
            <w:r>
              <w:rPr>
                <w:rFonts w:hint="eastAsia" w:ascii="仿宋" w:hAnsi="仿宋" w:eastAsia="仿宋" w:cs="仿宋"/>
              </w:rPr>
              <w:t>接待费</w:t>
            </w:r>
          </w:p>
        </w:tc>
        <w:tc>
          <w:tcPr>
            <w:tcW w:w="1057" w:type="dxa"/>
            <w:vMerge w:val="continue"/>
            <w:tcBorders>
              <w:left w:val="single" w:color="000000" w:sz="4" w:space="0"/>
              <w:right w:val="single" w:color="000000" w:sz="4" w:space="0"/>
            </w:tcBorders>
            <w:vAlign w:val="center"/>
          </w:tcPr>
          <w:p>
            <w:pPr>
              <w:jc w:val="center"/>
              <w:rPr>
                <w:rFonts w:ascii="仿宋" w:hAnsi="仿宋" w:eastAsia="仿宋" w:cs="仿宋"/>
                <w:sz w:val="20"/>
              </w:rPr>
            </w:pPr>
          </w:p>
        </w:tc>
        <w:tc>
          <w:tcPr>
            <w:tcW w:w="1027" w:type="dxa"/>
            <w:vMerge w:val="continue"/>
            <w:tcBorders>
              <w:left w:val="single" w:color="000000" w:sz="4" w:space="0"/>
              <w:right w:val="single" w:color="000000" w:sz="4" w:space="0"/>
            </w:tcBorders>
            <w:vAlign w:val="center"/>
          </w:tcPr>
          <w:p>
            <w:pPr>
              <w:jc w:val="center"/>
              <w:rPr>
                <w:rFonts w:ascii="仿宋" w:hAnsi="仿宋" w:eastAsia="仿宋" w:cs="仿宋"/>
                <w:sz w:val="20"/>
              </w:rPr>
            </w:pPr>
          </w:p>
        </w:tc>
      </w:tr>
      <w:tr>
        <w:tblPrEx>
          <w:tblLayout w:type="fixed"/>
          <w:tblCellMar>
            <w:top w:w="55" w:type="dxa"/>
            <w:left w:w="55" w:type="dxa"/>
            <w:bottom w:w="55" w:type="dxa"/>
            <w:right w:w="55" w:type="dxa"/>
          </w:tblCellMar>
        </w:tblPrEx>
        <w:trPr>
          <w:trHeight w:val="621" w:hRule="exact"/>
        </w:trPr>
        <w:tc>
          <w:tcPr>
            <w:tcW w:w="1044" w:type="dxa"/>
            <w:vMerge w:val="continue"/>
            <w:tcBorders>
              <w:left w:val="single" w:color="000000" w:sz="4" w:space="0"/>
              <w:bottom w:val="single" w:color="000000" w:sz="4" w:space="0"/>
            </w:tcBorders>
          </w:tcPr>
          <w:p>
            <w:pPr>
              <w:rPr>
                <w:rFonts w:ascii="仿宋" w:hAnsi="仿宋" w:eastAsia="仿宋" w:cs="仿宋"/>
                <w:sz w:val="2"/>
                <w:szCs w:val="2"/>
              </w:rPr>
            </w:pPr>
          </w:p>
        </w:tc>
        <w:tc>
          <w:tcPr>
            <w:tcW w:w="1042" w:type="dxa"/>
            <w:vMerge w:val="continue"/>
            <w:tcBorders>
              <w:left w:val="single" w:color="000000" w:sz="4" w:space="0"/>
              <w:bottom w:val="single" w:color="000000" w:sz="4" w:space="0"/>
            </w:tcBorders>
          </w:tcPr>
          <w:p>
            <w:pPr>
              <w:rPr>
                <w:rFonts w:ascii="仿宋" w:hAnsi="仿宋" w:eastAsia="仿宋" w:cs="仿宋"/>
                <w:sz w:val="2"/>
                <w:szCs w:val="2"/>
              </w:rPr>
            </w:pPr>
          </w:p>
        </w:tc>
        <w:tc>
          <w:tcPr>
            <w:tcW w:w="1020" w:type="dxa"/>
            <w:tcBorders>
              <w:left w:val="single" w:color="000000" w:sz="4" w:space="0"/>
              <w:bottom w:val="single" w:color="000000" w:sz="4" w:space="0"/>
            </w:tcBorders>
            <w:vAlign w:val="center"/>
          </w:tcPr>
          <w:p>
            <w:pPr>
              <w:pStyle w:val="22"/>
              <w:jc w:val="center"/>
              <w:rPr>
                <w:rFonts w:ascii="仿宋" w:hAnsi="仿宋" w:eastAsia="仿宋" w:cs="仿宋"/>
              </w:rPr>
            </w:pPr>
            <w:r>
              <w:rPr>
                <w:rFonts w:ascii="仿宋" w:hAnsi="仿宋" w:eastAsia="仿宋" w:cs="仿宋"/>
              </w:rPr>
              <w:t>小计</w:t>
            </w:r>
          </w:p>
        </w:tc>
        <w:tc>
          <w:tcPr>
            <w:tcW w:w="1029"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公务用车购置费</w:t>
            </w:r>
          </w:p>
        </w:tc>
        <w:tc>
          <w:tcPr>
            <w:tcW w:w="998"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公务用车运行费</w:t>
            </w:r>
          </w:p>
        </w:tc>
        <w:tc>
          <w:tcPr>
            <w:tcW w:w="1026" w:type="dxa"/>
            <w:vMerge w:val="continue"/>
            <w:tcBorders>
              <w:left w:val="single" w:color="000000" w:sz="4" w:space="0"/>
              <w:bottom w:val="single" w:color="000000" w:sz="4" w:space="0"/>
            </w:tcBorders>
          </w:tcPr>
          <w:p>
            <w:pPr>
              <w:rPr>
                <w:rFonts w:ascii="仿宋" w:hAnsi="仿宋" w:eastAsia="仿宋" w:cs="仿宋"/>
                <w:sz w:val="2"/>
                <w:szCs w:val="2"/>
              </w:rPr>
            </w:pPr>
          </w:p>
        </w:tc>
        <w:tc>
          <w:tcPr>
            <w:tcW w:w="1043" w:type="dxa"/>
            <w:vMerge w:val="continue"/>
            <w:tcBorders>
              <w:left w:val="single" w:color="000000" w:sz="4" w:space="0"/>
              <w:bottom w:val="single" w:color="000000" w:sz="4" w:space="0"/>
            </w:tcBorders>
          </w:tcPr>
          <w:p>
            <w:pPr>
              <w:rPr>
                <w:rFonts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tcPr>
          <w:p>
            <w:pPr>
              <w:rPr>
                <w:rFonts w:ascii="仿宋" w:hAnsi="仿宋" w:eastAsia="仿宋" w:cs="仿宋"/>
                <w:sz w:val="2"/>
                <w:szCs w:val="2"/>
              </w:rPr>
            </w:pPr>
          </w:p>
        </w:tc>
        <w:tc>
          <w:tcPr>
            <w:tcW w:w="1058" w:type="dxa"/>
            <w:vMerge w:val="continue"/>
            <w:tcBorders>
              <w:left w:val="single" w:color="000000" w:sz="4" w:space="0"/>
              <w:bottom w:val="single" w:color="000000" w:sz="4" w:space="0"/>
              <w:right w:val="single" w:color="000000" w:sz="4" w:space="0"/>
            </w:tcBorders>
          </w:tcPr>
          <w:p>
            <w:pPr>
              <w:rPr>
                <w:rFonts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tcPr>
          <w:p>
            <w:pPr>
              <w:rPr>
                <w:rFonts w:ascii="仿宋" w:hAnsi="仿宋" w:eastAsia="仿宋" w:cs="仿宋"/>
                <w:sz w:val="2"/>
                <w:szCs w:val="2"/>
              </w:rPr>
            </w:pPr>
          </w:p>
        </w:tc>
        <w:tc>
          <w:tcPr>
            <w:tcW w:w="948" w:type="dxa"/>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sz w:val="2"/>
                <w:szCs w:val="2"/>
              </w:rPr>
            </w:pPr>
            <w:r>
              <w:rPr>
                <w:rFonts w:ascii="仿宋" w:hAnsi="仿宋" w:eastAsia="仿宋" w:cs="仿宋"/>
              </w:rPr>
              <w:t>小计</w:t>
            </w:r>
          </w:p>
        </w:tc>
        <w:tc>
          <w:tcPr>
            <w:tcW w:w="1089" w:type="dxa"/>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sz w:val="2"/>
                <w:szCs w:val="2"/>
              </w:rPr>
            </w:pPr>
            <w:r>
              <w:rPr>
                <w:rFonts w:hint="eastAsia" w:ascii="仿宋" w:hAnsi="仿宋" w:eastAsia="仿宋" w:cs="仿宋"/>
              </w:rPr>
              <w:t>公务用车购置费</w:t>
            </w:r>
          </w:p>
        </w:tc>
        <w:tc>
          <w:tcPr>
            <w:tcW w:w="1042" w:type="dxa"/>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sz w:val="2"/>
                <w:szCs w:val="2"/>
              </w:rPr>
            </w:pPr>
            <w:r>
              <w:rPr>
                <w:rFonts w:hint="eastAsia" w:ascii="仿宋" w:hAnsi="仿宋" w:eastAsia="仿宋" w:cs="仿宋"/>
              </w:rPr>
              <w:t>公务用车运行费</w:t>
            </w:r>
          </w:p>
        </w:tc>
        <w:tc>
          <w:tcPr>
            <w:tcW w:w="1043" w:type="dxa"/>
            <w:vMerge w:val="continue"/>
            <w:tcBorders>
              <w:left w:val="single" w:color="000000" w:sz="4" w:space="0"/>
              <w:bottom w:val="single" w:color="000000" w:sz="4" w:space="0"/>
              <w:right w:val="single" w:color="000000" w:sz="4" w:space="0"/>
            </w:tcBorders>
          </w:tcPr>
          <w:p>
            <w:pPr>
              <w:rPr>
                <w:rFonts w:ascii="仿宋" w:hAnsi="仿宋" w:eastAsia="仿宋" w:cs="仿宋"/>
                <w:sz w:val="2"/>
                <w:szCs w:val="2"/>
              </w:rPr>
            </w:pPr>
          </w:p>
        </w:tc>
        <w:tc>
          <w:tcPr>
            <w:tcW w:w="1057" w:type="dxa"/>
            <w:vMerge w:val="continue"/>
            <w:tcBorders>
              <w:left w:val="single" w:color="000000" w:sz="4" w:space="0"/>
              <w:bottom w:val="single" w:color="000000" w:sz="4" w:space="0"/>
              <w:right w:val="single" w:color="000000" w:sz="4" w:space="0"/>
            </w:tcBorders>
          </w:tcPr>
          <w:p>
            <w:pPr>
              <w:rPr>
                <w:rFonts w:ascii="仿宋" w:hAnsi="仿宋" w:eastAsia="仿宋" w:cs="仿宋"/>
                <w:sz w:val="2"/>
                <w:szCs w:val="2"/>
              </w:rPr>
            </w:pPr>
          </w:p>
        </w:tc>
        <w:tc>
          <w:tcPr>
            <w:tcW w:w="1027" w:type="dxa"/>
            <w:vMerge w:val="continue"/>
            <w:tcBorders>
              <w:left w:val="single" w:color="000000" w:sz="4" w:space="0"/>
              <w:bottom w:val="single" w:color="000000" w:sz="4" w:space="0"/>
              <w:right w:val="single" w:color="000000" w:sz="4" w:space="0"/>
            </w:tcBorders>
          </w:tcPr>
          <w:p>
            <w:pPr>
              <w:rPr>
                <w:rFonts w:ascii="仿宋" w:hAnsi="仿宋" w:eastAsia="仿宋" w:cs="仿宋"/>
                <w:sz w:val="2"/>
                <w:szCs w:val="2"/>
              </w:rPr>
            </w:pPr>
          </w:p>
        </w:tc>
      </w:tr>
      <w:tr>
        <w:tblPrEx>
          <w:tblLayout w:type="fixed"/>
          <w:tblCellMar>
            <w:top w:w="55" w:type="dxa"/>
            <w:left w:w="55" w:type="dxa"/>
            <w:bottom w:w="55" w:type="dxa"/>
            <w:right w:w="55" w:type="dxa"/>
          </w:tblCellMar>
        </w:tblPrEx>
        <w:trPr>
          <w:cantSplit/>
          <w:trHeight w:val="380" w:hRule="atLeast"/>
        </w:trPr>
        <w:tc>
          <w:tcPr>
            <w:tcW w:w="1044" w:type="dxa"/>
            <w:tcBorders>
              <w:left w:val="single" w:color="000000" w:sz="4" w:space="0"/>
              <w:bottom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2.50</w:t>
            </w:r>
          </w:p>
        </w:tc>
        <w:tc>
          <w:tcPr>
            <w:tcW w:w="1042" w:type="dxa"/>
            <w:tcBorders>
              <w:left w:val="single" w:color="000000" w:sz="4" w:space="0"/>
              <w:bottom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20" w:type="dxa"/>
            <w:tcBorders>
              <w:left w:val="single" w:color="000000" w:sz="4" w:space="0"/>
              <w:bottom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2.50</w:t>
            </w:r>
          </w:p>
        </w:tc>
        <w:tc>
          <w:tcPr>
            <w:tcW w:w="1029" w:type="dxa"/>
            <w:tcBorders>
              <w:left w:val="single" w:color="000000" w:sz="4" w:space="0"/>
              <w:bottom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998" w:type="dxa"/>
            <w:tcBorders>
              <w:left w:val="single" w:color="000000" w:sz="4" w:space="0"/>
              <w:bottom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2.50</w:t>
            </w:r>
          </w:p>
        </w:tc>
        <w:tc>
          <w:tcPr>
            <w:tcW w:w="1026" w:type="dxa"/>
            <w:tcBorders>
              <w:left w:val="single" w:color="000000" w:sz="4" w:space="0"/>
              <w:bottom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43" w:type="dxa"/>
            <w:tcBorders>
              <w:left w:val="single" w:color="000000" w:sz="4" w:space="0"/>
              <w:bottom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10"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58"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2.44</w:t>
            </w:r>
          </w:p>
        </w:tc>
        <w:tc>
          <w:tcPr>
            <w:tcW w:w="1010"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948"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2.44</w:t>
            </w:r>
          </w:p>
        </w:tc>
        <w:tc>
          <w:tcPr>
            <w:tcW w:w="1089"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42"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2.44</w:t>
            </w:r>
          </w:p>
        </w:tc>
        <w:tc>
          <w:tcPr>
            <w:tcW w:w="1043"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57"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c>
          <w:tcPr>
            <w:tcW w:w="1027"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sz w:val="18"/>
                <w:szCs w:val="18"/>
              </w:rPr>
            </w:pPr>
            <w:r>
              <w:rPr>
                <w:rFonts w:hint="eastAsia" w:ascii="仿宋" w:hAnsi="仿宋" w:eastAsia="仿宋" w:cs="仿宋"/>
                <w:sz w:val="18"/>
                <w:szCs w:val="18"/>
              </w:rPr>
              <w:t>0.00</w:t>
            </w:r>
          </w:p>
        </w:tc>
      </w:tr>
    </w:tbl>
    <w:p>
      <w:pPr>
        <w:spacing w:before="30" w:after="33"/>
        <w:ind w:left="220" w:leftChars="100"/>
        <w:rPr>
          <w:rFonts w:ascii="仿宋" w:hAnsi="仿宋" w:eastAsia="仿宋" w:cs="仿宋"/>
        </w:rPr>
      </w:pPr>
      <w:r>
        <w:rPr>
          <w:rFonts w:hint="eastAsia" w:ascii="仿宋" w:hAnsi="仿宋" w:eastAsia="仿宋" w:cs="仿宋"/>
        </w:rPr>
        <w:t>相关统计数：</w:t>
      </w:r>
    </w:p>
    <w:tbl>
      <w:tblPr>
        <w:tblStyle w:val="13"/>
        <w:tblW w:w="11798" w:type="dxa"/>
        <w:tblInd w:w="62" w:type="dxa"/>
        <w:tblLayout w:type="fixed"/>
        <w:tblCellMar>
          <w:top w:w="55" w:type="dxa"/>
          <w:left w:w="55" w:type="dxa"/>
          <w:bottom w:w="55" w:type="dxa"/>
          <w:right w:w="55" w:type="dxa"/>
        </w:tblCellMar>
      </w:tblPr>
      <w:tblGrid>
        <w:gridCol w:w="4028"/>
        <w:gridCol w:w="1976"/>
        <w:gridCol w:w="3908"/>
        <w:gridCol w:w="1886"/>
      </w:tblGrid>
      <w:tr>
        <w:tblPrEx>
          <w:tblLayout w:type="fixed"/>
          <w:tblCellMar>
            <w:top w:w="55" w:type="dxa"/>
            <w:left w:w="55" w:type="dxa"/>
            <w:bottom w:w="55" w:type="dxa"/>
            <w:right w:w="55" w:type="dxa"/>
          </w:tblCellMar>
        </w:tblPrEx>
        <w:trPr>
          <w:cantSplit/>
          <w:trHeight w:val="214" w:hRule="atLeast"/>
        </w:trPr>
        <w:tc>
          <w:tcPr>
            <w:tcW w:w="4028" w:type="dxa"/>
            <w:tcBorders>
              <w:top w:val="single" w:color="auto" w:sz="4" w:space="0"/>
              <w:left w:val="single" w:color="auto" w:sz="4" w:space="0"/>
              <w:bottom w:val="single" w:color="auto" w:sz="4" w:space="0"/>
            </w:tcBorders>
            <w:vAlign w:val="center"/>
          </w:tcPr>
          <w:p>
            <w:pPr>
              <w:pStyle w:val="22"/>
              <w:jc w:val="center"/>
              <w:rPr>
                <w:rFonts w:ascii="仿宋" w:hAnsi="仿宋" w:eastAsia="仿宋" w:cs="仿宋"/>
              </w:rPr>
            </w:pPr>
            <w:r>
              <w:rPr>
                <w:rFonts w:ascii="仿宋" w:hAnsi="仿宋" w:eastAsia="仿宋" w:cs="仿宋"/>
              </w:rPr>
              <w:t>项目</w:t>
            </w:r>
          </w:p>
        </w:tc>
        <w:tc>
          <w:tcPr>
            <w:tcW w:w="1976"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统计数</w:t>
            </w:r>
          </w:p>
        </w:tc>
        <w:tc>
          <w:tcPr>
            <w:tcW w:w="3908"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项目</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jc w:val="center"/>
              <w:rPr>
                <w:rFonts w:ascii="仿宋" w:hAnsi="仿宋" w:eastAsia="仿宋" w:cs="仿宋"/>
              </w:rPr>
            </w:pPr>
            <w:r>
              <w:rPr>
                <w:rFonts w:hint="eastAsia" w:ascii="仿宋" w:hAnsi="仿宋" w:eastAsia="仿宋" w:cs="仿宋"/>
              </w:rPr>
              <w:t>统计数</w:t>
            </w: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jc w:val="center"/>
              <w:rPr>
                <w:rFonts w:ascii="仿宋" w:hAnsi="仿宋" w:eastAsia="仿宋" w:cs="仿宋"/>
              </w:rPr>
            </w:pPr>
            <w:r>
              <w:rPr>
                <w:rFonts w:hint="eastAsia" w:ascii="仿宋" w:hAnsi="仿宋" w:eastAsia="仿宋" w:cs="仿宋"/>
              </w:rPr>
              <w:t>0</w:t>
            </w: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jc w:val="center"/>
              <w:rPr>
                <w:rFonts w:ascii="仿宋" w:hAnsi="仿宋" w:eastAsia="仿宋" w:cs="仿宋"/>
              </w:rPr>
            </w:pPr>
            <w:r>
              <w:rPr>
                <w:rFonts w:hint="eastAsia" w:ascii="仿宋" w:hAnsi="仿宋" w:eastAsia="仿宋" w:cs="仿宋"/>
              </w:rPr>
              <w:t>1</w:t>
            </w: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jc w:val="center"/>
              <w:rPr>
                <w:rFonts w:ascii="仿宋" w:hAnsi="仿宋" w:eastAsia="仿宋" w:cs="仿宋"/>
              </w:rPr>
            </w:pPr>
            <w:r>
              <w:rPr>
                <w:rFonts w:hint="eastAsia" w:ascii="仿宋" w:hAnsi="仿宋" w:eastAsia="仿宋" w:cs="仿宋"/>
              </w:rPr>
              <w:t>0</w:t>
            </w: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jc w:val="center"/>
              <w:rPr>
                <w:rFonts w:ascii="仿宋" w:hAnsi="仿宋" w:eastAsia="仿宋" w:cs="仿宋"/>
              </w:rPr>
            </w:pPr>
            <w:r>
              <w:rPr>
                <w:rFonts w:hint="eastAsia" w:ascii="仿宋" w:hAnsi="仿宋" w:eastAsia="仿宋" w:cs="仿宋"/>
              </w:rPr>
              <w:t>0</w:t>
            </w: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jc w:val="center"/>
              <w:rPr>
                <w:rFonts w:ascii="仿宋" w:hAnsi="仿宋" w:eastAsia="仿宋" w:cs="仿宋"/>
              </w:rPr>
            </w:pPr>
            <w:r>
              <w:rPr>
                <w:rFonts w:hint="eastAsia" w:ascii="仿宋" w:hAnsi="仿宋" w:eastAsia="仿宋" w:cs="仿宋"/>
              </w:rPr>
              <w:t>0</w:t>
            </w:r>
          </w:p>
        </w:tc>
      </w:tr>
      <w:tr>
        <w:tblPrEx>
          <w:tblLayout w:type="fixed"/>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pPr>
              <w:pStyle w:val="22"/>
              <w:jc w:val="center"/>
              <w:rPr>
                <w:rFonts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jc w:val="center"/>
              <w:rPr>
                <w:rFonts w:ascii="仿宋" w:hAnsi="仿宋" w:eastAsia="仿宋" w:cs="仿宋"/>
              </w:rPr>
            </w:pPr>
            <w:r>
              <w:rPr>
                <w:rFonts w:hint="eastAsia" w:ascii="仿宋" w:hAnsi="仿宋" w:eastAsia="仿宋" w:cs="仿宋"/>
              </w:rPr>
              <w:t>0</w:t>
            </w:r>
          </w:p>
        </w:tc>
      </w:tr>
    </w:tbl>
    <w:p>
      <w:pPr>
        <w:ind w:right="-2"/>
        <w:jc w:val="both"/>
        <w:rPr>
          <w:rFonts w:ascii="仿宋" w:hAnsi="仿宋" w:eastAsia="仿宋" w:cs="仿宋"/>
        </w:rPr>
      </w:pPr>
      <w:r>
        <w:rPr>
          <w:rFonts w:hint="eastAsia" w:ascii="仿宋" w:hAnsi="仿宋" w:eastAsia="仿宋" w:cs="仿宋"/>
        </w:rPr>
        <w:t>注：</w:t>
      </w:r>
      <w:r>
        <w:rPr>
          <w:rFonts w:hint="eastAsia" w:ascii="仿宋" w:hAnsi="仿宋" w:eastAsia="仿宋" w:cs="仿宋"/>
          <w:lang w:val="en-US"/>
        </w:rPr>
        <w:t>本表反映本年度一般公共预算“三公”经费、会议费和培训费支出情况。其中，预算数为全年预算数，反映按规定程序调整后的预算数；决算数是包括当年一般公共预算财政拨款和以前年度结转资金安排的实际支出。本表金额单位转换时可能存在尾数误差</w:t>
      </w:r>
      <w:r>
        <w:rPr>
          <w:rFonts w:hint="eastAsia" w:ascii="仿宋" w:hAnsi="仿宋" w:eastAsia="仿宋" w:cs="仿宋"/>
        </w:rPr>
        <w:t>。</w:t>
      </w:r>
    </w:p>
    <w:p>
      <w:pPr>
        <w:ind w:left="227" w:firstLine="220" w:firstLineChars="100"/>
        <w:jc w:val="both"/>
        <w:rPr>
          <w:rFonts w:ascii="仿宋" w:hAnsi="仿宋" w:eastAsia="仿宋" w:cs="仿宋"/>
        </w:rPr>
        <w:sectPr>
          <w:footerReference r:id="rId19" w:type="default"/>
          <w:pgSz w:w="16838" w:h="11906" w:orient="landscape"/>
          <w:pgMar w:top="720" w:right="153" w:bottom="720" w:left="153" w:header="170" w:footer="280" w:gutter="0"/>
          <w:pgNumType w:fmt="numberInDash"/>
          <w:cols w:space="720" w:num="1"/>
          <w:formProt w:val="0"/>
          <w:docGrid w:linePitch="100" w:charSpace="0"/>
        </w:sectPr>
      </w:pPr>
    </w:p>
    <w:tbl>
      <w:tblPr>
        <w:tblStyle w:val="13"/>
        <w:tblW w:w="15400" w:type="dxa"/>
        <w:tblInd w:w="62" w:type="dxa"/>
        <w:tblLayout w:type="fixed"/>
        <w:tblCellMar>
          <w:top w:w="55" w:type="dxa"/>
          <w:left w:w="55" w:type="dxa"/>
          <w:bottom w:w="55" w:type="dxa"/>
          <w:right w:w="55" w:type="dxa"/>
        </w:tblCellMar>
      </w:tblPr>
      <w:tblGrid>
        <w:gridCol w:w="1431"/>
        <w:gridCol w:w="6995"/>
        <w:gridCol w:w="2684"/>
        <w:gridCol w:w="2432"/>
        <w:gridCol w:w="1858"/>
      </w:tblGrid>
      <w:tr>
        <w:tblPrEx>
          <w:tblLayout w:type="fixed"/>
          <w:tblCellMar>
            <w:top w:w="55" w:type="dxa"/>
            <w:left w:w="55" w:type="dxa"/>
            <w:bottom w:w="55" w:type="dxa"/>
            <w:right w:w="55" w:type="dxa"/>
          </w:tblCellMar>
        </w:tblPrEx>
        <w:trPr>
          <w:trHeight w:val="395" w:hRule="atLeast"/>
        </w:trPr>
        <w:tc>
          <w:tcPr>
            <w:tcW w:w="15400" w:type="dxa"/>
            <w:gridSpan w:val="5"/>
            <w:vAlign w:val="center"/>
          </w:tcPr>
          <w:p>
            <w:pPr>
              <w:pStyle w:val="22"/>
              <w:jc w:val="center"/>
              <w:rPr>
                <w:rFonts w:ascii="仿宋" w:hAnsi="仿宋" w:eastAsia="仿宋" w:cs="仿宋"/>
                <w:b/>
                <w:bCs/>
                <w:sz w:val="44"/>
                <w:szCs w:val="44"/>
              </w:rPr>
            </w:pPr>
            <w:r>
              <w:rPr>
                <w:rFonts w:hint="eastAsia"/>
                <w:b/>
                <w:bCs/>
                <w:color w:val="000000"/>
                <w:sz w:val="36"/>
                <w:szCs w:val="36"/>
                <w:lang w:eastAsia="ar-SA"/>
              </w:rPr>
              <w:t>政府性基金预算支出决算表</w:t>
            </w:r>
          </w:p>
        </w:tc>
      </w:tr>
      <w:tr>
        <w:tblPrEx>
          <w:tblLayout w:type="fixed"/>
          <w:tblCellMar>
            <w:top w:w="55" w:type="dxa"/>
            <w:left w:w="55" w:type="dxa"/>
            <w:bottom w:w="55" w:type="dxa"/>
            <w:right w:w="55" w:type="dxa"/>
          </w:tblCellMar>
        </w:tblPrEx>
        <w:trPr>
          <w:trHeight w:val="323" w:hRule="atLeast"/>
        </w:trPr>
        <w:tc>
          <w:tcPr>
            <w:tcW w:w="8426" w:type="dxa"/>
            <w:gridSpan w:val="2"/>
          </w:tcPr>
          <w:p>
            <w:pPr>
              <w:pStyle w:val="22"/>
              <w:rPr>
                <w:rFonts w:ascii="仿宋" w:hAnsi="仿宋" w:eastAsia="仿宋" w:cs="仿宋"/>
                <w:sz w:val="20"/>
              </w:rPr>
            </w:pPr>
          </w:p>
        </w:tc>
        <w:tc>
          <w:tcPr>
            <w:tcW w:w="2684" w:type="dxa"/>
          </w:tcPr>
          <w:p>
            <w:pPr>
              <w:pStyle w:val="22"/>
              <w:rPr>
                <w:rFonts w:ascii="仿宋" w:hAnsi="仿宋" w:eastAsia="仿宋" w:cs="仿宋"/>
                <w:sz w:val="27"/>
              </w:rPr>
            </w:pPr>
          </w:p>
        </w:tc>
        <w:tc>
          <w:tcPr>
            <w:tcW w:w="2432" w:type="dxa"/>
          </w:tcPr>
          <w:p>
            <w:pPr>
              <w:pStyle w:val="22"/>
              <w:rPr>
                <w:rFonts w:ascii="仿宋" w:hAnsi="仿宋" w:eastAsia="仿宋" w:cs="仿宋"/>
                <w:sz w:val="20"/>
              </w:rPr>
            </w:pPr>
          </w:p>
        </w:tc>
        <w:tc>
          <w:tcPr>
            <w:tcW w:w="1858" w:type="dxa"/>
            <w:vAlign w:val="center"/>
          </w:tcPr>
          <w:p>
            <w:pPr>
              <w:pStyle w:val="22"/>
              <w:jc w:val="right"/>
              <w:rPr>
                <w:rFonts w:ascii="仿宋" w:hAnsi="仿宋" w:eastAsia="仿宋" w:cs="仿宋"/>
                <w:sz w:val="27"/>
              </w:rPr>
            </w:pPr>
            <w:r>
              <w:rPr>
                <w:rFonts w:hint="eastAsia" w:ascii="仿宋" w:hAnsi="仿宋" w:eastAsia="仿宋" w:cs="仿宋"/>
              </w:rPr>
              <w:t>公开10表</w:t>
            </w:r>
          </w:p>
        </w:tc>
      </w:tr>
      <w:tr>
        <w:tblPrEx>
          <w:tblLayout w:type="fixed"/>
          <w:tblCellMar>
            <w:top w:w="55" w:type="dxa"/>
            <w:left w:w="55" w:type="dxa"/>
            <w:bottom w:w="55" w:type="dxa"/>
            <w:right w:w="55" w:type="dxa"/>
          </w:tblCellMar>
        </w:tblPrEx>
        <w:trPr>
          <w:trHeight w:val="152" w:hRule="atLeast"/>
        </w:trPr>
        <w:tc>
          <w:tcPr>
            <w:tcW w:w="13542" w:type="dxa"/>
            <w:gridSpan w:val="4"/>
            <w:vAlign w:val="center"/>
          </w:tcPr>
          <w:p>
            <w:pPr>
              <w:pStyle w:val="22"/>
              <w:rPr>
                <w:rFonts w:ascii="仿宋" w:hAnsi="仿宋" w:eastAsia="仿宋" w:cs="仿宋"/>
                <w:sz w:val="20"/>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江苏省社会捐助服务中心</w:t>
            </w:r>
          </w:p>
        </w:tc>
        <w:tc>
          <w:tcPr>
            <w:tcW w:w="1858" w:type="dxa"/>
            <w:vAlign w:val="center"/>
          </w:tcPr>
          <w:p>
            <w:pPr>
              <w:pStyle w:val="22"/>
              <w:jc w:val="right"/>
              <w:rPr>
                <w:rFonts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67" w:hRule="atLeast"/>
        </w:trPr>
        <w:tc>
          <w:tcPr>
            <w:tcW w:w="8426" w:type="dxa"/>
            <w:gridSpan w:val="2"/>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684" w:type="dxa"/>
            <w:vMerge w:val="restart"/>
            <w:tcBorders>
              <w:top w:val="single" w:color="000000" w:sz="4" w:space="0"/>
              <w:left w:val="single" w:color="000000" w:sz="4" w:space="0"/>
            </w:tcBorders>
            <w:vAlign w:val="center"/>
          </w:tcPr>
          <w:p>
            <w:pPr>
              <w:pStyle w:val="22"/>
              <w:jc w:val="center"/>
              <w:rPr>
                <w:rFonts w:ascii="仿宋" w:hAnsi="仿宋" w:eastAsia="仿宋" w:cs="仿宋"/>
              </w:rPr>
            </w:pPr>
            <w:r>
              <w:rPr>
                <w:rFonts w:hint="eastAsia" w:ascii="仿宋" w:hAnsi="仿宋" w:eastAsia="仿宋" w:cs="仿宋"/>
              </w:rPr>
              <w:t>本年支出合计</w:t>
            </w:r>
          </w:p>
        </w:tc>
        <w:tc>
          <w:tcPr>
            <w:tcW w:w="2432" w:type="dxa"/>
            <w:vMerge w:val="restart"/>
            <w:tcBorders>
              <w:top w:val="single" w:color="000000" w:sz="4" w:space="0"/>
              <w:left w:val="single" w:color="000000" w:sz="4" w:space="0"/>
            </w:tcBorders>
            <w:vAlign w:val="center"/>
          </w:tcPr>
          <w:p>
            <w:pPr>
              <w:pStyle w:val="22"/>
              <w:jc w:val="center"/>
              <w:rPr>
                <w:rFonts w:ascii="仿宋" w:hAnsi="仿宋" w:eastAsia="仿宋" w:cs="仿宋"/>
              </w:rPr>
            </w:pPr>
            <w:r>
              <w:rPr>
                <w:rFonts w:hint="eastAsia" w:ascii="仿宋" w:hAnsi="仿宋" w:eastAsia="仿宋" w:cs="仿宋"/>
              </w:rPr>
              <w:t>基本支出</w:t>
            </w:r>
          </w:p>
        </w:tc>
        <w:tc>
          <w:tcPr>
            <w:tcW w:w="1858" w:type="dxa"/>
            <w:vMerge w:val="restart"/>
            <w:tcBorders>
              <w:top w:val="single" w:color="000000"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427" w:hRule="atLeast"/>
        </w:trPr>
        <w:tc>
          <w:tcPr>
            <w:tcW w:w="1431"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功能分类</w:t>
            </w:r>
          </w:p>
          <w:p>
            <w:pPr>
              <w:pStyle w:val="22"/>
              <w:jc w:val="center"/>
              <w:rPr>
                <w:rFonts w:ascii="仿宋" w:hAnsi="仿宋" w:eastAsia="仿宋" w:cs="仿宋"/>
              </w:rPr>
            </w:pPr>
            <w:r>
              <w:rPr>
                <w:rFonts w:hint="eastAsia" w:ascii="仿宋" w:hAnsi="仿宋" w:eastAsia="仿宋" w:cs="仿宋"/>
              </w:rPr>
              <w:t>科目编码</w:t>
            </w:r>
          </w:p>
        </w:tc>
        <w:tc>
          <w:tcPr>
            <w:tcW w:w="6995"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2684" w:type="dxa"/>
            <w:vMerge w:val="continue"/>
            <w:tcBorders>
              <w:left w:val="single" w:color="000000" w:sz="4" w:space="0"/>
              <w:bottom w:val="single" w:color="000000" w:sz="4" w:space="0"/>
            </w:tcBorders>
          </w:tcPr>
          <w:p>
            <w:pPr>
              <w:rPr>
                <w:rFonts w:ascii="仿宋" w:hAnsi="仿宋" w:eastAsia="仿宋" w:cs="仿宋"/>
              </w:rPr>
            </w:pPr>
          </w:p>
        </w:tc>
        <w:tc>
          <w:tcPr>
            <w:tcW w:w="2432" w:type="dxa"/>
            <w:vMerge w:val="continue"/>
            <w:tcBorders>
              <w:left w:val="single" w:color="000000" w:sz="4" w:space="0"/>
              <w:bottom w:val="single" w:color="000000" w:sz="4" w:space="0"/>
            </w:tcBorders>
            <w:vAlign w:val="center"/>
          </w:tcPr>
          <w:p>
            <w:pPr>
              <w:pStyle w:val="22"/>
              <w:jc w:val="center"/>
              <w:rPr>
                <w:rFonts w:ascii="仿宋" w:hAnsi="仿宋" w:eastAsia="仿宋" w:cs="仿宋"/>
              </w:rPr>
            </w:pPr>
          </w:p>
        </w:tc>
        <w:tc>
          <w:tcPr>
            <w:tcW w:w="1858" w:type="dxa"/>
            <w:vMerge w:val="continue"/>
            <w:tcBorders>
              <w:left w:val="single" w:color="000000" w:sz="4" w:space="0"/>
              <w:bottom w:val="single" w:color="000000" w:sz="4" w:space="0"/>
              <w:right w:val="single" w:color="000000" w:sz="4" w:space="0"/>
            </w:tcBorders>
          </w:tcPr>
          <w:p>
            <w:pPr>
              <w:rPr>
                <w:rFonts w:ascii="仿宋" w:hAnsi="仿宋" w:eastAsia="仿宋" w:cs="仿宋"/>
              </w:rPr>
            </w:pPr>
          </w:p>
        </w:tc>
      </w:tr>
      <w:tr>
        <w:tblPrEx>
          <w:tblLayout w:type="fixed"/>
          <w:tblCellMar>
            <w:top w:w="55" w:type="dxa"/>
            <w:left w:w="55" w:type="dxa"/>
            <w:bottom w:w="55" w:type="dxa"/>
            <w:right w:w="55" w:type="dxa"/>
          </w:tblCellMar>
        </w:tblPrEx>
        <w:trPr>
          <w:trHeight w:val="275" w:hRule="atLeast"/>
        </w:trPr>
        <w:tc>
          <w:tcPr>
            <w:tcW w:w="8426"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栏次</w:t>
            </w:r>
          </w:p>
        </w:tc>
        <w:tc>
          <w:tcPr>
            <w:tcW w:w="2684" w:type="dxa"/>
            <w:tcBorders>
              <w:left w:val="single" w:color="000000" w:sz="4" w:space="0"/>
              <w:bottom w:val="single" w:color="000000" w:sz="4" w:space="0"/>
            </w:tcBorders>
            <w:vAlign w:val="center"/>
          </w:tcPr>
          <w:p>
            <w:pPr>
              <w:pStyle w:val="22"/>
              <w:jc w:val="center"/>
              <w:rPr>
                <w:rFonts w:ascii="仿宋" w:hAnsi="仿宋" w:eastAsia="仿宋" w:cs="仿宋"/>
                <w:lang w:val="en-US"/>
              </w:rPr>
            </w:pPr>
            <w:r>
              <w:rPr>
                <w:rFonts w:hint="eastAsia" w:ascii="仿宋" w:hAnsi="仿宋" w:eastAsia="仿宋" w:cs="仿宋"/>
                <w:lang w:val="en-US"/>
              </w:rPr>
              <w:t>1</w:t>
            </w:r>
          </w:p>
        </w:tc>
        <w:tc>
          <w:tcPr>
            <w:tcW w:w="2432"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2</w:t>
            </w:r>
          </w:p>
        </w:tc>
        <w:tc>
          <w:tcPr>
            <w:tcW w:w="1858" w:type="dxa"/>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lang w:val="en-US"/>
              </w:rPr>
            </w:pPr>
            <w:r>
              <w:rPr>
                <w:rFonts w:hint="eastAsia" w:ascii="仿宋" w:hAnsi="仿宋" w:eastAsia="仿宋" w:cs="仿宋"/>
                <w:lang w:val="en-US"/>
              </w:rPr>
              <w:t>2</w:t>
            </w:r>
          </w:p>
        </w:tc>
      </w:tr>
      <w:tr>
        <w:tblPrEx>
          <w:tblLayout w:type="fixed"/>
          <w:tblCellMar>
            <w:top w:w="55" w:type="dxa"/>
            <w:left w:w="55" w:type="dxa"/>
            <w:bottom w:w="55" w:type="dxa"/>
            <w:right w:w="55" w:type="dxa"/>
          </w:tblCellMar>
        </w:tblPrEx>
        <w:trPr>
          <w:trHeight w:val="389" w:hRule="exact"/>
        </w:trPr>
        <w:tc>
          <w:tcPr>
            <w:tcW w:w="8426"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合计</w:t>
            </w:r>
          </w:p>
        </w:tc>
        <w:tc>
          <w:tcPr>
            <w:tcW w:w="2684"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2432"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1858"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699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268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c>
          <w:tcPr>
            <w:tcW w:w="24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6995"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268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c>
          <w:tcPr>
            <w:tcW w:w="2432"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bl>
    <w:p>
      <w:pPr>
        <w:spacing w:before="25"/>
        <w:jc w:val="both"/>
        <w:rPr>
          <w:rFonts w:ascii="仿宋" w:hAnsi="仿宋" w:eastAsia="仿宋" w:cs="仿宋"/>
        </w:rPr>
      </w:pPr>
      <w:r>
        <w:rPr>
          <w:rFonts w:hint="eastAsia" w:ascii="仿宋" w:hAnsi="仿宋" w:eastAsia="仿宋" w:cs="仿宋"/>
        </w:rPr>
        <w:t>注：本表反映本年度政府性基金预算财政拨款支出情况。</w:t>
      </w:r>
    </w:p>
    <w:p>
      <w:pPr>
        <w:spacing w:before="25"/>
        <w:ind w:left="440" w:leftChars="200"/>
        <w:jc w:val="both"/>
        <w:rPr>
          <w:rFonts w:ascii="仿宋" w:hAnsi="仿宋" w:eastAsia="仿宋" w:cs="仿宋"/>
          <w:lang w:val="en-US"/>
        </w:rPr>
      </w:pPr>
      <w:r>
        <w:rPr>
          <w:rFonts w:ascii="仿宋" w:hAnsi="仿宋" w:eastAsia="仿宋" w:cs="仿宋"/>
        </w:rPr>
        <w:t>本单位无政府性基金预算收入支出决算，故本表为空。</w:t>
      </w:r>
    </w:p>
    <w:p>
      <w:pPr>
        <w:spacing w:before="25"/>
        <w:jc w:val="both"/>
        <w:rPr>
          <w:rFonts w:ascii="仿宋" w:hAnsi="仿宋" w:eastAsia="仿宋" w:cs="仿宋"/>
          <w:lang w:val="en-US"/>
        </w:rPr>
        <w:sectPr>
          <w:footerReference r:id="rId20" w:type="default"/>
          <w:pgSz w:w="16838" w:h="11906" w:orient="landscape"/>
          <w:pgMar w:top="720" w:right="720" w:bottom="720" w:left="720" w:header="170" w:footer="280" w:gutter="0"/>
          <w:pgNumType w:fmt="numberInDash"/>
          <w:cols w:space="720" w:num="1"/>
          <w:formProt w:val="0"/>
          <w:docGrid w:linePitch="100" w:charSpace="0"/>
        </w:sectPr>
      </w:pPr>
    </w:p>
    <w:tbl>
      <w:tblPr>
        <w:tblStyle w:val="13"/>
        <w:tblW w:w="15400" w:type="dxa"/>
        <w:tblInd w:w="47" w:type="dxa"/>
        <w:tblLayout w:type="fixed"/>
        <w:tblCellMar>
          <w:top w:w="55" w:type="dxa"/>
          <w:left w:w="55" w:type="dxa"/>
          <w:bottom w:w="55" w:type="dxa"/>
          <w:right w:w="55" w:type="dxa"/>
        </w:tblCellMar>
      </w:tblPr>
      <w:tblGrid>
        <w:gridCol w:w="1462"/>
        <w:gridCol w:w="7058"/>
        <w:gridCol w:w="2510"/>
        <w:gridCol w:w="2309"/>
        <w:gridCol w:w="2061"/>
      </w:tblGrid>
      <w:tr>
        <w:tblPrEx>
          <w:tblLayout w:type="fixed"/>
          <w:tblCellMar>
            <w:top w:w="55" w:type="dxa"/>
            <w:left w:w="55" w:type="dxa"/>
            <w:bottom w:w="55" w:type="dxa"/>
            <w:right w:w="55" w:type="dxa"/>
          </w:tblCellMar>
        </w:tblPrEx>
        <w:trPr>
          <w:trHeight w:val="395" w:hRule="atLeast"/>
        </w:trPr>
        <w:tc>
          <w:tcPr>
            <w:tcW w:w="15400" w:type="dxa"/>
            <w:gridSpan w:val="5"/>
            <w:vAlign w:val="center"/>
          </w:tcPr>
          <w:p>
            <w:pPr>
              <w:pStyle w:val="22"/>
              <w:jc w:val="center"/>
              <w:rPr>
                <w:rFonts w:ascii="仿宋" w:hAnsi="仿宋" w:eastAsia="仿宋" w:cs="仿宋"/>
                <w:b/>
                <w:bCs/>
                <w:sz w:val="44"/>
                <w:szCs w:val="44"/>
              </w:rPr>
            </w:pPr>
            <w:r>
              <w:rPr>
                <w:rFonts w:hint="eastAsia"/>
                <w:b/>
                <w:bCs/>
                <w:color w:val="000000"/>
                <w:sz w:val="36"/>
                <w:szCs w:val="36"/>
                <w:lang w:eastAsia="ar-SA"/>
              </w:rPr>
              <w:t>国有资本经营预算支出决算表</w:t>
            </w:r>
          </w:p>
        </w:tc>
      </w:tr>
      <w:tr>
        <w:tblPrEx>
          <w:tblLayout w:type="fixed"/>
          <w:tblCellMar>
            <w:top w:w="55" w:type="dxa"/>
            <w:left w:w="55" w:type="dxa"/>
            <w:bottom w:w="55" w:type="dxa"/>
            <w:right w:w="55" w:type="dxa"/>
          </w:tblCellMar>
        </w:tblPrEx>
        <w:trPr>
          <w:trHeight w:val="323" w:hRule="atLeast"/>
        </w:trPr>
        <w:tc>
          <w:tcPr>
            <w:tcW w:w="8520" w:type="dxa"/>
            <w:gridSpan w:val="2"/>
          </w:tcPr>
          <w:p>
            <w:pPr>
              <w:pStyle w:val="22"/>
              <w:rPr>
                <w:rFonts w:ascii="仿宋" w:hAnsi="仿宋" w:eastAsia="仿宋" w:cs="仿宋"/>
                <w:sz w:val="20"/>
              </w:rPr>
            </w:pPr>
          </w:p>
        </w:tc>
        <w:tc>
          <w:tcPr>
            <w:tcW w:w="2510" w:type="dxa"/>
          </w:tcPr>
          <w:p>
            <w:pPr>
              <w:pStyle w:val="22"/>
              <w:rPr>
                <w:rFonts w:ascii="仿宋" w:hAnsi="仿宋" w:eastAsia="仿宋" w:cs="仿宋"/>
                <w:sz w:val="27"/>
              </w:rPr>
            </w:pPr>
          </w:p>
        </w:tc>
        <w:tc>
          <w:tcPr>
            <w:tcW w:w="2309" w:type="dxa"/>
          </w:tcPr>
          <w:p>
            <w:pPr>
              <w:pStyle w:val="22"/>
              <w:rPr>
                <w:rFonts w:ascii="仿宋" w:hAnsi="仿宋" w:eastAsia="仿宋" w:cs="仿宋"/>
                <w:sz w:val="20"/>
              </w:rPr>
            </w:pPr>
          </w:p>
        </w:tc>
        <w:tc>
          <w:tcPr>
            <w:tcW w:w="2061" w:type="dxa"/>
            <w:vAlign w:val="center"/>
          </w:tcPr>
          <w:p>
            <w:pPr>
              <w:pStyle w:val="22"/>
              <w:jc w:val="right"/>
              <w:rPr>
                <w:rFonts w:ascii="仿宋" w:hAnsi="仿宋" w:eastAsia="仿宋" w:cs="仿宋"/>
                <w:sz w:val="27"/>
              </w:rPr>
            </w:pPr>
            <w:r>
              <w:rPr>
                <w:rFonts w:hint="eastAsia" w:ascii="仿宋" w:hAnsi="仿宋" w:eastAsia="仿宋" w:cs="仿宋"/>
              </w:rPr>
              <w:t>公开1</w:t>
            </w:r>
            <w:r>
              <w:rPr>
                <w:rFonts w:hint="eastAsia" w:ascii="仿宋" w:hAnsi="仿宋" w:eastAsia="仿宋" w:cs="仿宋"/>
                <w:lang w:val="en-US"/>
              </w:rPr>
              <w:t>1</w:t>
            </w:r>
            <w:r>
              <w:rPr>
                <w:rFonts w:hint="eastAsia" w:ascii="仿宋" w:hAnsi="仿宋" w:eastAsia="仿宋" w:cs="仿宋"/>
              </w:rPr>
              <w:t>表</w:t>
            </w:r>
          </w:p>
        </w:tc>
      </w:tr>
      <w:tr>
        <w:tblPrEx>
          <w:tblLayout w:type="fixed"/>
          <w:tblCellMar>
            <w:top w:w="55" w:type="dxa"/>
            <w:left w:w="55" w:type="dxa"/>
            <w:bottom w:w="55" w:type="dxa"/>
            <w:right w:w="55" w:type="dxa"/>
          </w:tblCellMar>
        </w:tblPrEx>
        <w:trPr>
          <w:trHeight w:val="152" w:hRule="atLeast"/>
        </w:trPr>
        <w:tc>
          <w:tcPr>
            <w:tcW w:w="13339" w:type="dxa"/>
            <w:gridSpan w:val="4"/>
            <w:vAlign w:val="center"/>
          </w:tcPr>
          <w:p>
            <w:pPr>
              <w:pStyle w:val="22"/>
              <w:rPr>
                <w:rFonts w:ascii="仿宋" w:hAnsi="仿宋" w:eastAsia="仿宋" w:cs="仿宋"/>
                <w:sz w:val="20"/>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江苏省社会捐助服务中心</w:t>
            </w:r>
          </w:p>
        </w:tc>
        <w:tc>
          <w:tcPr>
            <w:tcW w:w="2061" w:type="dxa"/>
            <w:vAlign w:val="center"/>
          </w:tcPr>
          <w:p>
            <w:pPr>
              <w:pStyle w:val="22"/>
              <w:jc w:val="right"/>
              <w:rPr>
                <w:rFonts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67" w:hRule="atLeast"/>
        </w:trPr>
        <w:tc>
          <w:tcPr>
            <w:tcW w:w="8520" w:type="dxa"/>
            <w:gridSpan w:val="2"/>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10" w:type="dxa"/>
            <w:vMerge w:val="restart"/>
            <w:tcBorders>
              <w:top w:val="single" w:color="000000" w:sz="4" w:space="0"/>
              <w:left w:val="single" w:color="000000" w:sz="4" w:space="0"/>
            </w:tcBorders>
            <w:vAlign w:val="center"/>
          </w:tcPr>
          <w:p>
            <w:pPr>
              <w:pStyle w:val="22"/>
              <w:jc w:val="center"/>
              <w:rPr>
                <w:rFonts w:ascii="仿宋" w:hAnsi="仿宋" w:eastAsia="仿宋" w:cs="仿宋"/>
              </w:rPr>
            </w:pPr>
            <w:r>
              <w:rPr>
                <w:rFonts w:hint="eastAsia" w:ascii="仿宋" w:hAnsi="仿宋" w:eastAsia="仿宋" w:cs="仿宋"/>
              </w:rPr>
              <w:t>本年支出合计</w:t>
            </w:r>
          </w:p>
        </w:tc>
        <w:tc>
          <w:tcPr>
            <w:tcW w:w="2309" w:type="dxa"/>
            <w:vMerge w:val="restart"/>
            <w:tcBorders>
              <w:top w:val="single" w:color="000000" w:sz="4" w:space="0"/>
              <w:left w:val="single" w:color="000000" w:sz="4" w:space="0"/>
            </w:tcBorders>
            <w:vAlign w:val="center"/>
          </w:tcPr>
          <w:p>
            <w:pPr>
              <w:pStyle w:val="22"/>
              <w:jc w:val="center"/>
              <w:rPr>
                <w:rFonts w:ascii="仿宋" w:hAnsi="仿宋" w:eastAsia="仿宋" w:cs="仿宋"/>
              </w:rPr>
            </w:pPr>
            <w:r>
              <w:rPr>
                <w:rFonts w:hint="eastAsia" w:ascii="仿宋" w:hAnsi="仿宋" w:eastAsia="仿宋" w:cs="仿宋"/>
              </w:rPr>
              <w:t>基本支出</w:t>
            </w:r>
          </w:p>
        </w:tc>
        <w:tc>
          <w:tcPr>
            <w:tcW w:w="2061" w:type="dxa"/>
            <w:vMerge w:val="restart"/>
            <w:tcBorders>
              <w:top w:val="single" w:color="000000"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427" w:hRule="atLeast"/>
        </w:trPr>
        <w:tc>
          <w:tcPr>
            <w:tcW w:w="1462"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功能分类</w:t>
            </w:r>
          </w:p>
          <w:p>
            <w:pPr>
              <w:pStyle w:val="22"/>
              <w:jc w:val="center"/>
              <w:rPr>
                <w:rFonts w:ascii="仿宋" w:hAnsi="仿宋" w:eastAsia="仿宋" w:cs="仿宋"/>
              </w:rPr>
            </w:pPr>
            <w:r>
              <w:rPr>
                <w:rFonts w:hint="eastAsia" w:ascii="仿宋" w:hAnsi="仿宋" w:eastAsia="仿宋" w:cs="仿宋"/>
              </w:rPr>
              <w:t>科目编码</w:t>
            </w:r>
          </w:p>
        </w:tc>
        <w:tc>
          <w:tcPr>
            <w:tcW w:w="7058"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2510" w:type="dxa"/>
            <w:vMerge w:val="continue"/>
            <w:tcBorders>
              <w:left w:val="single" w:color="000000" w:sz="4" w:space="0"/>
              <w:bottom w:val="single" w:color="000000" w:sz="4" w:space="0"/>
            </w:tcBorders>
          </w:tcPr>
          <w:p>
            <w:pPr>
              <w:rPr>
                <w:rFonts w:ascii="仿宋" w:hAnsi="仿宋" w:eastAsia="仿宋" w:cs="仿宋"/>
              </w:rPr>
            </w:pPr>
          </w:p>
        </w:tc>
        <w:tc>
          <w:tcPr>
            <w:tcW w:w="2309" w:type="dxa"/>
            <w:vMerge w:val="continue"/>
            <w:tcBorders>
              <w:left w:val="single" w:color="000000" w:sz="4" w:space="0"/>
              <w:bottom w:val="single" w:color="000000" w:sz="4" w:space="0"/>
            </w:tcBorders>
            <w:vAlign w:val="center"/>
          </w:tcPr>
          <w:p>
            <w:pPr>
              <w:pStyle w:val="22"/>
              <w:jc w:val="center"/>
              <w:rPr>
                <w:rFonts w:ascii="仿宋" w:hAnsi="仿宋" w:eastAsia="仿宋" w:cs="仿宋"/>
              </w:rPr>
            </w:pPr>
          </w:p>
        </w:tc>
        <w:tc>
          <w:tcPr>
            <w:tcW w:w="2061" w:type="dxa"/>
            <w:vMerge w:val="continue"/>
            <w:tcBorders>
              <w:left w:val="single" w:color="000000" w:sz="4" w:space="0"/>
              <w:bottom w:val="single" w:color="000000" w:sz="4" w:space="0"/>
              <w:right w:val="single" w:color="000000" w:sz="4" w:space="0"/>
            </w:tcBorders>
          </w:tcPr>
          <w:p>
            <w:pPr>
              <w:rPr>
                <w:rFonts w:ascii="仿宋" w:hAnsi="仿宋" w:eastAsia="仿宋" w:cs="仿宋"/>
              </w:rPr>
            </w:pPr>
          </w:p>
        </w:tc>
      </w:tr>
      <w:tr>
        <w:tblPrEx>
          <w:tblLayout w:type="fixed"/>
          <w:tblCellMar>
            <w:top w:w="55" w:type="dxa"/>
            <w:left w:w="55" w:type="dxa"/>
            <w:bottom w:w="55" w:type="dxa"/>
            <w:right w:w="55" w:type="dxa"/>
          </w:tblCellMar>
        </w:tblPrEx>
        <w:trPr>
          <w:trHeight w:val="275" w:hRule="atLeast"/>
        </w:trPr>
        <w:tc>
          <w:tcPr>
            <w:tcW w:w="8520"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栏次</w:t>
            </w:r>
          </w:p>
        </w:tc>
        <w:tc>
          <w:tcPr>
            <w:tcW w:w="2510" w:type="dxa"/>
            <w:tcBorders>
              <w:left w:val="single" w:color="000000" w:sz="4" w:space="0"/>
              <w:bottom w:val="single" w:color="000000" w:sz="4" w:space="0"/>
            </w:tcBorders>
            <w:vAlign w:val="center"/>
          </w:tcPr>
          <w:p>
            <w:pPr>
              <w:pStyle w:val="22"/>
              <w:jc w:val="center"/>
              <w:rPr>
                <w:rFonts w:ascii="仿宋" w:hAnsi="仿宋" w:eastAsia="仿宋" w:cs="仿宋"/>
                <w:lang w:val="en-US"/>
              </w:rPr>
            </w:pPr>
            <w:r>
              <w:rPr>
                <w:rFonts w:hint="eastAsia" w:ascii="仿宋" w:hAnsi="仿宋" w:eastAsia="仿宋" w:cs="仿宋"/>
                <w:lang w:val="en-US"/>
              </w:rPr>
              <w:t>1</w:t>
            </w:r>
          </w:p>
        </w:tc>
        <w:tc>
          <w:tcPr>
            <w:tcW w:w="2309"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2</w:t>
            </w:r>
          </w:p>
        </w:tc>
        <w:tc>
          <w:tcPr>
            <w:tcW w:w="2061" w:type="dxa"/>
            <w:tcBorders>
              <w:left w:val="single" w:color="000000" w:sz="4" w:space="0"/>
              <w:bottom w:val="single" w:color="000000" w:sz="4" w:space="0"/>
              <w:right w:val="single" w:color="000000" w:sz="4" w:space="0"/>
            </w:tcBorders>
            <w:vAlign w:val="center"/>
          </w:tcPr>
          <w:p>
            <w:pPr>
              <w:pStyle w:val="22"/>
              <w:jc w:val="center"/>
              <w:rPr>
                <w:rFonts w:ascii="仿宋" w:hAnsi="仿宋" w:eastAsia="仿宋" w:cs="仿宋"/>
                <w:lang w:val="en-US"/>
              </w:rPr>
            </w:pPr>
            <w:r>
              <w:rPr>
                <w:rFonts w:hint="eastAsia" w:ascii="仿宋" w:hAnsi="仿宋" w:eastAsia="仿宋" w:cs="仿宋"/>
                <w:lang w:val="en-US"/>
              </w:rPr>
              <w:t>2</w:t>
            </w:r>
          </w:p>
        </w:tc>
      </w:tr>
      <w:tr>
        <w:tblPrEx>
          <w:tblLayout w:type="fixed"/>
          <w:tblCellMar>
            <w:top w:w="55" w:type="dxa"/>
            <w:left w:w="55" w:type="dxa"/>
            <w:bottom w:w="55" w:type="dxa"/>
            <w:right w:w="55" w:type="dxa"/>
          </w:tblCellMar>
        </w:tblPrEx>
        <w:trPr>
          <w:trHeight w:val="389" w:hRule="exact"/>
        </w:trPr>
        <w:tc>
          <w:tcPr>
            <w:tcW w:w="8520"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合计</w:t>
            </w:r>
          </w:p>
        </w:tc>
        <w:tc>
          <w:tcPr>
            <w:tcW w:w="2510"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2309" w:type="dxa"/>
            <w:tcBorders>
              <w:left w:val="single" w:color="000000" w:sz="4" w:space="0"/>
              <w:bottom w:val="single" w:color="000000" w:sz="4" w:space="0"/>
            </w:tcBorders>
            <w:vAlign w:val="center"/>
          </w:tcPr>
          <w:p>
            <w:pPr>
              <w:pStyle w:val="22"/>
              <w:jc w:val="right"/>
              <w:rPr>
                <w:rFonts w:ascii="仿宋" w:hAnsi="仿宋" w:eastAsia="仿宋" w:cs="仿宋"/>
              </w:rPr>
            </w:pPr>
          </w:p>
        </w:tc>
        <w:tc>
          <w:tcPr>
            <w:tcW w:w="2061"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7058"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2510"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c>
          <w:tcPr>
            <w:tcW w:w="2309"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c>
          <w:tcPr>
            <w:tcW w:w="2061"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7058"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p>
        </w:tc>
        <w:tc>
          <w:tcPr>
            <w:tcW w:w="2510"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c>
          <w:tcPr>
            <w:tcW w:w="2309"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c>
          <w:tcPr>
            <w:tcW w:w="2061"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bl>
    <w:p>
      <w:pPr>
        <w:jc w:val="both"/>
        <w:rPr>
          <w:rFonts w:ascii="仿宋" w:hAnsi="仿宋" w:eastAsia="仿宋" w:cs="仿宋"/>
        </w:rPr>
      </w:pPr>
      <w:r>
        <w:rPr>
          <w:rFonts w:hint="eastAsia" w:ascii="仿宋" w:hAnsi="仿宋" w:eastAsia="仿宋" w:cs="仿宋"/>
        </w:rPr>
        <w:t>注：本表反映本年度国有资本经营预算财政拨款支出情况。</w:t>
      </w:r>
    </w:p>
    <w:p>
      <w:pPr>
        <w:ind w:left="440" w:leftChars="200"/>
        <w:jc w:val="both"/>
        <w:rPr>
          <w:rFonts w:ascii="仿宋" w:hAnsi="仿宋" w:eastAsia="仿宋" w:cs="仿宋"/>
          <w:lang w:val="en-US"/>
        </w:rPr>
      </w:pPr>
      <w:r>
        <w:rPr>
          <w:rFonts w:ascii="仿宋" w:hAnsi="仿宋" w:eastAsia="仿宋" w:cs="仿宋"/>
        </w:rPr>
        <w:t>本单位无</w:t>
      </w:r>
      <w:r>
        <w:rPr>
          <w:rFonts w:hint="eastAsia" w:ascii="仿宋" w:hAnsi="仿宋" w:eastAsia="仿宋" w:cs="仿宋"/>
        </w:rPr>
        <w:t>国有资本经营预算支出</w:t>
      </w:r>
      <w:r>
        <w:rPr>
          <w:rFonts w:hint="eastAsia" w:ascii="仿宋" w:hAnsi="仿宋" w:eastAsia="仿宋" w:cs="仿宋"/>
          <w:lang w:val="en-US"/>
        </w:rPr>
        <w:t>决算，故本表为空。</w:t>
      </w:r>
    </w:p>
    <w:p>
      <w:pPr>
        <w:spacing w:before="25"/>
        <w:ind w:left="-220" w:leftChars="-100"/>
        <w:jc w:val="both"/>
        <w:rPr>
          <w:rFonts w:ascii="仿宋" w:hAnsi="仿宋" w:eastAsia="仿宋" w:cs="仿宋"/>
          <w:lang w:val="en-US"/>
        </w:rPr>
        <w:sectPr>
          <w:pgSz w:w="16838" w:h="11906" w:orient="landscape"/>
          <w:pgMar w:top="720" w:right="720" w:bottom="720" w:left="720" w:header="170" w:footer="280" w:gutter="0"/>
          <w:pgNumType w:fmt="numberInDash"/>
          <w:cols w:space="720" w:num="1"/>
          <w:formProt w:val="0"/>
          <w:docGrid w:linePitch="100" w:charSpace="0"/>
        </w:sectPr>
      </w:pPr>
    </w:p>
    <w:tbl>
      <w:tblPr>
        <w:tblStyle w:val="13"/>
        <w:tblW w:w="10466" w:type="dxa"/>
        <w:tblInd w:w="53" w:type="dxa"/>
        <w:tblLayout w:type="fixed"/>
        <w:tblCellMar>
          <w:top w:w="55" w:type="dxa"/>
          <w:left w:w="55" w:type="dxa"/>
          <w:bottom w:w="55" w:type="dxa"/>
          <w:right w:w="55" w:type="dxa"/>
        </w:tblCellMar>
      </w:tblPr>
      <w:tblGrid>
        <w:gridCol w:w="1642"/>
        <w:gridCol w:w="4990"/>
        <w:gridCol w:w="3834"/>
      </w:tblGrid>
      <w:tr>
        <w:tblPrEx>
          <w:tblLayout w:type="fixed"/>
          <w:tblCellMar>
            <w:top w:w="55" w:type="dxa"/>
            <w:left w:w="55" w:type="dxa"/>
            <w:bottom w:w="55" w:type="dxa"/>
            <w:right w:w="55" w:type="dxa"/>
          </w:tblCellMar>
        </w:tblPrEx>
        <w:trPr>
          <w:trHeight w:val="319" w:hRule="atLeast"/>
        </w:trPr>
        <w:tc>
          <w:tcPr>
            <w:tcW w:w="10466" w:type="dxa"/>
            <w:gridSpan w:val="3"/>
          </w:tcPr>
          <w:p>
            <w:pPr>
              <w:pStyle w:val="22"/>
              <w:tabs>
                <w:tab w:val="left" w:pos="610"/>
              </w:tabs>
              <w:spacing w:before="28"/>
              <w:ind w:left="8"/>
              <w:jc w:val="center"/>
              <w:rPr>
                <w:rFonts w:ascii="仿宋" w:hAnsi="仿宋" w:eastAsia="仿宋" w:cs="仿宋"/>
                <w:b/>
                <w:bCs/>
                <w:sz w:val="44"/>
                <w:szCs w:val="44"/>
              </w:rPr>
            </w:pPr>
            <w:r>
              <w:rPr>
                <w:rFonts w:hint="eastAsia"/>
                <w:b/>
                <w:bCs/>
                <w:color w:val="000000"/>
                <w:sz w:val="36"/>
                <w:szCs w:val="36"/>
                <w:lang w:eastAsia="ar-SA"/>
              </w:rPr>
              <w:t>一般公共预算机关运行经费支出决算表</w:t>
            </w:r>
          </w:p>
        </w:tc>
      </w:tr>
      <w:tr>
        <w:tblPrEx>
          <w:tblLayout w:type="fixed"/>
          <w:tblCellMar>
            <w:top w:w="55" w:type="dxa"/>
            <w:left w:w="55" w:type="dxa"/>
            <w:bottom w:w="55" w:type="dxa"/>
            <w:right w:w="55" w:type="dxa"/>
          </w:tblCellMar>
        </w:tblPrEx>
        <w:trPr>
          <w:trHeight w:val="90" w:hRule="atLeast"/>
        </w:trPr>
        <w:tc>
          <w:tcPr>
            <w:tcW w:w="6632" w:type="dxa"/>
            <w:gridSpan w:val="2"/>
          </w:tcPr>
          <w:p>
            <w:pPr>
              <w:pStyle w:val="22"/>
              <w:rPr>
                <w:rFonts w:ascii="仿宋" w:hAnsi="仿宋" w:eastAsia="仿宋" w:cs="仿宋"/>
                <w:sz w:val="20"/>
              </w:rPr>
            </w:pPr>
          </w:p>
        </w:tc>
        <w:tc>
          <w:tcPr>
            <w:tcW w:w="3834" w:type="dxa"/>
            <w:vAlign w:val="center"/>
          </w:tcPr>
          <w:p>
            <w:pPr>
              <w:pStyle w:val="22"/>
              <w:jc w:val="right"/>
              <w:rPr>
                <w:rFonts w:ascii="仿宋" w:hAnsi="仿宋" w:eastAsia="仿宋" w:cs="仿宋"/>
              </w:rPr>
            </w:pPr>
            <w:r>
              <w:rPr>
                <w:rFonts w:hint="eastAsia" w:ascii="仿宋" w:hAnsi="仿宋" w:eastAsia="仿宋" w:cs="仿宋"/>
              </w:rPr>
              <w:t>公开1</w:t>
            </w:r>
            <w:r>
              <w:rPr>
                <w:rFonts w:hint="eastAsia" w:ascii="仿宋" w:hAnsi="仿宋" w:eastAsia="仿宋" w:cs="仿宋"/>
                <w:lang w:val="en-US"/>
              </w:rPr>
              <w:t>2</w:t>
            </w:r>
            <w:r>
              <w:rPr>
                <w:rFonts w:hint="eastAsia" w:ascii="仿宋" w:hAnsi="仿宋" w:eastAsia="仿宋" w:cs="仿宋"/>
              </w:rPr>
              <w:t>表</w:t>
            </w:r>
          </w:p>
        </w:tc>
      </w:tr>
      <w:tr>
        <w:tblPrEx>
          <w:tblLayout w:type="fixed"/>
          <w:tblCellMar>
            <w:top w:w="55" w:type="dxa"/>
            <w:left w:w="55" w:type="dxa"/>
            <w:bottom w:w="55" w:type="dxa"/>
            <w:right w:w="55" w:type="dxa"/>
          </w:tblCellMar>
        </w:tblPrEx>
        <w:trPr>
          <w:trHeight w:val="90" w:hRule="atLeast"/>
        </w:trPr>
        <w:tc>
          <w:tcPr>
            <w:tcW w:w="6632" w:type="dxa"/>
            <w:gridSpan w:val="2"/>
            <w:vAlign w:val="center"/>
          </w:tcPr>
          <w:p>
            <w:pPr>
              <w:pStyle w:val="22"/>
              <w:rPr>
                <w:rFonts w:ascii="仿宋" w:hAnsi="仿宋" w:eastAsia="仿宋" w:cs="仿宋"/>
                <w:sz w:val="20"/>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江苏省社会捐助服务中心</w:t>
            </w:r>
          </w:p>
        </w:tc>
        <w:tc>
          <w:tcPr>
            <w:tcW w:w="3834" w:type="dxa"/>
            <w:vAlign w:val="center"/>
          </w:tcPr>
          <w:p>
            <w:pPr>
              <w:pStyle w:val="22"/>
              <w:jc w:val="right"/>
              <w:rPr>
                <w:rFonts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6632" w:type="dxa"/>
            <w:gridSpan w:val="2"/>
            <w:tcBorders>
              <w:top w:val="single" w:color="000000" w:sz="4" w:space="0"/>
              <w:left w:val="single" w:color="000000" w:sz="4" w:space="0"/>
              <w:bottom w:val="single" w:color="000000" w:sz="4" w:space="0"/>
            </w:tcBorders>
          </w:tcPr>
          <w:p>
            <w:pPr>
              <w:pStyle w:val="22"/>
              <w:jc w:val="center"/>
              <w:rPr>
                <w:rFonts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3834" w:type="dxa"/>
            <w:vMerge w:val="restart"/>
            <w:tcBorders>
              <w:top w:val="single" w:color="000000"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机关运行经费支出决算</w:t>
            </w:r>
          </w:p>
        </w:tc>
      </w:tr>
      <w:tr>
        <w:tblPrEx>
          <w:tblLayout w:type="fixed"/>
          <w:tblCellMar>
            <w:top w:w="55" w:type="dxa"/>
            <w:left w:w="55" w:type="dxa"/>
            <w:bottom w:w="55" w:type="dxa"/>
            <w:right w:w="55" w:type="dxa"/>
          </w:tblCellMar>
        </w:tblPrEx>
        <w:trPr>
          <w:trHeight w:val="363" w:hRule="atLeast"/>
        </w:trPr>
        <w:tc>
          <w:tcPr>
            <w:tcW w:w="1642"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科目编码</w:t>
            </w:r>
          </w:p>
        </w:tc>
        <w:tc>
          <w:tcPr>
            <w:tcW w:w="4990" w:type="dxa"/>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科目名称</w:t>
            </w:r>
          </w:p>
        </w:tc>
        <w:tc>
          <w:tcPr>
            <w:tcW w:w="3834" w:type="dxa"/>
            <w:vMerge w:val="continue"/>
            <w:tcBorders>
              <w:left w:val="single" w:color="000000" w:sz="4" w:space="0"/>
              <w:bottom w:val="single" w:color="000000" w:sz="4" w:space="0"/>
              <w:right w:val="single" w:color="000000" w:sz="4" w:space="0"/>
            </w:tcBorders>
          </w:tcPr>
          <w:p>
            <w:pPr>
              <w:rPr>
                <w:rFonts w:ascii="仿宋" w:hAnsi="仿宋" w:eastAsia="仿宋" w:cs="仿宋"/>
              </w:rPr>
            </w:pPr>
          </w:p>
        </w:tc>
      </w:tr>
      <w:tr>
        <w:tblPrEx>
          <w:tblLayout w:type="fixed"/>
          <w:tblCellMar>
            <w:top w:w="55" w:type="dxa"/>
            <w:left w:w="55" w:type="dxa"/>
            <w:bottom w:w="55" w:type="dxa"/>
            <w:right w:w="55" w:type="dxa"/>
          </w:tblCellMar>
        </w:tblPrEx>
        <w:trPr>
          <w:trHeight w:val="229" w:hRule="atLeast"/>
        </w:trPr>
        <w:tc>
          <w:tcPr>
            <w:tcW w:w="6632" w:type="dxa"/>
            <w:gridSpan w:val="2"/>
            <w:tcBorders>
              <w:left w:val="single" w:color="000000" w:sz="4" w:space="0"/>
              <w:bottom w:val="single" w:color="000000" w:sz="4" w:space="0"/>
            </w:tcBorders>
            <w:vAlign w:val="center"/>
          </w:tcPr>
          <w:p>
            <w:pPr>
              <w:pStyle w:val="22"/>
              <w:jc w:val="center"/>
              <w:rPr>
                <w:rFonts w:ascii="仿宋" w:hAnsi="仿宋" w:eastAsia="仿宋" w:cs="仿宋"/>
              </w:rPr>
            </w:pPr>
            <w:r>
              <w:rPr>
                <w:rFonts w:hint="eastAsia" w:ascii="仿宋" w:hAnsi="仿宋" w:eastAsia="仿宋" w:cs="仿宋"/>
              </w:rPr>
              <w:t>合计</w:t>
            </w:r>
          </w:p>
        </w:tc>
        <w:tc>
          <w:tcPr>
            <w:tcW w:w="3834" w:type="dxa"/>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办公费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印刷费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咨询费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30204</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手续费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水费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电费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邮电费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取暖费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30209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物业管理费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差旅费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因公出国（境）费用</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维修（护）费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30214</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租赁费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会议费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培训费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公务接待费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30218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专用材料费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30224</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被装购置费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专用燃料费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劳务费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委托业务费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工会经费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30229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福利费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30231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公务用车运行维护费</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30239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其他交通费用</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30240</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税金及附加费用</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30299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307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债务利息及费用支出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310</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房屋建筑物购建</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办公设备购置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专用设备购置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31005</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基础设施建设</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31006</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大型修缮</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31007</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信息网络及软件购置更新</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31008</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物资储备</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31009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土地补偿</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31010</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安置补助</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地上附着物和青苗补偿</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拆迁补偿</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31013</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公务用车购置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31019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其他交通工具购置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31021</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文物和陈列品购置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31022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无形资产购置</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31099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其他资本性支出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312</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对企业补助</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399</w:t>
            </w:r>
          </w:p>
        </w:tc>
        <w:tc>
          <w:tcPr>
            <w:tcW w:w="4990" w:type="dxa"/>
            <w:tcBorders>
              <w:top w:val="single" w:color="000000" w:sz="4" w:space="0"/>
              <w:left w:val="single" w:color="000000" w:sz="4" w:space="0"/>
              <w:bottom w:val="single" w:color="000000" w:sz="4" w:space="0"/>
              <w:right w:val="single" w:color="000000" w:sz="4" w:space="0"/>
            </w:tcBorders>
            <w:vAlign w:val="center"/>
          </w:tcPr>
          <w:p>
            <w:pPr>
              <w:pStyle w:val="22"/>
              <w:rPr>
                <w:rFonts w:ascii="仿宋" w:hAnsi="仿宋" w:eastAsia="仿宋" w:cs="仿宋"/>
              </w:rPr>
            </w:pPr>
            <w:r>
              <w:rPr>
                <w:rFonts w:hint="eastAsia" w:ascii="仿宋" w:hAnsi="仿宋" w:eastAsia="仿宋" w:cs="仿宋"/>
                <w:b/>
              </w:rPr>
              <w:t>其他支出</w:t>
            </w:r>
          </w:p>
        </w:tc>
        <w:tc>
          <w:tcPr>
            <w:tcW w:w="3834" w:type="dxa"/>
            <w:tcBorders>
              <w:top w:val="single" w:color="000000" w:sz="4" w:space="0"/>
              <w:left w:val="single" w:color="000000" w:sz="4" w:space="0"/>
              <w:bottom w:val="single" w:color="000000" w:sz="4" w:space="0"/>
              <w:right w:val="single" w:color="000000" w:sz="4" w:space="0"/>
            </w:tcBorders>
            <w:vAlign w:val="center"/>
          </w:tcPr>
          <w:p>
            <w:pPr>
              <w:jc w:val="right"/>
              <w:rPr>
                <w:rFonts w:ascii="仿宋" w:hAnsi="仿宋" w:eastAsia="仿宋" w:cs="仿宋"/>
              </w:rPr>
            </w:pPr>
          </w:p>
        </w:tc>
      </w:tr>
    </w:tbl>
    <w:p>
      <w:pPr>
        <w:spacing w:before="25"/>
        <w:ind w:right="-92" w:rightChars="-42"/>
        <w:jc w:val="both"/>
        <w:rPr>
          <w:rFonts w:ascii="仿宋" w:hAnsi="仿宋" w:eastAsia="仿宋" w:cs="仿宋"/>
          <w:lang w:val="en-US"/>
        </w:rPr>
      </w:pPr>
      <w:r>
        <w:rPr>
          <w:rFonts w:hint="eastAsia" w:ascii="仿宋" w:hAnsi="仿宋" w:eastAsia="仿宋" w:cs="仿宋"/>
        </w:rPr>
        <w:t>注：“机关运行经费” 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p>
    <w:p>
      <w:pPr>
        <w:tabs>
          <w:tab w:val="left" w:pos="440"/>
        </w:tabs>
        <w:spacing w:before="25"/>
        <w:ind w:left="440" w:leftChars="200"/>
        <w:jc w:val="both"/>
        <w:rPr>
          <w:rFonts w:ascii="仿宋" w:hAnsi="仿宋" w:eastAsia="仿宋" w:cs="仿宋"/>
        </w:rPr>
      </w:pPr>
      <w:r>
        <w:rPr>
          <w:rFonts w:hint="eastAsia" w:ascii="仿宋" w:hAnsi="仿宋" w:eastAsia="仿宋" w:cs="仿宋"/>
        </w:rPr>
        <w:t>本</w:t>
      </w:r>
      <w:r>
        <w:rPr>
          <w:rFonts w:ascii="仿宋" w:hAnsi="仿宋" w:eastAsia="仿宋" w:cs="仿宋"/>
        </w:rPr>
        <w:t>单位</w:t>
      </w:r>
      <w:r>
        <w:rPr>
          <w:rFonts w:hint="eastAsia" w:ascii="仿宋" w:hAnsi="仿宋" w:eastAsia="仿宋" w:cs="仿宋"/>
        </w:rPr>
        <w:t>无一般公共预算机关运行经费支出决算，故本表为空。</w:t>
      </w:r>
    </w:p>
    <w:p>
      <w:pPr>
        <w:tabs>
          <w:tab w:val="left" w:pos="440"/>
        </w:tabs>
        <w:spacing w:before="25"/>
        <w:ind w:left="440" w:leftChars="200"/>
        <w:jc w:val="both"/>
        <w:rPr>
          <w:rFonts w:ascii="仿宋" w:hAnsi="仿宋" w:eastAsia="仿宋" w:cs="仿宋"/>
          <w:lang w:val="en-US"/>
        </w:rPr>
        <w:sectPr>
          <w:footerReference r:id="rId21" w:type="default"/>
          <w:type w:val="continuous"/>
          <w:pgSz w:w="11906" w:h="16838"/>
          <w:pgMar w:top="720" w:right="720" w:bottom="720" w:left="720" w:header="170" w:footer="280" w:gutter="0"/>
          <w:pgNumType w:fmt="numberInDash"/>
          <w:cols w:space="720" w:num="1"/>
          <w:formProt w:val="0"/>
          <w:docGrid w:linePitch="100" w:charSpace="0"/>
        </w:sectPr>
      </w:pPr>
    </w:p>
    <w:tbl>
      <w:tblPr>
        <w:tblStyle w:val="13"/>
        <w:tblW w:w="10459" w:type="dxa"/>
        <w:tblInd w:w="45" w:type="dxa"/>
        <w:tblLayout w:type="fixed"/>
        <w:tblCellMar>
          <w:top w:w="55" w:type="dxa"/>
          <w:left w:w="55" w:type="dxa"/>
          <w:bottom w:w="55" w:type="dxa"/>
          <w:right w:w="55" w:type="dxa"/>
        </w:tblCellMar>
      </w:tblPr>
      <w:tblGrid>
        <w:gridCol w:w="4472"/>
        <w:gridCol w:w="722"/>
        <w:gridCol w:w="1992"/>
        <w:gridCol w:w="3273"/>
      </w:tblGrid>
      <w:tr>
        <w:tblPrEx>
          <w:tblLayout w:type="fixed"/>
          <w:tblCellMar>
            <w:top w:w="55" w:type="dxa"/>
            <w:left w:w="55" w:type="dxa"/>
            <w:bottom w:w="55" w:type="dxa"/>
            <w:right w:w="55" w:type="dxa"/>
          </w:tblCellMar>
        </w:tblPrEx>
        <w:trPr>
          <w:trHeight w:val="333" w:hRule="atLeast"/>
        </w:trPr>
        <w:tc>
          <w:tcPr>
            <w:tcW w:w="10459" w:type="dxa"/>
            <w:gridSpan w:val="4"/>
            <w:vAlign w:val="center"/>
          </w:tcPr>
          <w:p>
            <w:pPr>
              <w:pStyle w:val="22"/>
              <w:jc w:val="center"/>
              <w:rPr>
                <w:rFonts w:ascii="仿宋" w:hAnsi="仿宋" w:eastAsia="仿宋" w:cs="仿宋"/>
                <w:b/>
                <w:bCs/>
                <w:sz w:val="44"/>
                <w:szCs w:val="44"/>
              </w:rPr>
            </w:pPr>
            <w:r>
              <w:rPr>
                <w:rFonts w:hint="eastAsia"/>
                <w:b/>
                <w:bCs/>
                <w:color w:val="000000"/>
                <w:sz w:val="36"/>
                <w:szCs w:val="36"/>
                <w:lang w:eastAsia="ar-SA"/>
              </w:rPr>
              <w:t>政府采购支出决算表</w:t>
            </w:r>
          </w:p>
        </w:tc>
      </w:tr>
      <w:tr>
        <w:tblPrEx>
          <w:tblLayout w:type="fixed"/>
          <w:tblCellMar>
            <w:top w:w="55" w:type="dxa"/>
            <w:left w:w="55" w:type="dxa"/>
            <w:bottom w:w="55" w:type="dxa"/>
            <w:right w:w="55" w:type="dxa"/>
          </w:tblCellMar>
        </w:tblPrEx>
        <w:trPr>
          <w:trHeight w:val="333" w:hRule="atLeast"/>
        </w:trPr>
        <w:tc>
          <w:tcPr>
            <w:tcW w:w="4472" w:type="dxa"/>
          </w:tcPr>
          <w:p>
            <w:pPr>
              <w:pStyle w:val="22"/>
              <w:rPr>
                <w:rFonts w:ascii="仿宋" w:hAnsi="仿宋" w:eastAsia="仿宋" w:cs="仿宋"/>
              </w:rPr>
            </w:pPr>
          </w:p>
        </w:tc>
        <w:tc>
          <w:tcPr>
            <w:tcW w:w="722" w:type="dxa"/>
          </w:tcPr>
          <w:p>
            <w:pPr>
              <w:pStyle w:val="22"/>
              <w:rPr>
                <w:rFonts w:ascii="仿宋" w:hAnsi="仿宋" w:eastAsia="仿宋" w:cs="仿宋"/>
              </w:rPr>
            </w:pPr>
          </w:p>
        </w:tc>
        <w:tc>
          <w:tcPr>
            <w:tcW w:w="1992" w:type="dxa"/>
          </w:tcPr>
          <w:p>
            <w:pPr>
              <w:pStyle w:val="22"/>
              <w:rPr>
                <w:rFonts w:ascii="仿宋" w:hAnsi="仿宋" w:eastAsia="仿宋" w:cs="仿宋"/>
              </w:rPr>
            </w:pPr>
          </w:p>
        </w:tc>
        <w:tc>
          <w:tcPr>
            <w:tcW w:w="3273" w:type="dxa"/>
            <w:vAlign w:val="center"/>
          </w:tcPr>
          <w:p>
            <w:pPr>
              <w:pStyle w:val="22"/>
              <w:jc w:val="right"/>
              <w:rPr>
                <w:rFonts w:ascii="仿宋" w:hAnsi="仿宋" w:eastAsia="仿宋" w:cs="仿宋"/>
              </w:rPr>
            </w:pPr>
            <w:r>
              <w:rPr>
                <w:rFonts w:hint="eastAsia" w:ascii="仿宋" w:hAnsi="仿宋" w:eastAsia="仿宋" w:cs="仿宋"/>
              </w:rPr>
              <w:t>公开1</w:t>
            </w:r>
            <w:r>
              <w:rPr>
                <w:rFonts w:hint="eastAsia" w:ascii="仿宋" w:hAnsi="仿宋" w:eastAsia="仿宋" w:cs="仿宋"/>
                <w:lang w:val="en-US"/>
              </w:rPr>
              <w:t>3</w:t>
            </w:r>
            <w:r>
              <w:rPr>
                <w:rFonts w:hint="eastAsia" w:ascii="仿宋" w:hAnsi="仿宋" w:eastAsia="仿宋" w:cs="仿宋"/>
              </w:rPr>
              <w:t>表</w:t>
            </w:r>
          </w:p>
        </w:tc>
      </w:tr>
      <w:tr>
        <w:tblPrEx>
          <w:tblLayout w:type="fixed"/>
          <w:tblCellMar>
            <w:top w:w="55" w:type="dxa"/>
            <w:left w:w="55" w:type="dxa"/>
            <w:bottom w:w="55" w:type="dxa"/>
            <w:right w:w="55" w:type="dxa"/>
          </w:tblCellMar>
        </w:tblPrEx>
        <w:trPr>
          <w:trHeight w:val="90" w:hRule="atLeast"/>
        </w:trPr>
        <w:tc>
          <w:tcPr>
            <w:tcW w:w="7186" w:type="dxa"/>
            <w:gridSpan w:val="3"/>
          </w:tcPr>
          <w:p>
            <w:pPr>
              <w:pStyle w:val="22"/>
              <w:rPr>
                <w:rFonts w:ascii="仿宋" w:hAnsi="仿宋" w:eastAsia="仿宋" w:cs="仿宋"/>
              </w:rPr>
            </w:pPr>
            <w:r>
              <w:rPr>
                <w:rFonts w:hint="eastAsia" w:ascii="仿宋" w:hAnsi="仿宋" w:eastAsia="仿宋" w:cs="仿宋"/>
                <w:color w:val="000000"/>
              </w:rPr>
              <w:t>单位</w:t>
            </w:r>
            <w:r>
              <w:rPr>
                <w:rFonts w:ascii="仿宋" w:hAnsi="仿宋" w:eastAsia="仿宋" w:cs="仿宋"/>
                <w:color w:val="000000"/>
              </w:rPr>
              <w:t>名称：</w:t>
            </w:r>
            <w:r>
              <w:rPr>
                <w:rFonts w:hint="eastAsia" w:ascii="仿宋" w:hAnsi="仿宋" w:eastAsia="仿宋" w:cs="仿宋"/>
              </w:rPr>
              <w:t>江苏省社会捐助服务中心</w:t>
            </w:r>
          </w:p>
        </w:tc>
        <w:tc>
          <w:tcPr>
            <w:tcW w:w="3273" w:type="dxa"/>
            <w:vAlign w:val="center"/>
          </w:tcPr>
          <w:p>
            <w:pPr>
              <w:pStyle w:val="22"/>
              <w:jc w:val="right"/>
              <w:rPr>
                <w:rFonts w:ascii="仿宋" w:hAnsi="仿宋" w:eastAsia="仿宋" w:cs="仿宋"/>
              </w:rPr>
            </w:pPr>
            <w:r>
              <w:rPr>
                <w:rFonts w:hint="eastAsia" w:ascii="仿宋" w:hAnsi="仿宋" w:eastAsia="仿宋" w:cs="仿宋"/>
              </w:rPr>
              <w:t>单位：万元</w:t>
            </w:r>
          </w:p>
        </w:tc>
      </w:tr>
      <w:tr>
        <w:tblPrEx>
          <w:tblLayout w:type="fixed"/>
          <w:tblCellMar>
            <w:top w:w="55" w:type="dxa"/>
            <w:left w:w="55" w:type="dxa"/>
            <w:bottom w:w="55" w:type="dxa"/>
            <w:right w:w="55" w:type="dxa"/>
          </w:tblCellMar>
        </w:tblPrEx>
        <w:trPr>
          <w:trHeight w:val="244" w:hRule="atLeast"/>
        </w:trPr>
        <w:tc>
          <w:tcPr>
            <w:tcW w:w="4472" w:type="dxa"/>
            <w:tcBorders>
              <w:top w:val="single" w:color="000000" w:sz="4" w:space="0"/>
              <w:left w:val="single" w:color="000000" w:sz="4" w:space="0"/>
              <w:bottom w:val="single" w:color="000000" w:sz="4" w:space="0"/>
            </w:tcBorders>
            <w:vAlign w:val="center"/>
          </w:tcPr>
          <w:p>
            <w:pPr>
              <w:pStyle w:val="22"/>
              <w:jc w:val="center"/>
              <w:rPr>
                <w:rFonts w:ascii="仿宋" w:hAnsi="仿宋" w:eastAsia="仿宋" w:cs="仿宋"/>
                <w:lang w:val="en-US"/>
              </w:rPr>
            </w:pPr>
            <w:r>
              <w:rPr>
                <w:rFonts w:ascii="仿宋" w:hAnsi="仿宋" w:eastAsia="仿宋" w:cs="仿宋"/>
              </w:rPr>
              <w:t>项目</w:t>
            </w:r>
          </w:p>
        </w:tc>
        <w:tc>
          <w:tcPr>
            <w:tcW w:w="5987" w:type="dxa"/>
            <w:gridSpan w:val="3"/>
            <w:tcBorders>
              <w:top w:val="single" w:color="000000" w:sz="4" w:space="0"/>
              <w:left w:val="single" w:color="000000" w:sz="4" w:space="0"/>
              <w:bottom w:val="single" w:color="000000" w:sz="4" w:space="0"/>
              <w:right w:val="single" w:color="000000" w:sz="4" w:space="0"/>
            </w:tcBorders>
            <w:vAlign w:val="center"/>
          </w:tcPr>
          <w:p>
            <w:pPr>
              <w:pStyle w:val="22"/>
              <w:jc w:val="center"/>
              <w:rPr>
                <w:rFonts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一、政府采购支出合计</w:t>
            </w:r>
          </w:p>
        </w:tc>
        <w:tc>
          <w:tcPr>
            <w:tcW w:w="5987" w:type="dxa"/>
            <w:gridSpan w:val="3"/>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（一）政府采购货物支出</w:t>
            </w:r>
          </w:p>
        </w:tc>
        <w:tc>
          <w:tcPr>
            <w:tcW w:w="5987" w:type="dxa"/>
            <w:gridSpan w:val="3"/>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（二）政府采购工程支出</w:t>
            </w:r>
          </w:p>
        </w:tc>
        <w:tc>
          <w:tcPr>
            <w:tcW w:w="5987" w:type="dxa"/>
            <w:gridSpan w:val="3"/>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 xml:space="preserve">  （三）政府采购服务支出</w:t>
            </w:r>
          </w:p>
        </w:tc>
        <w:tc>
          <w:tcPr>
            <w:tcW w:w="5987" w:type="dxa"/>
            <w:gridSpan w:val="3"/>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二、政府采购授予中小企业合同金额</w:t>
            </w:r>
          </w:p>
        </w:tc>
        <w:tc>
          <w:tcPr>
            <w:tcW w:w="5987" w:type="dxa"/>
            <w:gridSpan w:val="3"/>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r>
        <w:tblPrEx>
          <w:tblLayout w:type="fixed"/>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pPr>
              <w:pStyle w:val="22"/>
              <w:rPr>
                <w:rFonts w:ascii="仿宋" w:hAnsi="仿宋" w:eastAsia="仿宋" w:cs="仿宋"/>
              </w:rPr>
            </w:pPr>
            <w:r>
              <w:rPr>
                <w:rFonts w:hint="eastAsia" w:ascii="仿宋" w:hAnsi="仿宋" w:eastAsia="仿宋" w:cs="仿宋"/>
              </w:rPr>
              <w:t xml:space="preserve">  其中：授予小微企业合同金额</w:t>
            </w:r>
          </w:p>
        </w:tc>
        <w:tc>
          <w:tcPr>
            <w:tcW w:w="5987" w:type="dxa"/>
            <w:gridSpan w:val="3"/>
            <w:tcBorders>
              <w:left w:val="single" w:color="000000" w:sz="4" w:space="0"/>
              <w:bottom w:val="single" w:color="000000" w:sz="4" w:space="0"/>
              <w:right w:val="single" w:color="000000" w:sz="4" w:space="0"/>
            </w:tcBorders>
            <w:vAlign w:val="center"/>
          </w:tcPr>
          <w:p>
            <w:pPr>
              <w:pStyle w:val="22"/>
              <w:jc w:val="right"/>
              <w:rPr>
                <w:rFonts w:ascii="仿宋" w:hAnsi="仿宋" w:eastAsia="仿宋" w:cs="仿宋"/>
              </w:rPr>
            </w:pPr>
          </w:p>
        </w:tc>
      </w:tr>
    </w:tbl>
    <w:p>
      <w:pPr>
        <w:jc w:val="both"/>
        <w:rPr>
          <w:rFonts w:ascii="仿宋" w:hAnsi="仿宋" w:eastAsia="仿宋" w:cs="仿宋"/>
          <w:lang w:val="en-US"/>
        </w:rPr>
      </w:pPr>
      <w:r>
        <w:rPr>
          <w:rFonts w:hint="eastAsia" w:ascii="仿宋" w:hAnsi="仿宋" w:eastAsia="仿宋" w:cs="仿宋"/>
        </w:rPr>
        <w:t>注：</w:t>
      </w:r>
      <w:r>
        <w:rPr>
          <w:rFonts w:hint="eastAsia" w:ascii="仿宋" w:hAnsi="仿宋" w:eastAsia="仿宋" w:cs="仿宋"/>
          <w:lang w:val="en-US"/>
        </w:rPr>
        <w:t>政府采购支出信息为单位纳入部门预算范围的各项政府采购支出情况。</w:t>
      </w:r>
    </w:p>
    <w:p>
      <w:pPr>
        <w:ind w:left="440" w:leftChars="200"/>
        <w:jc w:val="both"/>
        <w:rPr>
          <w:rFonts w:ascii="仿宋" w:hAnsi="仿宋" w:eastAsia="仿宋" w:cs="仿宋"/>
        </w:rPr>
      </w:pPr>
      <w:r>
        <w:rPr>
          <w:rFonts w:hint="eastAsia" w:ascii="仿宋" w:hAnsi="仿宋" w:eastAsia="仿宋" w:cs="仿宋"/>
        </w:rPr>
        <w:t>本</w:t>
      </w:r>
      <w:r>
        <w:rPr>
          <w:rFonts w:ascii="仿宋" w:hAnsi="仿宋" w:eastAsia="仿宋" w:cs="仿宋"/>
        </w:rPr>
        <w:t>单位</w:t>
      </w:r>
      <w:r>
        <w:rPr>
          <w:rFonts w:hint="eastAsia" w:ascii="仿宋" w:hAnsi="仿宋" w:eastAsia="仿宋" w:cs="仿宋"/>
        </w:rPr>
        <w:t>无政府采购支出决算，故本表为空。</w:t>
      </w:r>
    </w:p>
    <w:p>
      <w:pPr>
        <w:ind w:left="440" w:leftChars="200"/>
        <w:jc w:val="both"/>
        <w:rPr>
          <w:rFonts w:ascii="仿宋" w:hAnsi="仿宋" w:eastAsia="仿宋" w:cs="仿宋"/>
        </w:rPr>
        <w:sectPr>
          <w:pgSz w:w="11906" w:h="16838"/>
          <w:pgMar w:top="720" w:right="720" w:bottom="720" w:left="720" w:header="170" w:footer="280" w:gutter="0"/>
          <w:pgNumType w:fmt="numberInDash"/>
          <w:cols w:space="720" w:num="1"/>
          <w:formProt w:val="0"/>
          <w:docGrid w:linePitch="100" w:charSpace="0"/>
        </w:sectPr>
      </w:pPr>
    </w:p>
    <w:p>
      <w:pPr>
        <w:pStyle w:val="5"/>
        <w:tabs>
          <w:tab w:val="left" w:pos="3077"/>
        </w:tabs>
        <w:spacing w:line="616" w:lineRule="exact"/>
        <w:rPr>
          <w:rFonts w:ascii="宋体" w:hAnsi="宋体" w:eastAsia="宋体" w:cs="宋体"/>
          <w:b/>
          <w:bCs/>
          <w:color w:val="000000"/>
          <w:lang w:eastAsia="ar-SA"/>
        </w:rPr>
      </w:pPr>
      <w:r>
        <w:rPr>
          <w:rFonts w:hint="eastAsia" w:ascii="宋体" w:hAnsi="宋体" w:eastAsia="宋体" w:cs="宋体"/>
          <w:b/>
          <w:bCs/>
          <w:color w:val="000000"/>
          <w:lang w:eastAsia="ar-SA"/>
        </w:rPr>
        <w:t>第三部分</w:t>
      </w:r>
      <w:r>
        <w:rPr>
          <w:rFonts w:hint="eastAsia" w:ascii="宋体" w:hAnsi="宋体" w:eastAsia="宋体" w:cs="宋体"/>
          <w:b/>
          <w:bCs/>
          <w:color w:val="000000"/>
        </w:rPr>
        <w:t>2021</w:t>
      </w:r>
      <w:r>
        <w:rPr>
          <w:rFonts w:hint="eastAsia" w:ascii="宋体" w:hAnsi="宋体" w:eastAsia="宋体" w:cs="宋体"/>
          <w:b/>
          <w:bCs/>
          <w:color w:val="000000"/>
          <w:lang w:eastAsia="ar-SA"/>
        </w:rPr>
        <w:t>年度</w:t>
      </w:r>
      <w:r>
        <w:rPr>
          <w:rFonts w:ascii="宋体" w:hAnsi="宋体" w:eastAsia="宋体" w:cs="宋体"/>
          <w:b/>
          <w:color w:val="000000"/>
        </w:rPr>
        <w:t>单位决算情况说明</w:t>
      </w:r>
    </w:p>
    <w:p>
      <w:pPr>
        <w:pStyle w:val="8"/>
        <w:tabs>
          <w:tab w:val="left" w:pos="3864"/>
          <w:tab w:val="left" w:pos="6248"/>
          <w:tab w:val="left" w:pos="7386"/>
        </w:tabs>
        <w:spacing w:before="1" w:line="360" w:lineRule="auto"/>
        <w:ind w:left="348" w:right="420" w:firstLine="640"/>
        <w:jc w:val="both"/>
        <w:rPr>
          <w:rFonts w:ascii="仿宋" w:hAnsi="仿宋" w:eastAsia="仿宋" w:cs="仿宋"/>
          <w:lang w:val="en-US"/>
        </w:rPr>
      </w:pP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一、收入支出决算总体情况说明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2021年度收入、支出决算总计1,593.14万元。与上年相比，收、支总计各增加18.25万元，增长1.16%。其中：</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（一）收入决算总计1,593.14万元。包括：</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1.本年收入决算合计260.89万元。与上年相比，减少59.02万元，减少18.45%，变动原因：上一年度新冠疫情捐赠收入75.88万，本年度该捐赠收入大幅度减少。</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2.使用非财政拨款结余0万元。与上年决算数相同。</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3.年初结转和结余1,332.26万元。与上年相比，增加77.28万元，增长6.16%，变动原因：捐赠结余及往年度累计盈余。</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（二）支出决算总计1,593.14万元。包括：</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1.本年支出决算合计440.49万元。与上年相比，增加28.65万元，增长6.96%，变动原因：本年度定向资助贫困家庭支出增长较大。</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2.结余分配0万元。与上年决算数相同。</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3.年末结转和结余1,152.66万元。结转和结余事项：捐赠结余及往年度累计盈余。与上年相比，减少10.39万元，减少0.89%，变动原因：本年度定向资助贫困家庭支出增长较大。</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二、收入决算情况说明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本年收入决算合计260.89万元，其中：财政拨款收入260.85万元，占99.98%；上级补助收入0万元，占0%；财政专户管理教育收费0万元，占0%；事业收入（不含专户管理教育收费）0万元，占0%；经营收入0万元，占0%；附属单位上缴收入0万元，占0%；其他收入0.04万元，占0.02%。</w:t>
      </w:r>
    </w:p>
    <w:p>
      <w:pPr>
        <w:pStyle w:val="8"/>
        <w:tabs>
          <w:tab w:val="left" w:pos="3864"/>
          <w:tab w:val="left" w:pos="6248"/>
          <w:tab w:val="left" w:pos="7386"/>
        </w:tabs>
        <w:overflowPunct w:val="0"/>
        <w:spacing w:before="1" w:line="360" w:lineRule="auto"/>
        <w:ind w:left="-3" w:right="420" w:firstLine="3"/>
        <w:jc w:val="center"/>
        <w:rPr>
          <w:rFonts w:ascii="仿宋" w:hAnsi="仿宋" w:eastAsia="仿宋" w:cs="仿宋"/>
          <w:lang w:val="en-US"/>
        </w:rPr>
      </w:pPr>
      <w:r>
        <w:rPr>
          <w:rFonts w:hint="eastAsia" w:ascii="仿宋" w:hAnsi="仿宋" w:eastAsia="仿宋" w:cs="仿宋"/>
          <w:lang w:val="en-US" w:bidi="ar-SA"/>
        </w:rPr>
        <w:drawing>
          <wp:inline distT="0" distB="0" distL="0" distR="0">
            <wp:extent cx="6134100" cy="3429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23"/>
                    <a:stretch>
                      <a:fillRect/>
                    </a:stretch>
                  </pic:blipFill>
                  <pic:spPr>
                    <a:xfrm>
                      <a:off x="0" y="0"/>
                      <a:ext cx="6134100" cy="3429000"/>
                    </a:xfrm>
                    <a:prstGeom prst="rect">
                      <a:avLst/>
                    </a:prstGeom>
                  </pic:spPr>
                </pic:pic>
              </a:graphicData>
            </a:graphic>
          </wp:inline>
        </w:drawing>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三、支出决算情况说明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2021年度本年支出决算合计440.49万元，其中：基本支出252.81万元，占57.39%；项目支出187.68万元，占42.61%；上缴上级支出0万元，占0%；经营支出0万元，占0%；对附属单位补助支出0万元，占0%。</w:t>
      </w:r>
    </w:p>
    <w:p>
      <w:pPr>
        <w:pStyle w:val="8"/>
        <w:tabs>
          <w:tab w:val="left" w:pos="3864"/>
          <w:tab w:val="left" w:pos="6248"/>
          <w:tab w:val="left" w:pos="7386"/>
        </w:tabs>
        <w:overflowPunct w:val="0"/>
        <w:spacing w:before="1" w:line="360" w:lineRule="auto"/>
        <w:ind w:left="-3" w:right="420" w:firstLine="3"/>
        <w:jc w:val="center"/>
        <w:rPr>
          <w:rFonts w:ascii="仿宋" w:hAnsi="仿宋" w:eastAsia="仿宋" w:cs="仿宋"/>
          <w:lang w:val="en-US"/>
        </w:rPr>
      </w:pPr>
      <w:r>
        <w:rPr>
          <w:rFonts w:hint="eastAsia" w:ascii="仿宋" w:hAnsi="仿宋" w:eastAsia="仿宋" w:cs="仿宋"/>
          <w:lang w:val="en-US" w:bidi="ar-SA"/>
        </w:rPr>
        <w:drawing>
          <wp:inline distT="0" distB="0" distL="0" distR="0">
            <wp:extent cx="6134100" cy="3429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4"/>
                    <a:stretch>
                      <a:fillRect/>
                    </a:stretch>
                  </pic:blipFill>
                  <pic:spPr>
                    <a:xfrm>
                      <a:off x="0" y="0"/>
                      <a:ext cx="6134100" cy="3429000"/>
                    </a:xfrm>
                    <a:prstGeom prst="rect">
                      <a:avLst/>
                    </a:prstGeom>
                  </pic:spPr>
                </pic:pic>
              </a:graphicData>
            </a:graphic>
          </wp:inline>
        </w:drawing>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四、财政拨款收入支出决算总体情况说明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2021年度财政拨款收入、支出决算总计371.56万元。与上年相比，收、支总计各增加34.88万元，增长10.36%，变动原因：本年度定向资助贫困家庭支出增长较大、人员变动及工资政策性调整导致支出经费增加。</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五、财政拨款支出决算情况说明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财政拨款支出决算反映的是一般公共预算、政府性基金预算和国有资本经营预算财政拨款支出的总体情况，既包括使用本年从本级财政取得的财政拨款发生的支出，也包括使用上年度财政拨款结转资金发生的支出。</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2021年度财政拨款支出决算260.49万元，占本年支出合计的59.14%。与2021年度财政拨款支出年初预算223.11万元相比，完成年初预算的116.75%。其中：</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（一）社会保障和就业支出（类）</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1.行政事业单位养老支出（款）机关事业单位基本养老保险缴费支出（项）。年初预算11.59万元，支出决算11.59万元，完成年初预算的100%。决算数与年初预算数相同。</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2.行政事业单位养老支出（款）机关事业单位职业年金缴费支出（项）。年初预算5.98万元，支出决算5.8万元，完成年初预算的96.99%。决算数与年初预算数的差异原因：人员变动及工资政策性调整。</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3.其他社会保障和就业支出（款）其他社会保障和就业支出（项）。年初预算142.57万元，支出决算180.13万元，完成年初预算的126.34%。决算数与年初预算数的差异原因：人员变动及工资政策性调整导致支出经费增加。</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（二）住房保障支出（类）</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1.住房改革支出（款）住房公积金（项）。年初预算19.89万元，支出决算19.89万元，完成年初预算的100%。决算数与年初预算数相同。</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2.住房改革支出（款）提租补贴（项）。年初预算43.08万元，支出决算43.08万元，完成年初预算的100%。决算数与年初预算数相同。</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六、财政拨款基本支出决算情况说明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2021年度财政拨款基本支出决算252.81万元，其中：</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楷体" w:hAnsi="楷体" w:eastAsia="楷体" w:cs="楷体"/>
        </w:rPr>
        <w:t>（一）人员经费235.59万元。</w:t>
      </w:r>
      <w:r>
        <w:rPr>
          <w:rFonts w:ascii="仿宋" w:hAnsi="仿宋" w:eastAsia="仿宋" w:cs="仿宋"/>
        </w:rPr>
        <w:t>主要包括：基本工资、津贴补贴、奖金、绩效工资、机关事业单位基本养老保险缴费、职业年金缴费、其他社会保障缴费、住房公积金、医疗费、其他工资福利支出。</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楷体" w:hAnsi="楷体" w:eastAsia="楷体" w:cs="楷体"/>
        </w:rPr>
        <w:t>（二）公用经费17.22万元。</w:t>
      </w:r>
      <w:r>
        <w:rPr>
          <w:rFonts w:ascii="仿宋" w:hAnsi="仿宋" w:eastAsia="仿宋" w:cs="仿宋"/>
        </w:rPr>
        <w:t>主要包括：办公费、手续费、邮电费、差旅费、工会经费、福利费、公务用车运行维护费、其他商品和服务支出。</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七、一般公共预算支出决算情况说明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2021年度一般公共预算财政拨款支出决算260.49万元。与上年相比，增加34.52万元，增长15.28%，变动原因：人员变动及工资政策性调整导致支出经费增加。</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八、一般公共预算基本支出决算情况说明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2021年度一般公共预算财政拨款基本支出决算252.81万元，其中：</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楷体" w:hAnsi="楷体" w:eastAsia="楷体" w:cs="楷体"/>
        </w:rPr>
        <w:t>（一）人员经费235.59万元。</w:t>
      </w:r>
      <w:r>
        <w:rPr>
          <w:rFonts w:ascii="仿宋" w:hAnsi="仿宋" w:eastAsia="仿宋" w:cs="仿宋"/>
        </w:rPr>
        <w:t>主要包括：基本工资、津贴补贴、奖金、绩效工资、机关事业单位基本养老保险缴费、职业年金缴费、其他社会保障缴费、住房公积金、医疗费、其他工资福利支出。</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楷体" w:hAnsi="楷体" w:eastAsia="楷体" w:cs="楷体"/>
        </w:rPr>
        <w:t>（二）公用经费17.22万元。</w:t>
      </w:r>
      <w:r>
        <w:rPr>
          <w:rFonts w:ascii="仿宋" w:hAnsi="仿宋" w:eastAsia="仿宋" w:cs="仿宋"/>
        </w:rPr>
        <w:t>主要包括：办公费、手续费、邮电费、差旅费、工会经费、福利费、公务用车运行维护费、其他商品和服务支出。</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九、一般公共预算“三公”经费、会议费、培训费支出情况说明</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（一）一般公共预算“三公”经费支出总体情况说明。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一般公共预算“三公”经费支出决算2.44万元。与上年相比，增加1.62万元，变动原因：2020年受疫情影响，车辆使用率较低，车辆运行维护成本较少。其中，因公出国（境）费支出0万元，占“三公”经费的0%；公务用车购置及运行维护费支出2.44万元，占“三公”经费的100%；公务接待费支出0万元，占“三公”经费的0%。</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（二）一般公共预算“三公”经费支出具体情况说明。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1．因公出国（境）费支出预算0万元，支出决算0万元，完成预算的100%，决算数与预算数相同。全年使用一般公共预算财政拨款涉及的出国（境）团组0个，累计0人次。</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2．公务用车购置及运行维护费支出预算2.5万元，支出决算2.44万元，完成预算的97.6%，决算数与预算数的差异原因：本着厉行节约的原则，车辆运行维护实际支出2.44万。其中：</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（1）公务用车购置支出决算0万元。本年度使用一般公共预算财政拨款购置公务用车0辆。</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公务用车运行维护费支出决算2.44万元。公务用车运行维护费主要用于按规定保留的公务用车的燃料费、维修费、过桥过路费、保险费、安全奖励费用等支出。截至2021年12月31日，使用一般公共预算财政拨款开支的公务用车保有量为1辆。</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3．公务接待费支出预算0万元，支出决算0万元，完成预算的100%，决算数与预算数相同。其中：国内公务接待支出0万元，接待0批次，0人次；国（境）外公务接待支出0万元，接待0批次0人次。</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（三）一般公共预算会议费支出决算情况说明。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2021年度一般公共预算财政拨款会议费支出预算0万元，支出决算0万元，完成预算的100%，决算数与预算数相同。2021年度全年召开会议0个，参加会议0人次。</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（四）一般公共预算培训费支出决算情况说明。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2021年度一般公共预算财政拨款培训费支出预算0万元，支出决算0万元，完成预算的100%，决算数与预算数相同。2021年度全年组织培训0个，组织培训0人次。</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十、政府性基金预算财政拨款支出决算情况说明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2021年度政府性基金预算财政拨款支出决算0万元。与上年决算数相同。</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十一、国有资本经营预算财政拨款支出决算情况说明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2021年度国有资本经营预算财政拨款支出决算0万元。与上年决算数相同。</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十二、一般公共预算机关运行经费支出决算情况说明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2021年度机关运行经费支出决算0万元。与上年决算数相同。</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十三、政府采购支出决算情况说明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2021年度政府采购支出总额0万元，其中：政府采购货物支出0万元、政府采购工程支出0万元、政府采购服务支出0万元。政府采购授予中小企业合同金额0万元，其中：授予小微企业合同金额0万元。</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十四、国有资产占用情况说明</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截至2021年12月31日，本单位共有车辆1辆，其中：副部(省)级及以上领导用车0辆、主要领导干部用车0辆、机要通信用车0辆、应急保障用车0辆、执法执勤用车0辆、特种专业技术用车0辆、离退休干部用车0辆、其他用车1辆；单价50万元（含）以上的通用设备0台（套），单价100万元（含）以上的专用设备0台（套）。</w:t>
      </w:r>
    </w:p>
    <w:p>
      <w:pPr>
        <w:pStyle w:val="8"/>
        <w:tabs>
          <w:tab w:val="left" w:pos="3864"/>
          <w:tab w:val="left" w:pos="6248"/>
          <w:tab w:val="left" w:pos="7386"/>
        </w:tabs>
        <w:overflowPunct w:val="0"/>
        <w:spacing w:before="1" w:line="360" w:lineRule="auto"/>
        <w:ind w:left="440" w:leftChars="200" w:right="420" w:firstLine="662" w:firstLineChars="206"/>
        <w:jc w:val="both"/>
        <w:rPr>
          <w:rFonts w:ascii="仿宋" w:hAnsi="仿宋" w:eastAsia="仿宋" w:cs="仿宋"/>
          <w:lang w:val="en-US"/>
        </w:rPr>
      </w:pPr>
      <w:r>
        <w:rPr>
          <w:rFonts w:ascii="仿宋" w:hAnsi="仿宋" w:eastAsia="仿宋" w:cs="仿宋"/>
          <w:b/>
        </w:rPr>
        <w:t>十五、预算绩效评价工作开展情况</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2021年度，本单位共0个项目开展了财政重点绩效评价，涉及财政性资金合计0万元；本单位未开展单位整体支出财政重点绩效评价，涉及财政性资金0万元。</w:t>
      </w:r>
    </w:p>
    <w:p>
      <w:pPr>
        <w:pStyle w:val="8"/>
        <w:tabs>
          <w:tab w:val="left" w:pos="3864"/>
          <w:tab w:val="left" w:pos="6248"/>
          <w:tab w:val="left" w:pos="7386"/>
        </w:tabs>
        <w:overflowPunct w:val="0"/>
        <w:spacing w:before="1" w:line="360" w:lineRule="auto"/>
        <w:ind w:left="440" w:leftChars="200" w:right="420" w:firstLine="659" w:firstLineChars="206"/>
        <w:jc w:val="both"/>
        <w:rPr>
          <w:rFonts w:ascii="仿宋" w:hAnsi="仿宋" w:eastAsia="仿宋" w:cs="仿宋"/>
          <w:lang w:val="en-US"/>
        </w:rPr>
      </w:pPr>
      <w:r>
        <w:rPr>
          <w:rFonts w:ascii="仿宋" w:hAnsi="仿宋" w:eastAsia="仿宋" w:cs="仿宋"/>
        </w:rPr>
        <w:t>本单位共对上年度已实施完成的1个项目开展了绩效自评价，涉及财政性资金合计8万元；本单位共开展1项单位整体支出绩效自评价，涉及财政性资金合计260.49万元。</w:t>
      </w:r>
    </w:p>
    <w:p>
      <w:pPr>
        <w:pStyle w:val="5"/>
        <w:tabs>
          <w:tab w:val="left" w:pos="3077"/>
        </w:tabs>
        <w:spacing w:line="616" w:lineRule="exact"/>
        <w:rPr>
          <w:rFonts w:ascii="宋体" w:hAnsi="宋体" w:eastAsia="宋体" w:cs="宋体"/>
          <w:b/>
          <w:bCs/>
        </w:rPr>
      </w:pPr>
      <w:r>
        <w:rPr>
          <w:rFonts w:hint="eastAsia" w:ascii="宋体" w:hAnsi="宋体" w:eastAsia="宋体" w:cs="宋体"/>
          <w:b/>
          <w:bCs/>
        </w:rPr>
        <w:t>第四部分 名词</w:t>
      </w:r>
      <w:r>
        <w:rPr>
          <w:rFonts w:hint="eastAsia" w:ascii="宋体" w:hAnsi="宋体" w:eastAsia="宋体" w:cs="宋体"/>
          <w:b/>
          <w:bCs/>
          <w:color w:val="000000"/>
          <w:lang w:eastAsia="ar-SA"/>
        </w:rPr>
        <w:t>解释</w:t>
      </w:r>
    </w:p>
    <w:p>
      <w:pPr>
        <w:pStyle w:val="8"/>
        <w:tabs>
          <w:tab w:val="left" w:pos="3864"/>
          <w:tab w:val="left" w:pos="6248"/>
          <w:tab w:val="left" w:pos="7386"/>
        </w:tabs>
        <w:ind w:left="440" w:leftChars="200" w:firstLine="659" w:firstLineChars="206"/>
        <w:jc w:val="both"/>
        <w:rPr>
          <w:rFonts w:ascii="仿宋" w:hAnsi="仿宋" w:eastAsia="仿宋" w:cs="仿宋"/>
        </w:rPr>
      </w:pP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一、财政拨款收入</w:t>
      </w:r>
      <w:r>
        <w:rPr>
          <w:rFonts w:ascii="仿宋" w:hAnsi="仿宋" w:eastAsia="仿宋" w:cs="仿宋"/>
          <w:b/>
        </w:rPr>
        <w:t>：</w:t>
      </w:r>
      <w:r>
        <w:rPr>
          <w:rFonts w:hint="eastAsia" w:ascii="仿宋" w:hAnsi="仿宋" w:eastAsia="仿宋" w:cs="仿宋"/>
        </w:rPr>
        <w:t>指单位从同级财政部门取得的各类财政拨款，包括一般公共预算财政拨款、政府性基金预算财政拨款、国有资本经营预算财政拨款。</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二、上级补助收入</w:t>
      </w:r>
      <w:r>
        <w:rPr>
          <w:rFonts w:ascii="仿宋" w:hAnsi="仿宋" w:eastAsia="仿宋" w:cs="仿宋"/>
          <w:b/>
        </w:rPr>
        <w:t>：</w:t>
      </w:r>
      <w:r>
        <w:rPr>
          <w:rFonts w:hint="eastAsia" w:ascii="仿宋" w:hAnsi="仿宋" w:eastAsia="仿宋" w:cs="仿宋"/>
        </w:rPr>
        <w:t>指事业单位从主管部门和上级单位取得的非财政补助收入。</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三、财政专户管理教育收费</w:t>
      </w:r>
      <w:r>
        <w:rPr>
          <w:rFonts w:ascii="仿宋" w:hAnsi="仿宋" w:eastAsia="仿宋" w:cs="仿宋"/>
          <w:b/>
        </w:rPr>
        <w:t>：</w:t>
      </w:r>
      <w:r>
        <w:rPr>
          <w:rFonts w:hint="eastAsia" w:ascii="仿宋" w:hAnsi="仿宋" w:eastAsia="仿宋" w:cs="仿宋"/>
        </w:rPr>
        <w:t>指缴入财政专户、实行专项管理的高中以上学费、住宿费、高校委托培养费、函大、电大、夜大及短训班培训费等教育收费。</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四、事业收入</w:t>
      </w:r>
      <w:r>
        <w:rPr>
          <w:rFonts w:ascii="仿宋" w:hAnsi="仿宋" w:eastAsia="仿宋" w:cs="仿宋"/>
          <w:b/>
        </w:rPr>
        <w:t>：</w:t>
      </w:r>
      <w:r>
        <w:rPr>
          <w:rFonts w:hint="eastAsia" w:ascii="仿宋" w:hAnsi="仿宋" w:eastAsia="仿宋" w:cs="仿宋"/>
        </w:rPr>
        <w:t>指事业单位开展专业业务活动及其辅助活动取得的收入。</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五、经营收入</w:t>
      </w:r>
      <w:r>
        <w:rPr>
          <w:rFonts w:ascii="仿宋" w:hAnsi="仿宋" w:eastAsia="仿宋" w:cs="仿宋"/>
          <w:b/>
        </w:rPr>
        <w:t>：</w:t>
      </w:r>
      <w:r>
        <w:rPr>
          <w:rFonts w:hint="eastAsia" w:ascii="仿宋" w:hAnsi="仿宋" w:eastAsia="仿宋" w:cs="仿宋"/>
        </w:rPr>
        <w:t>指事业单位在专业业务活动及其辅助活动之外开展非独立核算经营活动取得的收入。</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六、附属单位上缴收入</w:t>
      </w:r>
      <w:r>
        <w:rPr>
          <w:rFonts w:ascii="仿宋" w:hAnsi="仿宋" w:eastAsia="仿宋" w:cs="仿宋"/>
          <w:b/>
        </w:rPr>
        <w:t>：</w:t>
      </w:r>
      <w:r>
        <w:rPr>
          <w:rFonts w:hint="eastAsia" w:ascii="仿宋" w:hAnsi="仿宋" w:eastAsia="仿宋" w:cs="仿宋"/>
        </w:rPr>
        <w:t>指事业单位附属独立核算单位按照有关规定上缴的收入。</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七、其他收入</w:t>
      </w:r>
      <w:r>
        <w:rPr>
          <w:rFonts w:ascii="仿宋" w:hAnsi="仿宋" w:eastAsia="仿宋" w:cs="仿宋"/>
          <w:b/>
        </w:rPr>
        <w:t>：</w:t>
      </w:r>
      <w:r>
        <w:rPr>
          <w:rFonts w:hint="eastAsia" w:ascii="仿宋" w:hAnsi="仿宋" w:eastAsia="仿宋" w:cs="仿宋"/>
        </w:rPr>
        <w:t>指单位取得的除上述“财政拨款收入”、 “上级补助收入”、“事业收入”、“经营收入”、“附属单位上缴收入”等以外的各项收入。</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八、使用非财政拨款结余</w:t>
      </w:r>
      <w:r>
        <w:rPr>
          <w:rFonts w:ascii="仿宋" w:hAnsi="仿宋" w:eastAsia="仿宋" w:cs="仿宋"/>
          <w:b/>
        </w:rPr>
        <w:t>：</w:t>
      </w:r>
      <w:r>
        <w:rPr>
          <w:rFonts w:hint="eastAsia" w:ascii="仿宋" w:hAnsi="仿宋" w:eastAsia="仿宋" w:cs="仿宋"/>
        </w:rPr>
        <w:t>指事业单位按照预算管理要求使用非财政拨款结余（原事业基金）弥补当年收支差额的数额。</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九、年初结转和结余</w:t>
      </w:r>
      <w:r>
        <w:rPr>
          <w:rFonts w:ascii="仿宋" w:hAnsi="仿宋" w:eastAsia="仿宋" w:cs="仿宋"/>
          <w:b/>
        </w:rPr>
        <w:t>：</w:t>
      </w:r>
      <w:r>
        <w:rPr>
          <w:rFonts w:hint="eastAsia" w:ascii="仿宋" w:hAnsi="仿宋" w:eastAsia="仿宋" w:cs="仿宋"/>
        </w:rPr>
        <w:t>指单位上年结转本年使用的基本支出结转、项目支出结转和结余、经营结余。</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十、结余分配</w:t>
      </w:r>
      <w:r>
        <w:rPr>
          <w:rFonts w:ascii="仿宋" w:hAnsi="仿宋" w:eastAsia="仿宋" w:cs="仿宋"/>
          <w:b/>
        </w:rPr>
        <w:t>：</w:t>
      </w:r>
      <w:r>
        <w:rPr>
          <w:rFonts w:hint="eastAsia" w:ascii="仿宋" w:hAnsi="仿宋" w:eastAsia="仿宋" w:cs="仿宋"/>
        </w:rPr>
        <w:t>指事业单位按规定缴纳的所得税以及从非财政拨款结余中提取各类结余的情况。</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十一、年末结转和结余资金</w:t>
      </w:r>
      <w:r>
        <w:rPr>
          <w:rFonts w:ascii="仿宋" w:hAnsi="仿宋" w:eastAsia="仿宋" w:cs="仿宋"/>
          <w:b/>
        </w:rPr>
        <w:t>：</w:t>
      </w:r>
      <w:r>
        <w:rPr>
          <w:rFonts w:hint="eastAsia" w:ascii="仿宋" w:hAnsi="仿宋" w:eastAsia="仿宋" w:cs="仿宋"/>
        </w:rPr>
        <w:t>指单位结转下年的基本支出结转、项目支出结转和结余、经营结余。</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十二、基本支出</w:t>
      </w:r>
      <w:r>
        <w:rPr>
          <w:rFonts w:ascii="仿宋" w:hAnsi="仿宋" w:eastAsia="仿宋" w:cs="仿宋"/>
          <w:b/>
        </w:rPr>
        <w:t>：</w:t>
      </w:r>
      <w:r>
        <w:rPr>
          <w:rFonts w:hint="eastAsia" w:ascii="仿宋" w:hAnsi="仿宋" w:eastAsia="仿宋" w:cs="仿宋"/>
        </w:rPr>
        <w:t>指为保障机构正常运转、完成日常工作任务所发生的支出，包括人员经费和公用经费。</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十三、项目支出</w:t>
      </w:r>
      <w:r>
        <w:rPr>
          <w:rFonts w:ascii="仿宋" w:hAnsi="仿宋" w:eastAsia="仿宋" w:cs="仿宋"/>
          <w:b/>
        </w:rPr>
        <w:t>：</w:t>
      </w:r>
      <w:r>
        <w:rPr>
          <w:rFonts w:hint="eastAsia" w:ascii="仿宋" w:hAnsi="仿宋" w:eastAsia="仿宋" w:cs="仿宋"/>
        </w:rPr>
        <w:t>指在为完成特定的工作任务和事业发展目标所发生的支出。</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十四、上缴上级支出</w:t>
      </w:r>
      <w:r>
        <w:rPr>
          <w:rFonts w:ascii="仿宋" w:hAnsi="仿宋" w:eastAsia="仿宋" w:cs="仿宋"/>
          <w:b/>
        </w:rPr>
        <w:t>：</w:t>
      </w:r>
      <w:r>
        <w:rPr>
          <w:rFonts w:hint="eastAsia" w:ascii="仿宋" w:hAnsi="仿宋" w:eastAsia="仿宋" w:cs="仿宋"/>
        </w:rPr>
        <w:t>指事业单位按照财政部门和主管部门的规定上缴上级单位的支出。</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十五、经营支出</w:t>
      </w:r>
      <w:r>
        <w:rPr>
          <w:rFonts w:ascii="仿宋" w:hAnsi="仿宋" w:eastAsia="仿宋" w:cs="仿宋"/>
          <w:b/>
        </w:rPr>
        <w:t>：</w:t>
      </w:r>
      <w:r>
        <w:rPr>
          <w:rFonts w:hint="eastAsia" w:ascii="仿宋" w:hAnsi="仿宋" w:eastAsia="仿宋" w:cs="仿宋"/>
        </w:rPr>
        <w:t>指事业单位在专业业务活动及其辅助活动之外开展非独立核算经营活动发生的支出。</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十六、对附属单位补助支出</w:t>
      </w:r>
      <w:r>
        <w:rPr>
          <w:rFonts w:ascii="仿宋" w:hAnsi="仿宋" w:eastAsia="仿宋" w:cs="仿宋"/>
          <w:b/>
        </w:rPr>
        <w:t>：</w:t>
      </w:r>
      <w:r>
        <w:rPr>
          <w:rFonts w:hint="eastAsia" w:ascii="仿宋" w:hAnsi="仿宋" w:eastAsia="仿宋" w:cs="仿宋"/>
        </w:rPr>
        <w:t>指事业单位用财政拨款收入之外的收入对附属单位补助发生的支出。</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十七、“三公”经费</w:t>
      </w:r>
      <w:r>
        <w:rPr>
          <w:rFonts w:ascii="仿宋" w:hAnsi="仿宋" w:eastAsia="仿宋" w:cs="仿宋"/>
          <w:b/>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十八、机关运行经费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十九、社会保障和就业支出(类)行政事业单位养老支出(款)机关事业单位基本养老保险缴费支出(项)</w:t>
      </w:r>
      <w:r>
        <w:rPr>
          <w:rFonts w:ascii="仿宋" w:hAnsi="仿宋" w:eastAsia="仿宋" w:cs="仿宋"/>
          <w:b/>
        </w:rPr>
        <w:t>：</w:t>
      </w:r>
      <w:r>
        <w:rPr>
          <w:rFonts w:hint="eastAsia" w:ascii="仿宋" w:hAnsi="仿宋" w:eastAsia="仿宋" w:cs="仿宋"/>
        </w:rPr>
        <w:t>反映机关事业单位实施养老保险制度由单位缴纳的基本养老保险费支出。</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二十、社会保障和就业支出(类)行政事业单位养老支出(款)机关事业单位职业年金缴费支出(项)</w:t>
      </w:r>
      <w:r>
        <w:rPr>
          <w:rFonts w:ascii="仿宋" w:hAnsi="仿宋" w:eastAsia="仿宋" w:cs="仿宋"/>
          <w:b/>
        </w:rPr>
        <w:t>：</w:t>
      </w:r>
      <w:r>
        <w:rPr>
          <w:rFonts w:hint="eastAsia" w:ascii="仿宋" w:hAnsi="仿宋" w:eastAsia="仿宋" w:cs="仿宋"/>
        </w:rPr>
        <w:t>反映机关事业单位实施养老保险制度由单位实际缴纳的职业年金支出。</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二十一、社会保障和就业支出(类)其他社会保障和就业支出(款)其他社会保障和就业支出(项)</w:t>
      </w:r>
      <w:r>
        <w:rPr>
          <w:rFonts w:ascii="仿宋" w:hAnsi="仿宋" w:eastAsia="仿宋" w:cs="仿宋"/>
          <w:b/>
        </w:rPr>
        <w:t>：</w:t>
      </w:r>
      <w:r>
        <w:rPr>
          <w:rFonts w:hint="eastAsia" w:ascii="仿宋" w:hAnsi="仿宋" w:eastAsia="仿宋" w:cs="仿宋"/>
        </w:rPr>
        <w:t>反映除上述项目以外其他用于社会保障和就业方面的支出。</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二十二、住房保障支出(类)住房改革支出(款)住房公积金(项)</w:t>
      </w:r>
      <w:r>
        <w:rPr>
          <w:rFonts w:ascii="仿宋" w:hAnsi="仿宋" w:eastAsia="仿宋" w:cs="仿宋"/>
          <w:b/>
        </w:rPr>
        <w:t>：</w:t>
      </w:r>
      <w:r>
        <w:rPr>
          <w:rFonts w:hint="eastAsia" w:ascii="仿宋" w:hAnsi="仿宋" w:eastAsia="仿宋" w:cs="仿宋"/>
        </w:rPr>
        <w:t>反映行政事业单位按人力资源和社会保障部、财政部规定的基本工资和津贴补贴以及规定比例为职工缴纳的住房公积金。</w:t>
      </w:r>
    </w:p>
    <w:p>
      <w:pPr>
        <w:pStyle w:val="8"/>
        <w:tabs>
          <w:tab w:val="left" w:pos="3864"/>
          <w:tab w:val="left" w:pos="6248"/>
          <w:tab w:val="left" w:pos="7386"/>
        </w:tabs>
        <w:spacing w:line="360" w:lineRule="auto"/>
        <w:ind w:left="440" w:leftChars="200" w:right="504" w:rightChars="229" w:firstLine="662" w:firstLineChars="206"/>
        <w:jc w:val="both"/>
        <w:rPr>
          <w:rFonts w:ascii="仿宋" w:hAnsi="仿宋" w:eastAsia="仿宋" w:cs="仿宋"/>
        </w:rPr>
      </w:pPr>
      <w:r>
        <w:rPr>
          <w:rFonts w:hint="eastAsia" w:ascii="仿宋" w:hAnsi="仿宋" w:eastAsia="仿宋" w:cs="仿宋"/>
          <w:b/>
          <w:bCs/>
        </w:rPr>
        <w:t>二十三、住房保障支出(类)住房改革支出(款)提租补贴(项)</w:t>
      </w:r>
      <w:r>
        <w:rPr>
          <w:rFonts w:ascii="仿宋" w:hAnsi="仿宋" w:eastAsia="仿宋" w:cs="仿宋"/>
          <w:b/>
        </w:rPr>
        <w:t>：</w:t>
      </w:r>
      <w:r>
        <w:rPr>
          <w:rFonts w:hint="eastAsia" w:ascii="仿宋" w:hAnsi="仿宋" w:eastAsia="仿宋" w:cs="仿宋"/>
        </w:rPr>
        <w:t>反映按房改政策规定的标准，行政事业单位向职工（含离退休人员）发放的租金补贴。</w:t>
      </w:r>
    </w:p>
    <w:sectPr>
      <w:pgSz w:w="11906" w:h="16838"/>
      <w:pgMar w:top="1440" w:right="1080" w:bottom="1440" w:left="1080" w:header="170" w:footer="280" w:gutter="0"/>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Liberation Sans">
    <w:altName w:val="Arial Unicode MS"/>
    <w:panose1 w:val="00000000000000000000"/>
    <w:charset w:val="86"/>
    <w:family w:val="roman"/>
    <w:pitch w:val="default"/>
    <w:sig w:usb0="00000000" w:usb1="00000000" w:usb2="00000021" w:usb3="00000000" w:csb0="600001BF" w:csb1="DFF70000"/>
  </w:font>
  <w:font w:name="Liberation Mono">
    <w:altName w:val="宋体"/>
    <w:panose1 w:val="00000000000000000000"/>
    <w:charset w:val="86"/>
    <w:family w:val="roman"/>
    <w:pitch w:val="default"/>
    <w:sig w:usb0="00000000" w:usb1="00000000" w:usb2="00000001" w:usb3="00000000" w:csb0="600001BF" w:csb1="DFF7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4101" o:spid="_x0000_s4101"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8</w:t>
                </w:r>
                <w:r>
                  <w:rPr>
                    <w:rFonts w:hint="eastAsia"/>
                  </w:rP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4102" o:spid="_x0000_s4102"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4103" o:spid="_x0000_s410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4104" o:spid="_x0000_s4104"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4105" o:spid="_x0000_s4105"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4106" o:spid="_x0000_s4106"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13</w:t>
                </w:r>
                <w:r>
                  <w:rPr>
                    <w:rFonts w:hint="eastAsia"/>
                  </w:rPr>
                  <w:fldChar w:fldCharType="end"/>
                </w:r>
              </w:p>
            </w:txbxContent>
          </v:textbox>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4110" o:spid="_x0000_s411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黑体" w:hAnsi="黑体" w:eastAsia="黑体" w:cs="黑体"/>
      </w:rPr>
    </w:pPr>
    <w:r>
      <w:rPr>
        <w:rFonts w:ascii="黑体" w:hAnsi="黑体" w:eastAsia="黑体" w:cs="黑体"/>
      </w:rPr>
      <w:pict>
        <v:shape id="_x0000_s4097" o:spid="_x0000_s4097" o:spt="202" type="#_x0000_t202" style="position:absolute;left:0pt;margin-top:0pt;height:144pt;width:144pt;mso-position-horizontal:center;mso-position-horizontal-relative:margin;mso-wrap-style:none;z-index:251652096;mso-width-relative:page;mso-height-relative:page;" filled="f" stroked="f" coordsize="21600,21600">
          <v:path/>
          <v:fill on="f" focussize="0,0"/>
          <v:stroke on="f" joinstyle="miter"/>
          <v:imagedata o:title=""/>
          <o:lock v:ext="edit"/>
          <v:textbox inset="0mm,0mm,0mm,0mm" style="mso-fit-shape-to-text:t;">
            <w:txbxContent>
              <w:p>
                <w:pPr>
                  <w:pStyle w:val="9"/>
                  <w:rPr>
                    <w:rFonts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ascii="黑体" w:hAnsi="黑体" w:eastAsia="黑体" w:cs="黑体"/>
                  </w:rPr>
                  <w:t>- 1 -</w:t>
                </w:r>
                <w:r>
                  <w:rPr>
                    <w:rFonts w:hint="eastAsia" w:ascii="黑体" w:hAnsi="黑体" w:eastAsia="黑体" w:cs="黑体"/>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黑体" w:hAnsi="黑体" w:eastAsia="黑体" w:cs="黑体"/>
      </w:rPr>
    </w:pPr>
    <w:r>
      <w:rPr>
        <w:rFonts w:ascii="黑体" w:hAnsi="黑体" w:eastAsia="黑体" w:cs="黑体"/>
      </w:rPr>
      <w:pict>
        <v:shape id="_x0000_s4113" o:spid="_x0000_s4113" o:spt="202" type="#_x0000_t202" style="position:absolute;left:0pt;margin-top:0pt;height:144pt;width:144pt;mso-position-horizontal:center;mso-position-horizontal-relative:margin;mso-wrap-style:none;z-index:251653120;mso-width-relative:page;mso-height-relative:page;" filled="f" stroked="f" coordsize="21600,21600">
          <v:path/>
          <v:fill on="f" focussize="0,0"/>
          <v:stroke on="f" joinstyle="miter"/>
          <v:imagedata o:title=""/>
          <o:lock v:ext="edit"/>
          <v:textbox inset="0mm,0mm,0mm,0mm" style="mso-fit-shape-to-text:t;">
            <w:txbxContent>
              <w:p>
                <w:pPr>
                  <w:pStyle w:val="9"/>
                  <w:rPr>
                    <w:rFonts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4111" o:spid="_x0000_s4111" o:spt="202" type="#_x0000_t202" style="position:absolute;left:0pt;margin-top:0pt;height:144pt;width:144pt;mso-position-horizontal:center;mso-position-horizontal-relative:margin;mso-wrap-style:none;z-index:251654144;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4112" o:spid="_x0000_s4112" o:spt="202" type="#_x0000_t202" style="position:absolute;left:0pt;margin-top:0pt;height:144pt;width:144pt;mso-position-horizontal:center;mso-position-horizontal-relative:margin;mso-wrap-style:none;z-index:251655168;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4099" o:spid="_x0000_s4099" o:spt="202" type="#_x0000_t202" style="position:absolute;left:0pt;margin-top:0pt;height:144pt;width:144pt;mso-position-horizontal:center;mso-position-horizontal-relative:margin;mso-wrap-style:none;z-index:251656192;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4100" o:spid="_x0000_s4100" o:spt="202" type="#_x0000_t202" style="position:absolute;left:0pt;margin-top:0pt;height:144pt;width:144pt;mso-position-horizontal:center;mso-position-horizontal-relative:margin;mso-wrap-style:none;z-index:251657216;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lang w:val="en-US"/>
      </w:rPr>
    </w:pPr>
    <w:r>
      <w:rPr>
        <w:rFonts w:hint="eastAsia"/>
        <w:lang w:val="en-US"/>
      </w:rPr>
      <w:t>江苏省社会捐助服务中心</w:t>
    </w:r>
    <w:r>
      <w:t>2021年度单位决算公开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ocumentProtection w:enforcement="0"/>
  <w:defaultTabStop w:val="0"/>
  <w:autoHyphenation/>
  <w:noPunctuationKerning w:val="1"/>
  <w:characterSpacingControl w:val="doNotCompress"/>
  <w:hdrShapeDefaults>
    <o:shapelayout v:ext="edit">
      <o:idmap v:ext="edit" data="3,4"/>
    </o:shapelayout>
  </w:hdrShapeDefaults>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GUwNWYwNGFmYzNiMTMwMzI4MzFhMzI2ZWRjOTFjMmMifQ=="/>
  </w:docVars>
  <w:rsids>
    <w:rsidRoot w:val="00911C15"/>
    <w:rsid w:val="00064984"/>
    <w:rsid w:val="00071789"/>
    <w:rsid w:val="000F12AB"/>
    <w:rsid w:val="001C31F9"/>
    <w:rsid w:val="002E63B1"/>
    <w:rsid w:val="00407CA7"/>
    <w:rsid w:val="00413AD8"/>
    <w:rsid w:val="004C0647"/>
    <w:rsid w:val="00671ED7"/>
    <w:rsid w:val="00672164"/>
    <w:rsid w:val="006732F1"/>
    <w:rsid w:val="008322BB"/>
    <w:rsid w:val="00867423"/>
    <w:rsid w:val="008844DE"/>
    <w:rsid w:val="008B5B05"/>
    <w:rsid w:val="00911C15"/>
    <w:rsid w:val="009965EA"/>
    <w:rsid w:val="00A6752E"/>
    <w:rsid w:val="00B92181"/>
    <w:rsid w:val="00BD7F33"/>
    <w:rsid w:val="00C10C9D"/>
    <w:rsid w:val="00C15920"/>
    <w:rsid w:val="00C82582"/>
    <w:rsid w:val="00FA3233"/>
    <w:rsid w:val="010F1E77"/>
    <w:rsid w:val="01536131"/>
    <w:rsid w:val="01657C13"/>
    <w:rsid w:val="017240DE"/>
    <w:rsid w:val="01875334"/>
    <w:rsid w:val="018E7014"/>
    <w:rsid w:val="019803DB"/>
    <w:rsid w:val="01C22655"/>
    <w:rsid w:val="01C61170"/>
    <w:rsid w:val="01D4677F"/>
    <w:rsid w:val="01F17DF5"/>
    <w:rsid w:val="01FA65AD"/>
    <w:rsid w:val="01FF1E15"/>
    <w:rsid w:val="02005B8D"/>
    <w:rsid w:val="021F4E94"/>
    <w:rsid w:val="023277C7"/>
    <w:rsid w:val="02377801"/>
    <w:rsid w:val="02420B21"/>
    <w:rsid w:val="02443CCC"/>
    <w:rsid w:val="0247556A"/>
    <w:rsid w:val="02624152"/>
    <w:rsid w:val="026604FF"/>
    <w:rsid w:val="027F398B"/>
    <w:rsid w:val="0284231A"/>
    <w:rsid w:val="02987B74"/>
    <w:rsid w:val="02A822D0"/>
    <w:rsid w:val="02AF69EA"/>
    <w:rsid w:val="02B14230"/>
    <w:rsid w:val="02C378BB"/>
    <w:rsid w:val="02D43672"/>
    <w:rsid w:val="02DD471D"/>
    <w:rsid w:val="02E5431C"/>
    <w:rsid w:val="02E8449D"/>
    <w:rsid w:val="02F0175E"/>
    <w:rsid w:val="02F513AC"/>
    <w:rsid w:val="02FE6DAE"/>
    <w:rsid w:val="03005360"/>
    <w:rsid w:val="03060F81"/>
    <w:rsid w:val="03121471"/>
    <w:rsid w:val="033F3F8A"/>
    <w:rsid w:val="034C108A"/>
    <w:rsid w:val="03673847"/>
    <w:rsid w:val="03690F36"/>
    <w:rsid w:val="03793778"/>
    <w:rsid w:val="037E4FBC"/>
    <w:rsid w:val="03802AE2"/>
    <w:rsid w:val="039F7320"/>
    <w:rsid w:val="03F86EFB"/>
    <w:rsid w:val="04137DFA"/>
    <w:rsid w:val="04156348"/>
    <w:rsid w:val="04461F7D"/>
    <w:rsid w:val="044E689B"/>
    <w:rsid w:val="0458580D"/>
    <w:rsid w:val="045E5FB7"/>
    <w:rsid w:val="049256F0"/>
    <w:rsid w:val="0495610D"/>
    <w:rsid w:val="04C730A4"/>
    <w:rsid w:val="04DA4474"/>
    <w:rsid w:val="04DF580C"/>
    <w:rsid w:val="04E946A2"/>
    <w:rsid w:val="04EA46EB"/>
    <w:rsid w:val="05185546"/>
    <w:rsid w:val="052126A9"/>
    <w:rsid w:val="05247FC3"/>
    <w:rsid w:val="05346113"/>
    <w:rsid w:val="05423E9C"/>
    <w:rsid w:val="05600A24"/>
    <w:rsid w:val="056A1C9B"/>
    <w:rsid w:val="057525F6"/>
    <w:rsid w:val="05843580"/>
    <w:rsid w:val="05856AD5"/>
    <w:rsid w:val="058C526F"/>
    <w:rsid w:val="05AB4AE4"/>
    <w:rsid w:val="05AB7BBE"/>
    <w:rsid w:val="05BD2716"/>
    <w:rsid w:val="05BE6B06"/>
    <w:rsid w:val="05C432C0"/>
    <w:rsid w:val="05C73A91"/>
    <w:rsid w:val="05DB04A3"/>
    <w:rsid w:val="05DB339C"/>
    <w:rsid w:val="05E80F9E"/>
    <w:rsid w:val="05F04613"/>
    <w:rsid w:val="05FE3016"/>
    <w:rsid w:val="06006806"/>
    <w:rsid w:val="060D1C4C"/>
    <w:rsid w:val="061C50DF"/>
    <w:rsid w:val="062B491C"/>
    <w:rsid w:val="06417385"/>
    <w:rsid w:val="064A6451"/>
    <w:rsid w:val="064C13A1"/>
    <w:rsid w:val="06542957"/>
    <w:rsid w:val="0681129C"/>
    <w:rsid w:val="06824DC3"/>
    <w:rsid w:val="0695552F"/>
    <w:rsid w:val="069B5E85"/>
    <w:rsid w:val="06C87B62"/>
    <w:rsid w:val="06EB2968"/>
    <w:rsid w:val="06F23CF7"/>
    <w:rsid w:val="07293490"/>
    <w:rsid w:val="072A453E"/>
    <w:rsid w:val="073A470E"/>
    <w:rsid w:val="07520D7A"/>
    <w:rsid w:val="075575FE"/>
    <w:rsid w:val="07580A5A"/>
    <w:rsid w:val="07656047"/>
    <w:rsid w:val="077C711D"/>
    <w:rsid w:val="078F7797"/>
    <w:rsid w:val="079361A1"/>
    <w:rsid w:val="07AE39F0"/>
    <w:rsid w:val="07BE007D"/>
    <w:rsid w:val="07C509DD"/>
    <w:rsid w:val="080041F1"/>
    <w:rsid w:val="08031AA7"/>
    <w:rsid w:val="0806186F"/>
    <w:rsid w:val="080C528C"/>
    <w:rsid w:val="080F6B2A"/>
    <w:rsid w:val="08214CF0"/>
    <w:rsid w:val="083B723A"/>
    <w:rsid w:val="084A5DB4"/>
    <w:rsid w:val="08582C83"/>
    <w:rsid w:val="085D1644"/>
    <w:rsid w:val="0860441B"/>
    <w:rsid w:val="08694955"/>
    <w:rsid w:val="08913758"/>
    <w:rsid w:val="08A333FC"/>
    <w:rsid w:val="08D342E7"/>
    <w:rsid w:val="08E003AE"/>
    <w:rsid w:val="08E93645"/>
    <w:rsid w:val="08FC0605"/>
    <w:rsid w:val="09165D85"/>
    <w:rsid w:val="091D32CD"/>
    <w:rsid w:val="0947142F"/>
    <w:rsid w:val="095F763D"/>
    <w:rsid w:val="096204B4"/>
    <w:rsid w:val="096B0C35"/>
    <w:rsid w:val="09891979"/>
    <w:rsid w:val="098926B4"/>
    <w:rsid w:val="09896468"/>
    <w:rsid w:val="09931095"/>
    <w:rsid w:val="09984875"/>
    <w:rsid w:val="09B3067A"/>
    <w:rsid w:val="09E82283"/>
    <w:rsid w:val="09EB3C7D"/>
    <w:rsid w:val="09F00295"/>
    <w:rsid w:val="09F032D5"/>
    <w:rsid w:val="09F45579"/>
    <w:rsid w:val="09F6640F"/>
    <w:rsid w:val="09FE0C6E"/>
    <w:rsid w:val="0A112BB9"/>
    <w:rsid w:val="0A1D215F"/>
    <w:rsid w:val="0A2639C8"/>
    <w:rsid w:val="0A2D2344"/>
    <w:rsid w:val="0A3F45FE"/>
    <w:rsid w:val="0A434869"/>
    <w:rsid w:val="0A516F86"/>
    <w:rsid w:val="0A6273E5"/>
    <w:rsid w:val="0A636CB9"/>
    <w:rsid w:val="0A7F08D2"/>
    <w:rsid w:val="0A964BFD"/>
    <w:rsid w:val="0A9D666F"/>
    <w:rsid w:val="0ADA70C2"/>
    <w:rsid w:val="0AFD463B"/>
    <w:rsid w:val="0B05614C"/>
    <w:rsid w:val="0B134992"/>
    <w:rsid w:val="0B160131"/>
    <w:rsid w:val="0B2B4189"/>
    <w:rsid w:val="0B392278"/>
    <w:rsid w:val="0B675A67"/>
    <w:rsid w:val="0B752A0F"/>
    <w:rsid w:val="0B813D25"/>
    <w:rsid w:val="0B89728A"/>
    <w:rsid w:val="0B9E71AD"/>
    <w:rsid w:val="0BAC43D1"/>
    <w:rsid w:val="0BB91287"/>
    <w:rsid w:val="0BBA4FFF"/>
    <w:rsid w:val="0BCD6A8D"/>
    <w:rsid w:val="0BCF6DAD"/>
    <w:rsid w:val="0BD87EAC"/>
    <w:rsid w:val="0BE46B89"/>
    <w:rsid w:val="0BF41C52"/>
    <w:rsid w:val="0C047996"/>
    <w:rsid w:val="0C0E112C"/>
    <w:rsid w:val="0C1337D7"/>
    <w:rsid w:val="0C2215AA"/>
    <w:rsid w:val="0C64719F"/>
    <w:rsid w:val="0C6536DB"/>
    <w:rsid w:val="0C797590"/>
    <w:rsid w:val="0C9B273A"/>
    <w:rsid w:val="0CA00951"/>
    <w:rsid w:val="0CBD0903"/>
    <w:rsid w:val="0CC51EAD"/>
    <w:rsid w:val="0CD230A9"/>
    <w:rsid w:val="0CD65166"/>
    <w:rsid w:val="0CDB2BBC"/>
    <w:rsid w:val="0CE84C0B"/>
    <w:rsid w:val="0CEF2113"/>
    <w:rsid w:val="0CEF2581"/>
    <w:rsid w:val="0D05225F"/>
    <w:rsid w:val="0D1424ED"/>
    <w:rsid w:val="0D261419"/>
    <w:rsid w:val="0D42705A"/>
    <w:rsid w:val="0D545049"/>
    <w:rsid w:val="0D617032"/>
    <w:rsid w:val="0D673696"/>
    <w:rsid w:val="0D6C5D61"/>
    <w:rsid w:val="0D760FDB"/>
    <w:rsid w:val="0D7F345D"/>
    <w:rsid w:val="0D991370"/>
    <w:rsid w:val="0DAC0D2B"/>
    <w:rsid w:val="0DAD6BC9"/>
    <w:rsid w:val="0DBA3094"/>
    <w:rsid w:val="0DD06A00"/>
    <w:rsid w:val="0DDF0D4D"/>
    <w:rsid w:val="0DFC3CDF"/>
    <w:rsid w:val="0DFD772C"/>
    <w:rsid w:val="0DFF5826"/>
    <w:rsid w:val="0E0A51F9"/>
    <w:rsid w:val="0E1F1C4F"/>
    <w:rsid w:val="0E27451D"/>
    <w:rsid w:val="0E4806AD"/>
    <w:rsid w:val="0E5E7568"/>
    <w:rsid w:val="0E662847"/>
    <w:rsid w:val="0E854C8B"/>
    <w:rsid w:val="0E94230E"/>
    <w:rsid w:val="0E946F22"/>
    <w:rsid w:val="0EA37FCC"/>
    <w:rsid w:val="0EE7610B"/>
    <w:rsid w:val="0EF65551"/>
    <w:rsid w:val="0EFE25F0"/>
    <w:rsid w:val="0F135152"/>
    <w:rsid w:val="0F711E78"/>
    <w:rsid w:val="0F807B33"/>
    <w:rsid w:val="0F8C6CB2"/>
    <w:rsid w:val="0F8F17E6"/>
    <w:rsid w:val="0FB029A1"/>
    <w:rsid w:val="0FB02B15"/>
    <w:rsid w:val="0FB21F29"/>
    <w:rsid w:val="0FB47D1E"/>
    <w:rsid w:val="0FCE598D"/>
    <w:rsid w:val="0FD77F2D"/>
    <w:rsid w:val="0FD849C7"/>
    <w:rsid w:val="0FE03B0E"/>
    <w:rsid w:val="0FE663C2"/>
    <w:rsid w:val="0FEF37CA"/>
    <w:rsid w:val="100928FC"/>
    <w:rsid w:val="10093E5F"/>
    <w:rsid w:val="101A62D4"/>
    <w:rsid w:val="10260EB5"/>
    <w:rsid w:val="1027035F"/>
    <w:rsid w:val="102A2753"/>
    <w:rsid w:val="102A69EF"/>
    <w:rsid w:val="102C3484"/>
    <w:rsid w:val="103D6600"/>
    <w:rsid w:val="10463305"/>
    <w:rsid w:val="106204CB"/>
    <w:rsid w:val="1068327B"/>
    <w:rsid w:val="1069097D"/>
    <w:rsid w:val="10703EDE"/>
    <w:rsid w:val="108C6F6A"/>
    <w:rsid w:val="10A90FB7"/>
    <w:rsid w:val="10B95885"/>
    <w:rsid w:val="10F845FF"/>
    <w:rsid w:val="11092167"/>
    <w:rsid w:val="110C3973"/>
    <w:rsid w:val="110D47B0"/>
    <w:rsid w:val="11110225"/>
    <w:rsid w:val="111930E1"/>
    <w:rsid w:val="111E1B8C"/>
    <w:rsid w:val="11252430"/>
    <w:rsid w:val="112E0021"/>
    <w:rsid w:val="1143676B"/>
    <w:rsid w:val="11471791"/>
    <w:rsid w:val="117C1012"/>
    <w:rsid w:val="11872569"/>
    <w:rsid w:val="11AB09B5"/>
    <w:rsid w:val="11B7025F"/>
    <w:rsid w:val="11C36B1F"/>
    <w:rsid w:val="11C52DC5"/>
    <w:rsid w:val="11E46932"/>
    <w:rsid w:val="11F221C7"/>
    <w:rsid w:val="11F2605E"/>
    <w:rsid w:val="11F724E3"/>
    <w:rsid w:val="122227BF"/>
    <w:rsid w:val="12313173"/>
    <w:rsid w:val="12313682"/>
    <w:rsid w:val="12437AFC"/>
    <w:rsid w:val="127A1044"/>
    <w:rsid w:val="128157F4"/>
    <w:rsid w:val="12AA36D7"/>
    <w:rsid w:val="12B566A2"/>
    <w:rsid w:val="12C448B1"/>
    <w:rsid w:val="12D32267"/>
    <w:rsid w:val="12E60488"/>
    <w:rsid w:val="12F05187"/>
    <w:rsid w:val="13142710"/>
    <w:rsid w:val="1335650B"/>
    <w:rsid w:val="133E1FA2"/>
    <w:rsid w:val="13871C6A"/>
    <w:rsid w:val="139377AA"/>
    <w:rsid w:val="13A44407"/>
    <w:rsid w:val="13A46379"/>
    <w:rsid w:val="13BD743A"/>
    <w:rsid w:val="13E2730D"/>
    <w:rsid w:val="13F85ED3"/>
    <w:rsid w:val="140626B0"/>
    <w:rsid w:val="140C350F"/>
    <w:rsid w:val="14207DA2"/>
    <w:rsid w:val="142101C9"/>
    <w:rsid w:val="143164E8"/>
    <w:rsid w:val="14341A45"/>
    <w:rsid w:val="146856DB"/>
    <w:rsid w:val="146B3433"/>
    <w:rsid w:val="14795A57"/>
    <w:rsid w:val="14933F94"/>
    <w:rsid w:val="14A34882"/>
    <w:rsid w:val="14A95C11"/>
    <w:rsid w:val="14AA0D30"/>
    <w:rsid w:val="14BA3B44"/>
    <w:rsid w:val="14CD6BF6"/>
    <w:rsid w:val="14EE3158"/>
    <w:rsid w:val="1504334D"/>
    <w:rsid w:val="15085477"/>
    <w:rsid w:val="152578C2"/>
    <w:rsid w:val="154755A3"/>
    <w:rsid w:val="15664CCA"/>
    <w:rsid w:val="156C1118"/>
    <w:rsid w:val="159E0364"/>
    <w:rsid w:val="15A959CF"/>
    <w:rsid w:val="15B93CF7"/>
    <w:rsid w:val="15D36B14"/>
    <w:rsid w:val="16053674"/>
    <w:rsid w:val="16146EAD"/>
    <w:rsid w:val="161A451C"/>
    <w:rsid w:val="161E395E"/>
    <w:rsid w:val="1621543B"/>
    <w:rsid w:val="163E1726"/>
    <w:rsid w:val="16565924"/>
    <w:rsid w:val="167F1A6B"/>
    <w:rsid w:val="16971C37"/>
    <w:rsid w:val="16A448E1"/>
    <w:rsid w:val="16BE14E7"/>
    <w:rsid w:val="16BE34FA"/>
    <w:rsid w:val="16DA6212"/>
    <w:rsid w:val="16ED632E"/>
    <w:rsid w:val="1705386D"/>
    <w:rsid w:val="170A0BE8"/>
    <w:rsid w:val="170D692B"/>
    <w:rsid w:val="1717031D"/>
    <w:rsid w:val="17451C21"/>
    <w:rsid w:val="175D47C3"/>
    <w:rsid w:val="176B2704"/>
    <w:rsid w:val="178C5AA1"/>
    <w:rsid w:val="178D35C8"/>
    <w:rsid w:val="17BC2D29"/>
    <w:rsid w:val="17EC4792"/>
    <w:rsid w:val="18025D64"/>
    <w:rsid w:val="1808589E"/>
    <w:rsid w:val="181B6E25"/>
    <w:rsid w:val="18272F04"/>
    <w:rsid w:val="183F0D66"/>
    <w:rsid w:val="1847137D"/>
    <w:rsid w:val="18473583"/>
    <w:rsid w:val="18585984"/>
    <w:rsid w:val="188B47DF"/>
    <w:rsid w:val="18916DBC"/>
    <w:rsid w:val="18AA3C15"/>
    <w:rsid w:val="18BA5D81"/>
    <w:rsid w:val="18C07826"/>
    <w:rsid w:val="18C77023"/>
    <w:rsid w:val="18E45469"/>
    <w:rsid w:val="18EE62E8"/>
    <w:rsid w:val="18FD3C01"/>
    <w:rsid w:val="190E24E6"/>
    <w:rsid w:val="19195D82"/>
    <w:rsid w:val="193033EC"/>
    <w:rsid w:val="19322678"/>
    <w:rsid w:val="194A216C"/>
    <w:rsid w:val="19517451"/>
    <w:rsid w:val="19562DE7"/>
    <w:rsid w:val="19603977"/>
    <w:rsid w:val="196D1879"/>
    <w:rsid w:val="19810F0A"/>
    <w:rsid w:val="199D3E22"/>
    <w:rsid w:val="19A676CD"/>
    <w:rsid w:val="19B34CEE"/>
    <w:rsid w:val="19C57B31"/>
    <w:rsid w:val="19CE54E8"/>
    <w:rsid w:val="19DA0E66"/>
    <w:rsid w:val="1A0868DE"/>
    <w:rsid w:val="1A386BB6"/>
    <w:rsid w:val="1A3E0B9C"/>
    <w:rsid w:val="1A5A0D30"/>
    <w:rsid w:val="1A641248"/>
    <w:rsid w:val="1A6B178B"/>
    <w:rsid w:val="1A6E7911"/>
    <w:rsid w:val="1AA11864"/>
    <w:rsid w:val="1ABF618E"/>
    <w:rsid w:val="1AD90120"/>
    <w:rsid w:val="1AEB035A"/>
    <w:rsid w:val="1AF0114F"/>
    <w:rsid w:val="1AF61156"/>
    <w:rsid w:val="1B114FF8"/>
    <w:rsid w:val="1B136BC2"/>
    <w:rsid w:val="1B1C5890"/>
    <w:rsid w:val="1B2C6156"/>
    <w:rsid w:val="1B363B76"/>
    <w:rsid w:val="1B394ECA"/>
    <w:rsid w:val="1B4D379A"/>
    <w:rsid w:val="1B612DA1"/>
    <w:rsid w:val="1B6F2A95"/>
    <w:rsid w:val="1B7011A6"/>
    <w:rsid w:val="1B894395"/>
    <w:rsid w:val="1BC84BF9"/>
    <w:rsid w:val="1BDD4B1E"/>
    <w:rsid w:val="1BE008E5"/>
    <w:rsid w:val="1BE426E0"/>
    <w:rsid w:val="1BEF5EDC"/>
    <w:rsid w:val="1BF3045F"/>
    <w:rsid w:val="1C171374"/>
    <w:rsid w:val="1C324768"/>
    <w:rsid w:val="1C383244"/>
    <w:rsid w:val="1C4928ED"/>
    <w:rsid w:val="1C706707"/>
    <w:rsid w:val="1C881C55"/>
    <w:rsid w:val="1C8C6E3B"/>
    <w:rsid w:val="1C8F4549"/>
    <w:rsid w:val="1C9B1094"/>
    <w:rsid w:val="1C9D7829"/>
    <w:rsid w:val="1CA25487"/>
    <w:rsid w:val="1CC01D49"/>
    <w:rsid w:val="1CCB706C"/>
    <w:rsid w:val="1CD36541"/>
    <w:rsid w:val="1CD53375"/>
    <w:rsid w:val="1CD770E1"/>
    <w:rsid w:val="1CDF3C35"/>
    <w:rsid w:val="1CDF48C5"/>
    <w:rsid w:val="1CED64E7"/>
    <w:rsid w:val="1CF10155"/>
    <w:rsid w:val="1CF655C7"/>
    <w:rsid w:val="1CF70CE3"/>
    <w:rsid w:val="1D083787"/>
    <w:rsid w:val="1D0E4D1B"/>
    <w:rsid w:val="1D1B1576"/>
    <w:rsid w:val="1D201166"/>
    <w:rsid w:val="1D235D75"/>
    <w:rsid w:val="1D5A4782"/>
    <w:rsid w:val="1D623037"/>
    <w:rsid w:val="1D660B43"/>
    <w:rsid w:val="1D672CB3"/>
    <w:rsid w:val="1D7C0925"/>
    <w:rsid w:val="1D817975"/>
    <w:rsid w:val="1D951979"/>
    <w:rsid w:val="1DAF110E"/>
    <w:rsid w:val="1DB61054"/>
    <w:rsid w:val="1DC835AB"/>
    <w:rsid w:val="1DC94431"/>
    <w:rsid w:val="1DD41F50"/>
    <w:rsid w:val="1DF7725D"/>
    <w:rsid w:val="1DFC3255"/>
    <w:rsid w:val="1DFD14A7"/>
    <w:rsid w:val="1E107489"/>
    <w:rsid w:val="1E120047"/>
    <w:rsid w:val="1E2456FC"/>
    <w:rsid w:val="1E387717"/>
    <w:rsid w:val="1E426EBA"/>
    <w:rsid w:val="1E5227F5"/>
    <w:rsid w:val="1E5B1486"/>
    <w:rsid w:val="1E6037E4"/>
    <w:rsid w:val="1E6C2CB1"/>
    <w:rsid w:val="1E86604F"/>
    <w:rsid w:val="1E8B2478"/>
    <w:rsid w:val="1EA55F87"/>
    <w:rsid w:val="1EB06519"/>
    <w:rsid w:val="1EBB4C20"/>
    <w:rsid w:val="1EC57AB3"/>
    <w:rsid w:val="1ECE40F1"/>
    <w:rsid w:val="1EEE7042"/>
    <w:rsid w:val="1EEF2C2E"/>
    <w:rsid w:val="1EF87EC0"/>
    <w:rsid w:val="1EF93282"/>
    <w:rsid w:val="1EFC05DA"/>
    <w:rsid w:val="1F242409"/>
    <w:rsid w:val="1F260691"/>
    <w:rsid w:val="1F274302"/>
    <w:rsid w:val="1F2F1476"/>
    <w:rsid w:val="1F342CDC"/>
    <w:rsid w:val="1F364345"/>
    <w:rsid w:val="1F3C055E"/>
    <w:rsid w:val="1F3F5AEF"/>
    <w:rsid w:val="1F5350F7"/>
    <w:rsid w:val="1F5838AB"/>
    <w:rsid w:val="1F65551D"/>
    <w:rsid w:val="1F721347"/>
    <w:rsid w:val="1F724421"/>
    <w:rsid w:val="1F8B39C7"/>
    <w:rsid w:val="1F925C1F"/>
    <w:rsid w:val="1FA17CC2"/>
    <w:rsid w:val="1FAE057F"/>
    <w:rsid w:val="1FB77434"/>
    <w:rsid w:val="1FCB1131"/>
    <w:rsid w:val="1FD866E0"/>
    <w:rsid w:val="1FEA282E"/>
    <w:rsid w:val="1FF73CD4"/>
    <w:rsid w:val="1FF92872"/>
    <w:rsid w:val="1FFE4976"/>
    <w:rsid w:val="20054643"/>
    <w:rsid w:val="200945DD"/>
    <w:rsid w:val="200B03E4"/>
    <w:rsid w:val="200E293D"/>
    <w:rsid w:val="201802D4"/>
    <w:rsid w:val="20362A4E"/>
    <w:rsid w:val="2043516B"/>
    <w:rsid w:val="204A1446"/>
    <w:rsid w:val="20571955"/>
    <w:rsid w:val="20594713"/>
    <w:rsid w:val="20632091"/>
    <w:rsid w:val="20834EBA"/>
    <w:rsid w:val="20900DEF"/>
    <w:rsid w:val="209B6228"/>
    <w:rsid w:val="20B61DE1"/>
    <w:rsid w:val="20CA13E8"/>
    <w:rsid w:val="20CA3D8E"/>
    <w:rsid w:val="20D245C5"/>
    <w:rsid w:val="20E47858"/>
    <w:rsid w:val="20EE2134"/>
    <w:rsid w:val="20F375E8"/>
    <w:rsid w:val="20F544F1"/>
    <w:rsid w:val="211508B6"/>
    <w:rsid w:val="21182154"/>
    <w:rsid w:val="21206CAA"/>
    <w:rsid w:val="213F3B84"/>
    <w:rsid w:val="2148186B"/>
    <w:rsid w:val="21776D10"/>
    <w:rsid w:val="218F0CEB"/>
    <w:rsid w:val="21A47E8B"/>
    <w:rsid w:val="21B52099"/>
    <w:rsid w:val="21EA64FE"/>
    <w:rsid w:val="22246D86"/>
    <w:rsid w:val="223236E9"/>
    <w:rsid w:val="223F0861"/>
    <w:rsid w:val="224A27E1"/>
    <w:rsid w:val="224D407F"/>
    <w:rsid w:val="22543660"/>
    <w:rsid w:val="225F78FB"/>
    <w:rsid w:val="227347E3"/>
    <w:rsid w:val="227D4749"/>
    <w:rsid w:val="22B66C67"/>
    <w:rsid w:val="22B96619"/>
    <w:rsid w:val="22C34214"/>
    <w:rsid w:val="22C9349D"/>
    <w:rsid w:val="22CF4CB9"/>
    <w:rsid w:val="22E5714F"/>
    <w:rsid w:val="23073234"/>
    <w:rsid w:val="23153D35"/>
    <w:rsid w:val="231859C4"/>
    <w:rsid w:val="233651B2"/>
    <w:rsid w:val="233C5C01"/>
    <w:rsid w:val="23655593"/>
    <w:rsid w:val="23873CA0"/>
    <w:rsid w:val="23A668C2"/>
    <w:rsid w:val="23B5012E"/>
    <w:rsid w:val="23C6058D"/>
    <w:rsid w:val="23CC2CE3"/>
    <w:rsid w:val="23E97DD8"/>
    <w:rsid w:val="23F81D1C"/>
    <w:rsid w:val="24004EF0"/>
    <w:rsid w:val="242552B4"/>
    <w:rsid w:val="242D23BA"/>
    <w:rsid w:val="24361C71"/>
    <w:rsid w:val="245222E6"/>
    <w:rsid w:val="2455798C"/>
    <w:rsid w:val="246851A0"/>
    <w:rsid w:val="246E4FE1"/>
    <w:rsid w:val="247771B1"/>
    <w:rsid w:val="24797436"/>
    <w:rsid w:val="24893698"/>
    <w:rsid w:val="248A0DA1"/>
    <w:rsid w:val="248B0DC9"/>
    <w:rsid w:val="24AC7248"/>
    <w:rsid w:val="24B228BF"/>
    <w:rsid w:val="24DE364C"/>
    <w:rsid w:val="24EF440E"/>
    <w:rsid w:val="25007ACF"/>
    <w:rsid w:val="25076767"/>
    <w:rsid w:val="25191A92"/>
    <w:rsid w:val="25290357"/>
    <w:rsid w:val="253C3B25"/>
    <w:rsid w:val="25513E86"/>
    <w:rsid w:val="255F5B0A"/>
    <w:rsid w:val="25664EB1"/>
    <w:rsid w:val="257302A1"/>
    <w:rsid w:val="2573629D"/>
    <w:rsid w:val="257B7E43"/>
    <w:rsid w:val="25A7022D"/>
    <w:rsid w:val="25C32FD6"/>
    <w:rsid w:val="25C603D0"/>
    <w:rsid w:val="25E1520A"/>
    <w:rsid w:val="25E2513A"/>
    <w:rsid w:val="25F45922"/>
    <w:rsid w:val="25FD2F48"/>
    <w:rsid w:val="261E645E"/>
    <w:rsid w:val="262E21CA"/>
    <w:rsid w:val="26713F63"/>
    <w:rsid w:val="26753166"/>
    <w:rsid w:val="267B561B"/>
    <w:rsid w:val="267C5A99"/>
    <w:rsid w:val="2682148D"/>
    <w:rsid w:val="268D22B5"/>
    <w:rsid w:val="269240CC"/>
    <w:rsid w:val="269A47B4"/>
    <w:rsid w:val="269E759F"/>
    <w:rsid w:val="26A526DC"/>
    <w:rsid w:val="26A5448A"/>
    <w:rsid w:val="26BF5BA2"/>
    <w:rsid w:val="26CB1A16"/>
    <w:rsid w:val="26EC7F5B"/>
    <w:rsid w:val="27016CF5"/>
    <w:rsid w:val="27175BDC"/>
    <w:rsid w:val="271B299E"/>
    <w:rsid w:val="271E071C"/>
    <w:rsid w:val="272B00CD"/>
    <w:rsid w:val="27381EB7"/>
    <w:rsid w:val="275E5E47"/>
    <w:rsid w:val="276C4FA7"/>
    <w:rsid w:val="27924AA1"/>
    <w:rsid w:val="27942BC4"/>
    <w:rsid w:val="27962E21"/>
    <w:rsid w:val="279768B3"/>
    <w:rsid w:val="279A19EA"/>
    <w:rsid w:val="27B169B4"/>
    <w:rsid w:val="27B21745"/>
    <w:rsid w:val="27B32BD6"/>
    <w:rsid w:val="27B911ED"/>
    <w:rsid w:val="27D27F60"/>
    <w:rsid w:val="27E744FA"/>
    <w:rsid w:val="27F83B89"/>
    <w:rsid w:val="27FE146D"/>
    <w:rsid w:val="28037CCB"/>
    <w:rsid w:val="28321D4D"/>
    <w:rsid w:val="283E36E3"/>
    <w:rsid w:val="283F446A"/>
    <w:rsid w:val="284675E2"/>
    <w:rsid w:val="284E0B22"/>
    <w:rsid w:val="28543497"/>
    <w:rsid w:val="28630B61"/>
    <w:rsid w:val="286C012F"/>
    <w:rsid w:val="286E4D4F"/>
    <w:rsid w:val="289B5942"/>
    <w:rsid w:val="28B77612"/>
    <w:rsid w:val="28BB465F"/>
    <w:rsid w:val="28D728F5"/>
    <w:rsid w:val="28E55011"/>
    <w:rsid w:val="28F25980"/>
    <w:rsid w:val="29012269"/>
    <w:rsid w:val="291451AB"/>
    <w:rsid w:val="29157417"/>
    <w:rsid w:val="29285E0F"/>
    <w:rsid w:val="294477FD"/>
    <w:rsid w:val="2947617E"/>
    <w:rsid w:val="29505C1F"/>
    <w:rsid w:val="296323DA"/>
    <w:rsid w:val="297158AB"/>
    <w:rsid w:val="29807966"/>
    <w:rsid w:val="299D065B"/>
    <w:rsid w:val="29B50FF4"/>
    <w:rsid w:val="29C02FCD"/>
    <w:rsid w:val="29C63807"/>
    <w:rsid w:val="29EB45D3"/>
    <w:rsid w:val="2A0312F6"/>
    <w:rsid w:val="2A07685B"/>
    <w:rsid w:val="2A0A72B2"/>
    <w:rsid w:val="2A102562"/>
    <w:rsid w:val="2A125E2D"/>
    <w:rsid w:val="2A2569D8"/>
    <w:rsid w:val="2A2F7528"/>
    <w:rsid w:val="2A3E46F3"/>
    <w:rsid w:val="2A5F36CE"/>
    <w:rsid w:val="2A613F70"/>
    <w:rsid w:val="2A7975D0"/>
    <w:rsid w:val="2A7B46D0"/>
    <w:rsid w:val="2A7E694A"/>
    <w:rsid w:val="2A88405F"/>
    <w:rsid w:val="2AB54EB7"/>
    <w:rsid w:val="2AC03F74"/>
    <w:rsid w:val="2AC86999"/>
    <w:rsid w:val="2ACD4D90"/>
    <w:rsid w:val="2ADC43C4"/>
    <w:rsid w:val="2AE07B98"/>
    <w:rsid w:val="2AE337D3"/>
    <w:rsid w:val="2B1B36C2"/>
    <w:rsid w:val="2B3C1AAA"/>
    <w:rsid w:val="2B77216D"/>
    <w:rsid w:val="2B7A42C1"/>
    <w:rsid w:val="2B82668D"/>
    <w:rsid w:val="2B8C19B3"/>
    <w:rsid w:val="2B9A7EB4"/>
    <w:rsid w:val="2BB8407D"/>
    <w:rsid w:val="2BBE24DE"/>
    <w:rsid w:val="2BBF0C02"/>
    <w:rsid w:val="2BDD28EB"/>
    <w:rsid w:val="2BE5357A"/>
    <w:rsid w:val="2BEC66B7"/>
    <w:rsid w:val="2BF43094"/>
    <w:rsid w:val="2BF909AA"/>
    <w:rsid w:val="2BFC0D12"/>
    <w:rsid w:val="2C016606"/>
    <w:rsid w:val="2C0757B7"/>
    <w:rsid w:val="2C153E60"/>
    <w:rsid w:val="2C1E422F"/>
    <w:rsid w:val="2C3818FC"/>
    <w:rsid w:val="2C5950A4"/>
    <w:rsid w:val="2C660130"/>
    <w:rsid w:val="2C73502A"/>
    <w:rsid w:val="2CB9711D"/>
    <w:rsid w:val="2CEA52EC"/>
    <w:rsid w:val="2CF3363A"/>
    <w:rsid w:val="2D000C25"/>
    <w:rsid w:val="2D0F4DB4"/>
    <w:rsid w:val="2D2D36A5"/>
    <w:rsid w:val="2D365B16"/>
    <w:rsid w:val="2D4B38B1"/>
    <w:rsid w:val="2D5646DC"/>
    <w:rsid w:val="2D584691"/>
    <w:rsid w:val="2D6D2070"/>
    <w:rsid w:val="2D9D0838"/>
    <w:rsid w:val="2D9E1C33"/>
    <w:rsid w:val="2DB652A4"/>
    <w:rsid w:val="2DB943B8"/>
    <w:rsid w:val="2DBB2419"/>
    <w:rsid w:val="2DBF7001"/>
    <w:rsid w:val="2DC26166"/>
    <w:rsid w:val="2DD13DB6"/>
    <w:rsid w:val="2DD903A8"/>
    <w:rsid w:val="2DEA2F76"/>
    <w:rsid w:val="2DF041FF"/>
    <w:rsid w:val="2DF76E1B"/>
    <w:rsid w:val="2DFD2DFD"/>
    <w:rsid w:val="2E10357E"/>
    <w:rsid w:val="2E177A17"/>
    <w:rsid w:val="2E1B30B3"/>
    <w:rsid w:val="2E310CF9"/>
    <w:rsid w:val="2E3E487D"/>
    <w:rsid w:val="2E41360C"/>
    <w:rsid w:val="2E450300"/>
    <w:rsid w:val="2E607FBE"/>
    <w:rsid w:val="2E615CAF"/>
    <w:rsid w:val="2E64456A"/>
    <w:rsid w:val="2E7264C5"/>
    <w:rsid w:val="2E7653DE"/>
    <w:rsid w:val="2E842882"/>
    <w:rsid w:val="2E8C6A3D"/>
    <w:rsid w:val="2EB508B8"/>
    <w:rsid w:val="2ED71BB4"/>
    <w:rsid w:val="2EF47A31"/>
    <w:rsid w:val="2F04472C"/>
    <w:rsid w:val="2F066396"/>
    <w:rsid w:val="2F2220C8"/>
    <w:rsid w:val="2F2655A5"/>
    <w:rsid w:val="2F30138F"/>
    <w:rsid w:val="2F5628C1"/>
    <w:rsid w:val="2F666780"/>
    <w:rsid w:val="2F6C2646"/>
    <w:rsid w:val="2F715851"/>
    <w:rsid w:val="2F81781A"/>
    <w:rsid w:val="2F8310E0"/>
    <w:rsid w:val="2FBA6AB0"/>
    <w:rsid w:val="2FDA5233"/>
    <w:rsid w:val="30186987"/>
    <w:rsid w:val="30383160"/>
    <w:rsid w:val="30396B3B"/>
    <w:rsid w:val="303D3D8D"/>
    <w:rsid w:val="30410449"/>
    <w:rsid w:val="304B34C7"/>
    <w:rsid w:val="304C3BC8"/>
    <w:rsid w:val="306F3884"/>
    <w:rsid w:val="30817D16"/>
    <w:rsid w:val="308C6F5A"/>
    <w:rsid w:val="3095731D"/>
    <w:rsid w:val="30977539"/>
    <w:rsid w:val="30AE1C64"/>
    <w:rsid w:val="30B73737"/>
    <w:rsid w:val="30C65728"/>
    <w:rsid w:val="30D06AF0"/>
    <w:rsid w:val="30DC1248"/>
    <w:rsid w:val="30E16401"/>
    <w:rsid w:val="30F229C1"/>
    <w:rsid w:val="30F93D50"/>
    <w:rsid w:val="310149B3"/>
    <w:rsid w:val="31175F84"/>
    <w:rsid w:val="313C3C3D"/>
    <w:rsid w:val="31405015"/>
    <w:rsid w:val="31537EEC"/>
    <w:rsid w:val="31591892"/>
    <w:rsid w:val="316F0F32"/>
    <w:rsid w:val="31736100"/>
    <w:rsid w:val="31750446"/>
    <w:rsid w:val="31773981"/>
    <w:rsid w:val="318F234F"/>
    <w:rsid w:val="319C6FC9"/>
    <w:rsid w:val="3205097C"/>
    <w:rsid w:val="3219245E"/>
    <w:rsid w:val="323677EC"/>
    <w:rsid w:val="323827BE"/>
    <w:rsid w:val="32495754"/>
    <w:rsid w:val="32541D1E"/>
    <w:rsid w:val="32601BAD"/>
    <w:rsid w:val="32605AA8"/>
    <w:rsid w:val="32615E04"/>
    <w:rsid w:val="326849A2"/>
    <w:rsid w:val="326B0F6E"/>
    <w:rsid w:val="327B69E7"/>
    <w:rsid w:val="328126D8"/>
    <w:rsid w:val="3284589B"/>
    <w:rsid w:val="32847649"/>
    <w:rsid w:val="32A04DB4"/>
    <w:rsid w:val="32BB4137"/>
    <w:rsid w:val="32C57C62"/>
    <w:rsid w:val="32D07FAA"/>
    <w:rsid w:val="32DE0BF1"/>
    <w:rsid w:val="32E158F1"/>
    <w:rsid w:val="33031007"/>
    <w:rsid w:val="330A1B9B"/>
    <w:rsid w:val="331C3D26"/>
    <w:rsid w:val="33341058"/>
    <w:rsid w:val="333472C1"/>
    <w:rsid w:val="33501C21"/>
    <w:rsid w:val="3361588C"/>
    <w:rsid w:val="33797999"/>
    <w:rsid w:val="338032CF"/>
    <w:rsid w:val="339F17B8"/>
    <w:rsid w:val="339F3BDD"/>
    <w:rsid w:val="33A9773C"/>
    <w:rsid w:val="33BE302F"/>
    <w:rsid w:val="33CE4708"/>
    <w:rsid w:val="33D00CCC"/>
    <w:rsid w:val="33E93AE7"/>
    <w:rsid w:val="33FB47B2"/>
    <w:rsid w:val="33FE062C"/>
    <w:rsid w:val="34000F51"/>
    <w:rsid w:val="34056B2D"/>
    <w:rsid w:val="340D123D"/>
    <w:rsid w:val="340D402A"/>
    <w:rsid w:val="34117F4A"/>
    <w:rsid w:val="34157A69"/>
    <w:rsid w:val="342F04EE"/>
    <w:rsid w:val="343278F3"/>
    <w:rsid w:val="343773FE"/>
    <w:rsid w:val="344352BB"/>
    <w:rsid w:val="34565015"/>
    <w:rsid w:val="345F13D2"/>
    <w:rsid w:val="346614E2"/>
    <w:rsid w:val="346F44E7"/>
    <w:rsid w:val="3477121B"/>
    <w:rsid w:val="34833930"/>
    <w:rsid w:val="348576A9"/>
    <w:rsid w:val="34880F47"/>
    <w:rsid w:val="34C33940"/>
    <w:rsid w:val="34CE5612"/>
    <w:rsid w:val="34CF786E"/>
    <w:rsid w:val="34D67F04"/>
    <w:rsid w:val="34DA288E"/>
    <w:rsid w:val="34E07C21"/>
    <w:rsid w:val="34E11C57"/>
    <w:rsid w:val="34E43EEA"/>
    <w:rsid w:val="34F47C15"/>
    <w:rsid w:val="34F540BD"/>
    <w:rsid w:val="34FF3C2C"/>
    <w:rsid w:val="35063B46"/>
    <w:rsid w:val="35095EB0"/>
    <w:rsid w:val="351C3CD0"/>
    <w:rsid w:val="352F1E92"/>
    <w:rsid w:val="353763F9"/>
    <w:rsid w:val="353C79F3"/>
    <w:rsid w:val="353F5F9A"/>
    <w:rsid w:val="35600779"/>
    <w:rsid w:val="35657FED"/>
    <w:rsid w:val="35976ED7"/>
    <w:rsid w:val="35977693"/>
    <w:rsid w:val="35980087"/>
    <w:rsid w:val="35B84DAB"/>
    <w:rsid w:val="35C52894"/>
    <w:rsid w:val="35D07049"/>
    <w:rsid w:val="35F036ED"/>
    <w:rsid w:val="35FB5BA7"/>
    <w:rsid w:val="36021E5F"/>
    <w:rsid w:val="36327AC4"/>
    <w:rsid w:val="3634601F"/>
    <w:rsid w:val="36496AF6"/>
    <w:rsid w:val="36547421"/>
    <w:rsid w:val="365E6403"/>
    <w:rsid w:val="367251E5"/>
    <w:rsid w:val="36826596"/>
    <w:rsid w:val="36903B9D"/>
    <w:rsid w:val="369736C3"/>
    <w:rsid w:val="36C301B0"/>
    <w:rsid w:val="36C40C39"/>
    <w:rsid w:val="36C95739"/>
    <w:rsid w:val="36D6243D"/>
    <w:rsid w:val="36DE6128"/>
    <w:rsid w:val="36DE6652"/>
    <w:rsid w:val="36F01751"/>
    <w:rsid w:val="36FD0B04"/>
    <w:rsid w:val="370275A1"/>
    <w:rsid w:val="3709636F"/>
    <w:rsid w:val="370C2D55"/>
    <w:rsid w:val="370E7E29"/>
    <w:rsid w:val="37215DAE"/>
    <w:rsid w:val="372633C5"/>
    <w:rsid w:val="372F7F54"/>
    <w:rsid w:val="37425D25"/>
    <w:rsid w:val="374754B1"/>
    <w:rsid w:val="374E45F3"/>
    <w:rsid w:val="37624933"/>
    <w:rsid w:val="37710FF7"/>
    <w:rsid w:val="377870D5"/>
    <w:rsid w:val="378C7B63"/>
    <w:rsid w:val="37C01AB5"/>
    <w:rsid w:val="37C357B7"/>
    <w:rsid w:val="37C8480D"/>
    <w:rsid w:val="38107733"/>
    <w:rsid w:val="38156F95"/>
    <w:rsid w:val="38246750"/>
    <w:rsid w:val="382A0C93"/>
    <w:rsid w:val="382E7411"/>
    <w:rsid w:val="38552071"/>
    <w:rsid w:val="385F25BB"/>
    <w:rsid w:val="386609E8"/>
    <w:rsid w:val="387B2A25"/>
    <w:rsid w:val="38A0575D"/>
    <w:rsid w:val="38A14437"/>
    <w:rsid w:val="38AC16A8"/>
    <w:rsid w:val="38B577A9"/>
    <w:rsid w:val="38B74C05"/>
    <w:rsid w:val="38CC421D"/>
    <w:rsid w:val="38D16635"/>
    <w:rsid w:val="38D373E7"/>
    <w:rsid w:val="38FA57F0"/>
    <w:rsid w:val="3936186D"/>
    <w:rsid w:val="395104A1"/>
    <w:rsid w:val="39514E0B"/>
    <w:rsid w:val="39566F53"/>
    <w:rsid w:val="395941C6"/>
    <w:rsid w:val="39693A3D"/>
    <w:rsid w:val="397905D6"/>
    <w:rsid w:val="39864DE3"/>
    <w:rsid w:val="39976270"/>
    <w:rsid w:val="399C32F4"/>
    <w:rsid w:val="399D5638"/>
    <w:rsid w:val="39B41C18"/>
    <w:rsid w:val="39B653E7"/>
    <w:rsid w:val="39C538F9"/>
    <w:rsid w:val="39CF5727"/>
    <w:rsid w:val="39D210D0"/>
    <w:rsid w:val="39D31839"/>
    <w:rsid w:val="39D7425E"/>
    <w:rsid w:val="39F2758E"/>
    <w:rsid w:val="39F82FB1"/>
    <w:rsid w:val="3A086DB2"/>
    <w:rsid w:val="3A1C273B"/>
    <w:rsid w:val="3A255D6F"/>
    <w:rsid w:val="3A291776"/>
    <w:rsid w:val="3A2B2AA0"/>
    <w:rsid w:val="3A30455A"/>
    <w:rsid w:val="3A43382A"/>
    <w:rsid w:val="3A51108A"/>
    <w:rsid w:val="3A5C534F"/>
    <w:rsid w:val="3A604CCB"/>
    <w:rsid w:val="3A667F7C"/>
    <w:rsid w:val="3A6711EA"/>
    <w:rsid w:val="3A6B021B"/>
    <w:rsid w:val="3A6C27C7"/>
    <w:rsid w:val="3A7D77A0"/>
    <w:rsid w:val="3A7E7CFE"/>
    <w:rsid w:val="3A95616C"/>
    <w:rsid w:val="3AB03D58"/>
    <w:rsid w:val="3AC0143A"/>
    <w:rsid w:val="3AE72E6B"/>
    <w:rsid w:val="3AF31112"/>
    <w:rsid w:val="3AF71C4F"/>
    <w:rsid w:val="3B0C28E2"/>
    <w:rsid w:val="3B325752"/>
    <w:rsid w:val="3B4113F9"/>
    <w:rsid w:val="3B4503AF"/>
    <w:rsid w:val="3B4B164C"/>
    <w:rsid w:val="3B4C0F20"/>
    <w:rsid w:val="3B4F0A10"/>
    <w:rsid w:val="3B5E513D"/>
    <w:rsid w:val="3B6E2308"/>
    <w:rsid w:val="3B700B9E"/>
    <w:rsid w:val="3B7A70C3"/>
    <w:rsid w:val="3B8C568A"/>
    <w:rsid w:val="3B8C6B52"/>
    <w:rsid w:val="3B9265F7"/>
    <w:rsid w:val="3BB36501"/>
    <w:rsid w:val="3BC10F8A"/>
    <w:rsid w:val="3BCA0430"/>
    <w:rsid w:val="3BD66A3C"/>
    <w:rsid w:val="3BDC3F68"/>
    <w:rsid w:val="3BDD601C"/>
    <w:rsid w:val="3BE21884"/>
    <w:rsid w:val="3C0D7BA2"/>
    <w:rsid w:val="3C1464E6"/>
    <w:rsid w:val="3C1F3B0A"/>
    <w:rsid w:val="3C2F5079"/>
    <w:rsid w:val="3C3814A4"/>
    <w:rsid w:val="3C3D7460"/>
    <w:rsid w:val="3C616C4D"/>
    <w:rsid w:val="3C6248AD"/>
    <w:rsid w:val="3C820BF8"/>
    <w:rsid w:val="3C9A772E"/>
    <w:rsid w:val="3CB974FB"/>
    <w:rsid w:val="3CD16A6C"/>
    <w:rsid w:val="3CFF2A56"/>
    <w:rsid w:val="3D083C3D"/>
    <w:rsid w:val="3D0F0BF5"/>
    <w:rsid w:val="3D254DA7"/>
    <w:rsid w:val="3D31435C"/>
    <w:rsid w:val="3D367754"/>
    <w:rsid w:val="3D4D01FD"/>
    <w:rsid w:val="3D8116F1"/>
    <w:rsid w:val="3D842DB5"/>
    <w:rsid w:val="3D927E3F"/>
    <w:rsid w:val="3DB41B96"/>
    <w:rsid w:val="3DD76D85"/>
    <w:rsid w:val="3DD83ABF"/>
    <w:rsid w:val="3DD86A9B"/>
    <w:rsid w:val="3DDA437C"/>
    <w:rsid w:val="3DEE4511"/>
    <w:rsid w:val="3DF461A3"/>
    <w:rsid w:val="3E03072B"/>
    <w:rsid w:val="3E0B6234"/>
    <w:rsid w:val="3E0C4997"/>
    <w:rsid w:val="3E1516BF"/>
    <w:rsid w:val="3E201151"/>
    <w:rsid w:val="3E54572C"/>
    <w:rsid w:val="3E600BB4"/>
    <w:rsid w:val="3E704F26"/>
    <w:rsid w:val="3E726EF0"/>
    <w:rsid w:val="3E8A2129"/>
    <w:rsid w:val="3E8C3990"/>
    <w:rsid w:val="3EA90437"/>
    <w:rsid w:val="3EC534C3"/>
    <w:rsid w:val="3EDA4D3F"/>
    <w:rsid w:val="3F0B745A"/>
    <w:rsid w:val="3F1708AB"/>
    <w:rsid w:val="3F8A0269"/>
    <w:rsid w:val="3F8A3D39"/>
    <w:rsid w:val="3F8D0174"/>
    <w:rsid w:val="3F95226A"/>
    <w:rsid w:val="3F987717"/>
    <w:rsid w:val="3FD23300"/>
    <w:rsid w:val="3FF47042"/>
    <w:rsid w:val="3FF54785"/>
    <w:rsid w:val="3FFC0AB7"/>
    <w:rsid w:val="3FFF0B26"/>
    <w:rsid w:val="4001677D"/>
    <w:rsid w:val="400445D6"/>
    <w:rsid w:val="4015659C"/>
    <w:rsid w:val="401D268F"/>
    <w:rsid w:val="40271F5C"/>
    <w:rsid w:val="403D5DB4"/>
    <w:rsid w:val="40444047"/>
    <w:rsid w:val="40452250"/>
    <w:rsid w:val="40501155"/>
    <w:rsid w:val="405229A9"/>
    <w:rsid w:val="40534AFF"/>
    <w:rsid w:val="406D3E12"/>
    <w:rsid w:val="408175F7"/>
    <w:rsid w:val="40955117"/>
    <w:rsid w:val="409E45E2"/>
    <w:rsid w:val="40A52125"/>
    <w:rsid w:val="40AE436A"/>
    <w:rsid w:val="40B61FF8"/>
    <w:rsid w:val="40C7171A"/>
    <w:rsid w:val="40D724A1"/>
    <w:rsid w:val="40E72D37"/>
    <w:rsid w:val="40E8793D"/>
    <w:rsid w:val="40EF4827"/>
    <w:rsid w:val="4114603C"/>
    <w:rsid w:val="413E57AF"/>
    <w:rsid w:val="415A1391"/>
    <w:rsid w:val="415E5B0A"/>
    <w:rsid w:val="41801923"/>
    <w:rsid w:val="41965A41"/>
    <w:rsid w:val="41970D49"/>
    <w:rsid w:val="41A25D3E"/>
    <w:rsid w:val="41B92A4F"/>
    <w:rsid w:val="41C964B4"/>
    <w:rsid w:val="41D13F2D"/>
    <w:rsid w:val="41D517BE"/>
    <w:rsid w:val="41D5429B"/>
    <w:rsid w:val="41F92ABD"/>
    <w:rsid w:val="41FC1B6A"/>
    <w:rsid w:val="42332E3A"/>
    <w:rsid w:val="423C4D26"/>
    <w:rsid w:val="42416CF7"/>
    <w:rsid w:val="424D1C7F"/>
    <w:rsid w:val="425846A6"/>
    <w:rsid w:val="426137A1"/>
    <w:rsid w:val="42624E34"/>
    <w:rsid w:val="427F218F"/>
    <w:rsid w:val="42840AD6"/>
    <w:rsid w:val="42870A90"/>
    <w:rsid w:val="428B63CF"/>
    <w:rsid w:val="42AF67D0"/>
    <w:rsid w:val="42BC0E70"/>
    <w:rsid w:val="42C245CE"/>
    <w:rsid w:val="42C35F6C"/>
    <w:rsid w:val="42CE53D3"/>
    <w:rsid w:val="42CF6F4F"/>
    <w:rsid w:val="42DD0E52"/>
    <w:rsid w:val="42F25C9A"/>
    <w:rsid w:val="43055AE1"/>
    <w:rsid w:val="430976F7"/>
    <w:rsid w:val="431A0C24"/>
    <w:rsid w:val="43284021"/>
    <w:rsid w:val="432D1637"/>
    <w:rsid w:val="434E1C20"/>
    <w:rsid w:val="43620283"/>
    <w:rsid w:val="4363286E"/>
    <w:rsid w:val="437101AA"/>
    <w:rsid w:val="43741014"/>
    <w:rsid w:val="43A73BE3"/>
    <w:rsid w:val="43AE7A7E"/>
    <w:rsid w:val="43B01826"/>
    <w:rsid w:val="43C7383A"/>
    <w:rsid w:val="43CA157C"/>
    <w:rsid w:val="43CF502D"/>
    <w:rsid w:val="43E8521C"/>
    <w:rsid w:val="43FD36FF"/>
    <w:rsid w:val="440B02B4"/>
    <w:rsid w:val="441C5080"/>
    <w:rsid w:val="44233849"/>
    <w:rsid w:val="44496945"/>
    <w:rsid w:val="446B500C"/>
    <w:rsid w:val="448508DF"/>
    <w:rsid w:val="44BF18A2"/>
    <w:rsid w:val="44CF71AB"/>
    <w:rsid w:val="44E23735"/>
    <w:rsid w:val="44E67CEF"/>
    <w:rsid w:val="44EA77F7"/>
    <w:rsid w:val="4517434D"/>
    <w:rsid w:val="45357785"/>
    <w:rsid w:val="45387766"/>
    <w:rsid w:val="453A760F"/>
    <w:rsid w:val="45491A3E"/>
    <w:rsid w:val="45503B28"/>
    <w:rsid w:val="45853082"/>
    <w:rsid w:val="45857508"/>
    <w:rsid w:val="45891F3C"/>
    <w:rsid w:val="4590274A"/>
    <w:rsid w:val="45905EAD"/>
    <w:rsid w:val="45A32084"/>
    <w:rsid w:val="45A8769B"/>
    <w:rsid w:val="45C344D5"/>
    <w:rsid w:val="45C864B7"/>
    <w:rsid w:val="45ED50AE"/>
    <w:rsid w:val="45FD0891"/>
    <w:rsid w:val="46185D52"/>
    <w:rsid w:val="46192347"/>
    <w:rsid w:val="46252A99"/>
    <w:rsid w:val="462C285E"/>
    <w:rsid w:val="4639249F"/>
    <w:rsid w:val="463A0304"/>
    <w:rsid w:val="464A4975"/>
    <w:rsid w:val="465670F7"/>
    <w:rsid w:val="4665558C"/>
    <w:rsid w:val="467C2D95"/>
    <w:rsid w:val="468477C0"/>
    <w:rsid w:val="4689127A"/>
    <w:rsid w:val="4695468D"/>
    <w:rsid w:val="469A6A31"/>
    <w:rsid w:val="46C73B51"/>
    <w:rsid w:val="46CA3A9F"/>
    <w:rsid w:val="46D83FB0"/>
    <w:rsid w:val="46F25071"/>
    <w:rsid w:val="471553B4"/>
    <w:rsid w:val="471E6457"/>
    <w:rsid w:val="471F398D"/>
    <w:rsid w:val="47232D85"/>
    <w:rsid w:val="475F6267"/>
    <w:rsid w:val="4760207C"/>
    <w:rsid w:val="4766336A"/>
    <w:rsid w:val="47743C9D"/>
    <w:rsid w:val="478657BA"/>
    <w:rsid w:val="478B55A3"/>
    <w:rsid w:val="47906F17"/>
    <w:rsid w:val="479A7A31"/>
    <w:rsid w:val="479B1699"/>
    <w:rsid w:val="47A10846"/>
    <w:rsid w:val="47AF51BF"/>
    <w:rsid w:val="47B81E12"/>
    <w:rsid w:val="47C12FC5"/>
    <w:rsid w:val="47D03B18"/>
    <w:rsid w:val="47DB1D58"/>
    <w:rsid w:val="47ED29D3"/>
    <w:rsid w:val="47EF74A3"/>
    <w:rsid w:val="47F50C9B"/>
    <w:rsid w:val="480C5CBF"/>
    <w:rsid w:val="480F1D14"/>
    <w:rsid w:val="4834394A"/>
    <w:rsid w:val="48390A7E"/>
    <w:rsid w:val="48515DC8"/>
    <w:rsid w:val="48531B40"/>
    <w:rsid w:val="485A65F3"/>
    <w:rsid w:val="48987720"/>
    <w:rsid w:val="489B34E7"/>
    <w:rsid w:val="489D4A92"/>
    <w:rsid w:val="48AA0D47"/>
    <w:rsid w:val="48AB437A"/>
    <w:rsid w:val="48B63E7D"/>
    <w:rsid w:val="48BB5E99"/>
    <w:rsid w:val="48C7608A"/>
    <w:rsid w:val="48E704DA"/>
    <w:rsid w:val="48E709AB"/>
    <w:rsid w:val="48FD1AAC"/>
    <w:rsid w:val="49074129"/>
    <w:rsid w:val="491C4628"/>
    <w:rsid w:val="491E413A"/>
    <w:rsid w:val="492B5D1A"/>
    <w:rsid w:val="49356195"/>
    <w:rsid w:val="493E72F4"/>
    <w:rsid w:val="49477CA3"/>
    <w:rsid w:val="495105E0"/>
    <w:rsid w:val="495530D2"/>
    <w:rsid w:val="495D4FB7"/>
    <w:rsid w:val="495F0F47"/>
    <w:rsid w:val="497F0713"/>
    <w:rsid w:val="49850611"/>
    <w:rsid w:val="49902920"/>
    <w:rsid w:val="499C3073"/>
    <w:rsid w:val="49B4660E"/>
    <w:rsid w:val="49E47F0A"/>
    <w:rsid w:val="4A221E06"/>
    <w:rsid w:val="4A2C05A1"/>
    <w:rsid w:val="4A487A49"/>
    <w:rsid w:val="4A563B69"/>
    <w:rsid w:val="4A661827"/>
    <w:rsid w:val="4A77137D"/>
    <w:rsid w:val="4A995804"/>
    <w:rsid w:val="4A9D3546"/>
    <w:rsid w:val="4AAA5C63"/>
    <w:rsid w:val="4AAC19DB"/>
    <w:rsid w:val="4ABE4002"/>
    <w:rsid w:val="4AD3789D"/>
    <w:rsid w:val="4AE61558"/>
    <w:rsid w:val="4AE629A4"/>
    <w:rsid w:val="4AF93679"/>
    <w:rsid w:val="4B1E0386"/>
    <w:rsid w:val="4B2B6DA4"/>
    <w:rsid w:val="4B327DA5"/>
    <w:rsid w:val="4B483ECE"/>
    <w:rsid w:val="4B4D5DE5"/>
    <w:rsid w:val="4B53713F"/>
    <w:rsid w:val="4B5918B4"/>
    <w:rsid w:val="4B5E178B"/>
    <w:rsid w:val="4B7A3887"/>
    <w:rsid w:val="4B7D53C9"/>
    <w:rsid w:val="4B85293F"/>
    <w:rsid w:val="4B902502"/>
    <w:rsid w:val="4B9B344B"/>
    <w:rsid w:val="4BA44460"/>
    <w:rsid w:val="4BDB55FA"/>
    <w:rsid w:val="4BF70A34"/>
    <w:rsid w:val="4C017B05"/>
    <w:rsid w:val="4C0849EF"/>
    <w:rsid w:val="4C125927"/>
    <w:rsid w:val="4C3A3FC8"/>
    <w:rsid w:val="4C3D55C6"/>
    <w:rsid w:val="4C520360"/>
    <w:rsid w:val="4C583BC9"/>
    <w:rsid w:val="4C667A5B"/>
    <w:rsid w:val="4C823BCA"/>
    <w:rsid w:val="4C8C73CE"/>
    <w:rsid w:val="4C9F1330"/>
    <w:rsid w:val="4CA23096"/>
    <w:rsid w:val="4CAB3457"/>
    <w:rsid w:val="4CAF57B3"/>
    <w:rsid w:val="4CD82614"/>
    <w:rsid w:val="4CEA67EB"/>
    <w:rsid w:val="4CF124C7"/>
    <w:rsid w:val="4CF70170"/>
    <w:rsid w:val="4CF907DC"/>
    <w:rsid w:val="4CFA619E"/>
    <w:rsid w:val="4CFD777A"/>
    <w:rsid w:val="4D043409"/>
    <w:rsid w:val="4D201110"/>
    <w:rsid w:val="4D3431C7"/>
    <w:rsid w:val="4D526F59"/>
    <w:rsid w:val="4D650150"/>
    <w:rsid w:val="4D7F0CE1"/>
    <w:rsid w:val="4D981DA3"/>
    <w:rsid w:val="4D9A5B1B"/>
    <w:rsid w:val="4D9C7AE5"/>
    <w:rsid w:val="4DA229B3"/>
    <w:rsid w:val="4DB35F12"/>
    <w:rsid w:val="4DE03AC2"/>
    <w:rsid w:val="4DEF02BD"/>
    <w:rsid w:val="4DFB0EC4"/>
    <w:rsid w:val="4E0336C0"/>
    <w:rsid w:val="4E0D72D8"/>
    <w:rsid w:val="4E125FF9"/>
    <w:rsid w:val="4E214868"/>
    <w:rsid w:val="4E274307"/>
    <w:rsid w:val="4E383ED6"/>
    <w:rsid w:val="4E3B5C73"/>
    <w:rsid w:val="4E560D60"/>
    <w:rsid w:val="4E564593"/>
    <w:rsid w:val="4E703F51"/>
    <w:rsid w:val="4E802F63"/>
    <w:rsid w:val="4E8A5B90"/>
    <w:rsid w:val="4E942C0A"/>
    <w:rsid w:val="4E98220D"/>
    <w:rsid w:val="4EB7399D"/>
    <w:rsid w:val="4EB96475"/>
    <w:rsid w:val="4EC372F3"/>
    <w:rsid w:val="4ECD2716"/>
    <w:rsid w:val="4ED35788"/>
    <w:rsid w:val="4EE73AF5"/>
    <w:rsid w:val="4EE84EA5"/>
    <w:rsid w:val="4EEE4AF5"/>
    <w:rsid w:val="4F0B544D"/>
    <w:rsid w:val="4F0C0C9A"/>
    <w:rsid w:val="4F165675"/>
    <w:rsid w:val="4F301FB1"/>
    <w:rsid w:val="4F473A81"/>
    <w:rsid w:val="4F4F7329"/>
    <w:rsid w:val="4F5260B5"/>
    <w:rsid w:val="4F5543EF"/>
    <w:rsid w:val="4F56624C"/>
    <w:rsid w:val="4F58224C"/>
    <w:rsid w:val="4F5A7FFE"/>
    <w:rsid w:val="4F5B752C"/>
    <w:rsid w:val="4F5F701C"/>
    <w:rsid w:val="4F8B2726"/>
    <w:rsid w:val="4F8B4457"/>
    <w:rsid w:val="4FA41146"/>
    <w:rsid w:val="4FA90297"/>
    <w:rsid w:val="4FD80B7D"/>
    <w:rsid w:val="4FDA01F8"/>
    <w:rsid w:val="4FE561E5"/>
    <w:rsid w:val="4FF221C3"/>
    <w:rsid w:val="4FF5172F"/>
    <w:rsid w:val="4FFA0634"/>
    <w:rsid w:val="500032A2"/>
    <w:rsid w:val="504E08AD"/>
    <w:rsid w:val="50575F45"/>
    <w:rsid w:val="505C4D01"/>
    <w:rsid w:val="506F4A92"/>
    <w:rsid w:val="507419FE"/>
    <w:rsid w:val="507C1E50"/>
    <w:rsid w:val="508B1CA1"/>
    <w:rsid w:val="50901457"/>
    <w:rsid w:val="509E5922"/>
    <w:rsid w:val="50A54F03"/>
    <w:rsid w:val="50AA168D"/>
    <w:rsid w:val="50AF4B30"/>
    <w:rsid w:val="50BC5CDC"/>
    <w:rsid w:val="50CA2BBB"/>
    <w:rsid w:val="50E74C38"/>
    <w:rsid w:val="50FC089B"/>
    <w:rsid w:val="50FD0D89"/>
    <w:rsid w:val="51024103"/>
    <w:rsid w:val="51025571"/>
    <w:rsid w:val="51071719"/>
    <w:rsid w:val="510819A0"/>
    <w:rsid w:val="51200E5F"/>
    <w:rsid w:val="5123009E"/>
    <w:rsid w:val="512C2CA7"/>
    <w:rsid w:val="512D289E"/>
    <w:rsid w:val="514152FB"/>
    <w:rsid w:val="51434ED1"/>
    <w:rsid w:val="514D0397"/>
    <w:rsid w:val="51595CED"/>
    <w:rsid w:val="516445A0"/>
    <w:rsid w:val="518956A9"/>
    <w:rsid w:val="521D4F6D"/>
    <w:rsid w:val="523A416D"/>
    <w:rsid w:val="52490C2A"/>
    <w:rsid w:val="5253273C"/>
    <w:rsid w:val="525505B5"/>
    <w:rsid w:val="5261544F"/>
    <w:rsid w:val="529414C0"/>
    <w:rsid w:val="52A01E26"/>
    <w:rsid w:val="52A52223"/>
    <w:rsid w:val="52B97CAE"/>
    <w:rsid w:val="52C504FB"/>
    <w:rsid w:val="52DC6BD6"/>
    <w:rsid w:val="52E13756"/>
    <w:rsid w:val="52E65840"/>
    <w:rsid w:val="52EF5C2D"/>
    <w:rsid w:val="52EF6909"/>
    <w:rsid w:val="52F47582"/>
    <w:rsid w:val="5311687F"/>
    <w:rsid w:val="531E71EE"/>
    <w:rsid w:val="5322283B"/>
    <w:rsid w:val="53230361"/>
    <w:rsid w:val="536270DB"/>
    <w:rsid w:val="5371534A"/>
    <w:rsid w:val="53720C63"/>
    <w:rsid w:val="53764934"/>
    <w:rsid w:val="537700D3"/>
    <w:rsid w:val="537A4622"/>
    <w:rsid w:val="53811681"/>
    <w:rsid w:val="538A520F"/>
    <w:rsid w:val="53933E3F"/>
    <w:rsid w:val="53AC4A7F"/>
    <w:rsid w:val="53B418CC"/>
    <w:rsid w:val="53F32910"/>
    <w:rsid w:val="53F4098D"/>
    <w:rsid w:val="53FC3AD9"/>
    <w:rsid w:val="53FE04C8"/>
    <w:rsid w:val="54206BE2"/>
    <w:rsid w:val="54297BB6"/>
    <w:rsid w:val="542B571F"/>
    <w:rsid w:val="54336DD4"/>
    <w:rsid w:val="543660C2"/>
    <w:rsid w:val="54375971"/>
    <w:rsid w:val="54453F00"/>
    <w:rsid w:val="544D196D"/>
    <w:rsid w:val="54723C7D"/>
    <w:rsid w:val="5478326E"/>
    <w:rsid w:val="547F6951"/>
    <w:rsid w:val="54854CE2"/>
    <w:rsid w:val="548965FC"/>
    <w:rsid w:val="548E5CAE"/>
    <w:rsid w:val="54905064"/>
    <w:rsid w:val="54931516"/>
    <w:rsid w:val="549F015A"/>
    <w:rsid w:val="54AF503F"/>
    <w:rsid w:val="54B25E40"/>
    <w:rsid w:val="54D730B0"/>
    <w:rsid w:val="54E812EA"/>
    <w:rsid w:val="54F76B5C"/>
    <w:rsid w:val="55020A87"/>
    <w:rsid w:val="550341FE"/>
    <w:rsid w:val="55042014"/>
    <w:rsid w:val="55210479"/>
    <w:rsid w:val="552A209A"/>
    <w:rsid w:val="55393BB8"/>
    <w:rsid w:val="55517407"/>
    <w:rsid w:val="55614C5E"/>
    <w:rsid w:val="556C5FEF"/>
    <w:rsid w:val="5572737D"/>
    <w:rsid w:val="55823A64"/>
    <w:rsid w:val="558C2621"/>
    <w:rsid w:val="55AD3652"/>
    <w:rsid w:val="55B9606B"/>
    <w:rsid w:val="55DE0E54"/>
    <w:rsid w:val="55EE4C56"/>
    <w:rsid w:val="55FF52A6"/>
    <w:rsid w:val="5633198E"/>
    <w:rsid w:val="563E5469"/>
    <w:rsid w:val="565A053D"/>
    <w:rsid w:val="566919C6"/>
    <w:rsid w:val="566C5546"/>
    <w:rsid w:val="56745BC9"/>
    <w:rsid w:val="568832FC"/>
    <w:rsid w:val="56907775"/>
    <w:rsid w:val="56C1236A"/>
    <w:rsid w:val="56CD56FA"/>
    <w:rsid w:val="56CF2CF8"/>
    <w:rsid w:val="56E34EAC"/>
    <w:rsid w:val="57016C0B"/>
    <w:rsid w:val="570203D1"/>
    <w:rsid w:val="571159E3"/>
    <w:rsid w:val="571D3ABE"/>
    <w:rsid w:val="571F6B78"/>
    <w:rsid w:val="57340D8E"/>
    <w:rsid w:val="57452F9B"/>
    <w:rsid w:val="57645BA3"/>
    <w:rsid w:val="576A1B6C"/>
    <w:rsid w:val="57805D82"/>
    <w:rsid w:val="579001D7"/>
    <w:rsid w:val="57936854"/>
    <w:rsid w:val="579848F6"/>
    <w:rsid w:val="57A22474"/>
    <w:rsid w:val="57AF0A2B"/>
    <w:rsid w:val="57C43A36"/>
    <w:rsid w:val="57F62116"/>
    <w:rsid w:val="580746F5"/>
    <w:rsid w:val="58101705"/>
    <w:rsid w:val="58335AD6"/>
    <w:rsid w:val="58346B6C"/>
    <w:rsid w:val="584265A5"/>
    <w:rsid w:val="58564D34"/>
    <w:rsid w:val="58707FAE"/>
    <w:rsid w:val="58733B38"/>
    <w:rsid w:val="58801DB1"/>
    <w:rsid w:val="58895B35"/>
    <w:rsid w:val="58906498"/>
    <w:rsid w:val="58C83D7C"/>
    <w:rsid w:val="58E7744A"/>
    <w:rsid w:val="59012EF2"/>
    <w:rsid w:val="5909370D"/>
    <w:rsid w:val="590D48EB"/>
    <w:rsid w:val="59495353"/>
    <w:rsid w:val="594B0611"/>
    <w:rsid w:val="594D4389"/>
    <w:rsid w:val="595D2922"/>
    <w:rsid w:val="59634E7E"/>
    <w:rsid w:val="597265E6"/>
    <w:rsid w:val="59943D66"/>
    <w:rsid w:val="5996188C"/>
    <w:rsid w:val="59A85569"/>
    <w:rsid w:val="59A90DF6"/>
    <w:rsid w:val="59B8686F"/>
    <w:rsid w:val="59B86AAB"/>
    <w:rsid w:val="59BF5B8E"/>
    <w:rsid w:val="59D027D3"/>
    <w:rsid w:val="59DE0C7A"/>
    <w:rsid w:val="59F04D56"/>
    <w:rsid w:val="59FD5DAF"/>
    <w:rsid w:val="5A125C89"/>
    <w:rsid w:val="5A417D7A"/>
    <w:rsid w:val="5A4C2893"/>
    <w:rsid w:val="5A4F7A61"/>
    <w:rsid w:val="5A6279C1"/>
    <w:rsid w:val="5A690D4F"/>
    <w:rsid w:val="5A852ECF"/>
    <w:rsid w:val="5A9C1659"/>
    <w:rsid w:val="5AA026B8"/>
    <w:rsid w:val="5AA116D7"/>
    <w:rsid w:val="5AAC7C87"/>
    <w:rsid w:val="5ADA1FF9"/>
    <w:rsid w:val="5AE821DA"/>
    <w:rsid w:val="5AED557F"/>
    <w:rsid w:val="5AF20641"/>
    <w:rsid w:val="5AFD1904"/>
    <w:rsid w:val="5B1552F3"/>
    <w:rsid w:val="5B2B4256"/>
    <w:rsid w:val="5B2C0607"/>
    <w:rsid w:val="5B3034F1"/>
    <w:rsid w:val="5B424CC5"/>
    <w:rsid w:val="5B4672E2"/>
    <w:rsid w:val="5B57504B"/>
    <w:rsid w:val="5B63362E"/>
    <w:rsid w:val="5B755268"/>
    <w:rsid w:val="5B7B51DE"/>
    <w:rsid w:val="5B88241C"/>
    <w:rsid w:val="5B90055D"/>
    <w:rsid w:val="5B9C2FC5"/>
    <w:rsid w:val="5BA54987"/>
    <w:rsid w:val="5BA65FD3"/>
    <w:rsid w:val="5BC86521"/>
    <w:rsid w:val="5BDC51D2"/>
    <w:rsid w:val="5BDE39BF"/>
    <w:rsid w:val="5C082709"/>
    <w:rsid w:val="5C11169E"/>
    <w:rsid w:val="5C14060C"/>
    <w:rsid w:val="5C180F45"/>
    <w:rsid w:val="5C182A2D"/>
    <w:rsid w:val="5C2E582C"/>
    <w:rsid w:val="5C4C1E77"/>
    <w:rsid w:val="5C7639BC"/>
    <w:rsid w:val="5C981DBF"/>
    <w:rsid w:val="5CA13925"/>
    <w:rsid w:val="5CBC5AAE"/>
    <w:rsid w:val="5CD12F06"/>
    <w:rsid w:val="5CD85C43"/>
    <w:rsid w:val="5CF7084F"/>
    <w:rsid w:val="5D02548B"/>
    <w:rsid w:val="5D0273FA"/>
    <w:rsid w:val="5D147937"/>
    <w:rsid w:val="5D1634FA"/>
    <w:rsid w:val="5D2733FE"/>
    <w:rsid w:val="5D2A0341"/>
    <w:rsid w:val="5D521F6E"/>
    <w:rsid w:val="5D614E5A"/>
    <w:rsid w:val="5D7A4EBD"/>
    <w:rsid w:val="5D7B2AFB"/>
    <w:rsid w:val="5D9D4948"/>
    <w:rsid w:val="5DA07441"/>
    <w:rsid w:val="5DAB5B22"/>
    <w:rsid w:val="5DC34C1A"/>
    <w:rsid w:val="5DC664B8"/>
    <w:rsid w:val="5DCD5EDE"/>
    <w:rsid w:val="5DDB01B6"/>
    <w:rsid w:val="5DDD01B0"/>
    <w:rsid w:val="5DE227D8"/>
    <w:rsid w:val="5DEE4FE1"/>
    <w:rsid w:val="5E040F9B"/>
    <w:rsid w:val="5E163DAD"/>
    <w:rsid w:val="5E18199F"/>
    <w:rsid w:val="5E276BBA"/>
    <w:rsid w:val="5E4A34BA"/>
    <w:rsid w:val="5E5166CA"/>
    <w:rsid w:val="5E572B7B"/>
    <w:rsid w:val="5E622685"/>
    <w:rsid w:val="5E6230CD"/>
    <w:rsid w:val="5E837070"/>
    <w:rsid w:val="5E916EEA"/>
    <w:rsid w:val="5EB629D1"/>
    <w:rsid w:val="5ED929BD"/>
    <w:rsid w:val="5EE004CC"/>
    <w:rsid w:val="5EEF44C3"/>
    <w:rsid w:val="5EF64B87"/>
    <w:rsid w:val="5EFE24CD"/>
    <w:rsid w:val="5F1E02ED"/>
    <w:rsid w:val="5F5335CE"/>
    <w:rsid w:val="5F5F0972"/>
    <w:rsid w:val="5F6123D2"/>
    <w:rsid w:val="5F6E604F"/>
    <w:rsid w:val="5F781A34"/>
    <w:rsid w:val="5F7C6175"/>
    <w:rsid w:val="5F8C113D"/>
    <w:rsid w:val="5F9E149B"/>
    <w:rsid w:val="5F9E76ED"/>
    <w:rsid w:val="5FA55B60"/>
    <w:rsid w:val="5FB55859"/>
    <w:rsid w:val="5FEE6A48"/>
    <w:rsid w:val="6028198E"/>
    <w:rsid w:val="602C2F4B"/>
    <w:rsid w:val="60457B68"/>
    <w:rsid w:val="605C4EB2"/>
    <w:rsid w:val="6060214E"/>
    <w:rsid w:val="6071387E"/>
    <w:rsid w:val="608C5797"/>
    <w:rsid w:val="60932B78"/>
    <w:rsid w:val="60B1182C"/>
    <w:rsid w:val="60B54E5F"/>
    <w:rsid w:val="60B60A66"/>
    <w:rsid w:val="60D67EB5"/>
    <w:rsid w:val="60E72435"/>
    <w:rsid w:val="60F12408"/>
    <w:rsid w:val="60F915AE"/>
    <w:rsid w:val="61085853"/>
    <w:rsid w:val="611834CF"/>
    <w:rsid w:val="61186844"/>
    <w:rsid w:val="61196AEE"/>
    <w:rsid w:val="611D2893"/>
    <w:rsid w:val="612015DC"/>
    <w:rsid w:val="6138147B"/>
    <w:rsid w:val="613D3456"/>
    <w:rsid w:val="61482832"/>
    <w:rsid w:val="615C785F"/>
    <w:rsid w:val="6161246C"/>
    <w:rsid w:val="617901B4"/>
    <w:rsid w:val="617A09D3"/>
    <w:rsid w:val="617A6407"/>
    <w:rsid w:val="617E2BD9"/>
    <w:rsid w:val="619C7C5C"/>
    <w:rsid w:val="61A66D2D"/>
    <w:rsid w:val="61A92379"/>
    <w:rsid w:val="61AB7F4F"/>
    <w:rsid w:val="61BA27D8"/>
    <w:rsid w:val="61BC7327"/>
    <w:rsid w:val="61D513C0"/>
    <w:rsid w:val="61F12BA4"/>
    <w:rsid w:val="61FC795F"/>
    <w:rsid w:val="62035F2D"/>
    <w:rsid w:val="62265778"/>
    <w:rsid w:val="622A0453"/>
    <w:rsid w:val="62347E94"/>
    <w:rsid w:val="62554D7B"/>
    <w:rsid w:val="62782477"/>
    <w:rsid w:val="62870321"/>
    <w:rsid w:val="6287090C"/>
    <w:rsid w:val="62892F39"/>
    <w:rsid w:val="62A52639"/>
    <w:rsid w:val="62C313EC"/>
    <w:rsid w:val="62C751AC"/>
    <w:rsid w:val="62D2532D"/>
    <w:rsid w:val="62D32926"/>
    <w:rsid w:val="62E775FD"/>
    <w:rsid w:val="62EB1C80"/>
    <w:rsid w:val="62F11E84"/>
    <w:rsid w:val="6306529F"/>
    <w:rsid w:val="631D7704"/>
    <w:rsid w:val="63224191"/>
    <w:rsid w:val="632B7CB6"/>
    <w:rsid w:val="632C5010"/>
    <w:rsid w:val="632D6A8C"/>
    <w:rsid w:val="63326075"/>
    <w:rsid w:val="63577595"/>
    <w:rsid w:val="636D1281"/>
    <w:rsid w:val="63921C8F"/>
    <w:rsid w:val="63974B7F"/>
    <w:rsid w:val="639F7B81"/>
    <w:rsid w:val="63A252D2"/>
    <w:rsid w:val="63BE7F46"/>
    <w:rsid w:val="63C546CA"/>
    <w:rsid w:val="63D43500"/>
    <w:rsid w:val="63E36016"/>
    <w:rsid w:val="64177A6E"/>
    <w:rsid w:val="64191A38"/>
    <w:rsid w:val="64463885"/>
    <w:rsid w:val="6468651B"/>
    <w:rsid w:val="646C6942"/>
    <w:rsid w:val="64754C21"/>
    <w:rsid w:val="648101EB"/>
    <w:rsid w:val="648F5856"/>
    <w:rsid w:val="64966BE4"/>
    <w:rsid w:val="64C649E5"/>
    <w:rsid w:val="64C971FC"/>
    <w:rsid w:val="64D17A33"/>
    <w:rsid w:val="64E536C8"/>
    <w:rsid w:val="6507446B"/>
    <w:rsid w:val="651F176C"/>
    <w:rsid w:val="651F307E"/>
    <w:rsid w:val="65243799"/>
    <w:rsid w:val="653730AD"/>
    <w:rsid w:val="65473BE4"/>
    <w:rsid w:val="654823B1"/>
    <w:rsid w:val="65670581"/>
    <w:rsid w:val="656E5DB3"/>
    <w:rsid w:val="658B7760"/>
    <w:rsid w:val="659514FA"/>
    <w:rsid w:val="65A71B0C"/>
    <w:rsid w:val="65AC2438"/>
    <w:rsid w:val="65B4203E"/>
    <w:rsid w:val="65BE6761"/>
    <w:rsid w:val="65C562C1"/>
    <w:rsid w:val="65DA30E2"/>
    <w:rsid w:val="65DC0944"/>
    <w:rsid w:val="65EB1B83"/>
    <w:rsid w:val="65EE7177"/>
    <w:rsid w:val="65FC3D56"/>
    <w:rsid w:val="660A61FF"/>
    <w:rsid w:val="6635457B"/>
    <w:rsid w:val="663B78CC"/>
    <w:rsid w:val="665E1984"/>
    <w:rsid w:val="66645598"/>
    <w:rsid w:val="66713242"/>
    <w:rsid w:val="66A57E71"/>
    <w:rsid w:val="66B75538"/>
    <w:rsid w:val="66BD4460"/>
    <w:rsid w:val="66C7577B"/>
    <w:rsid w:val="66D47A94"/>
    <w:rsid w:val="66E4759D"/>
    <w:rsid w:val="674B4F4A"/>
    <w:rsid w:val="674E19F8"/>
    <w:rsid w:val="67656D42"/>
    <w:rsid w:val="676A3DA6"/>
    <w:rsid w:val="676C1E7F"/>
    <w:rsid w:val="67773A51"/>
    <w:rsid w:val="679805D8"/>
    <w:rsid w:val="67BC3FEE"/>
    <w:rsid w:val="67CA7544"/>
    <w:rsid w:val="67D35A63"/>
    <w:rsid w:val="67D477F8"/>
    <w:rsid w:val="67F24A7A"/>
    <w:rsid w:val="67F325A0"/>
    <w:rsid w:val="67FF7C3A"/>
    <w:rsid w:val="68016A6B"/>
    <w:rsid w:val="6829477F"/>
    <w:rsid w:val="682F4FA9"/>
    <w:rsid w:val="68310698"/>
    <w:rsid w:val="68323C50"/>
    <w:rsid w:val="685A617B"/>
    <w:rsid w:val="686332F5"/>
    <w:rsid w:val="68646588"/>
    <w:rsid w:val="686E1C26"/>
    <w:rsid w:val="688232C2"/>
    <w:rsid w:val="68843A78"/>
    <w:rsid w:val="68996CA3"/>
    <w:rsid w:val="689F0599"/>
    <w:rsid w:val="68B43376"/>
    <w:rsid w:val="68B7537B"/>
    <w:rsid w:val="68DC3034"/>
    <w:rsid w:val="68DC4DE2"/>
    <w:rsid w:val="68F053F6"/>
    <w:rsid w:val="68F14D31"/>
    <w:rsid w:val="68F43A1E"/>
    <w:rsid w:val="69085BD7"/>
    <w:rsid w:val="69145603"/>
    <w:rsid w:val="69423186"/>
    <w:rsid w:val="69432BE1"/>
    <w:rsid w:val="694D728A"/>
    <w:rsid w:val="69594684"/>
    <w:rsid w:val="6988057F"/>
    <w:rsid w:val="699906A2"/>
    <w:rsid w:val="69A973BA"/>
    <w:rsid w:val="69AC12C2"/>
    <w:rsid w:val="69C411D0"/>
    <w:rsid w:val="69C62FFA"/>
    <w:rsid w:val="69D16911"/>
    <w:rsid w:val="69D501AF"/>
    <w:rsid w:val="69D86C6D"/>
    <w:rsid w:val="69E4001D"/>
    <w:rsid w:val="69FA48D7"/>
    <w:rsid w:val="69FF347E"/>
    <w:rsid w:val="6A0D6DC9"/>
    <w:rsid w:val="6A2B6021"/>
    <w:rsid w:val="6A4A19BA"/>
    <w:rsid w:val="6A564EBF"/>
    <w:rsid w:val="6A645FFB"/>
    <w:rsid w:val="6A6A2D90"/>
    <w:rsid w:val="6A701056"/>
    <w:rsid w:val="6A7A24EF"/>
    <w:rsid w:val="6A7E361E"/>
    <w:rsid w:val="6A9A2282"/>
    <w:rsid w:val="6ABB292C"/>
    <w:rsid w:val="6AC46CE5"/>
    <w:rsid w:val="6ACD0D45"/>
    <w:rsid w:val="6ACF10A2"/>
    <w:rsid w:val="6AE82164"/>
    <w:rsid w:val="6AEA4CF9"/>
    <w:rsid w:val="6AEA7C8A"/>
    <w:rsid w:val="6AF1726A"/>
    <w:rsid w:val="6AFE0C80"/>
    <w:rsid w:val="6B144D07"/>
    <w:rsid w:val="6B2A0779"/>
    <w:rsid w:val="6B2B1D80"/>
    <w:rsid w:val="6B3D3548"/>
    <w:rsid w:val="6B664EB6"/>
    <w:rsid w:val="6B841E8D"/>
    <w:rsid w:val="6BA87D31"/>
    <w:rsid w:val="6BB72998"/>
    <w:rsid w:val="6BBC73BD"/>
    <w:rsid w:val="6BC066B1"/>
    <w:rsid w:val="6BC8789F"/>
    <w:rsid w:val="6BEE37AA"/>
    <w:rsid w:val="6C0B1660"/>
    <w:rsid w:val="6C164AAF"/>
    <w:rsid w:val="6C256AA0"/>
    <w:rsid w:val="6C2C7E2E"/>
    <w:rsid w:val="6C523D39"/>
    <w:rsid w:val="6C533915"/>
    <w:rsid w:val="6C5506F2"/>
    <w:rsid w:val="6C7F31BE"/>
    <w:rsid w:val="6C8859AD"/>
    <w:rsid w:val="6CD91C0E"/>
    <w:rsid w:val="6CE01353"/>
    <w:rsid w:val="6CEA7AAC"/>
    <w:rsid w:val="6CF35CFC"/>
    <w:rsid w:val="6CF546C4"/>
    <w:rsid w:val="6CFA25E1"/>
    <w:rsid w:val="6CFE5C6F"/>
    <w:rsid w:val="6D2553A0"/>
    <w:rsid w:val="6D3F29A1"/>
    <w:rsid w:val="6D651DF3"/>
    <w:rsid w:val="6D6A3304"/>
    <w:rsid w:val="6D8D0DA1"/>
    <w:rsid w:val="6D995916"/>
    <w:rsid w:val="6D9E263C"/>
    <w:rsid w:val="6DB8406F"/>
    <w:rsid w:val="6DC26C9C"/>
    <w:rsid w:val="6DD658EE"/>
    <w:rsid w:val="6DDD6E36"/>
    <w:rsid w:val="6DEC1C21"/>
    <w:rsid w:val="6E152319"/>
    <w:rsid w:val="6E3B0BAF"/>
    <w:rsid w:val="6E3E0629"/>
    <w:rsid w:val="6E45554E"/>
    <w:rsid w:val="6E501AEB"/>
    <w:rsid w:val="6E7C11B5"/>
    <w:rsid w:val="6E7C32EF"/>
    <w:rsid w:val="6E7F556F"/>
    <w:rsid w:val="6E997C25"/>
    <w:rsid w:val="6E9F07E1"/>
    <w:rsid w:val="6EA14A30"/>
    <w:rsid w:val="6EA42846"/>
    <w:rsid w:val="6EB6105A"/>
    <w:rsid w:val="6EBA00D3"/>
    <w:rsid w:val="6EBD1212"/>
    <w:rsid w:val="6EC629FF"/>
    <w:rsid w:val="6EC7282F"/>
    <w:rsid w:val="6EC922AC"/>
    <w:rsid w:val="6ED21161"/>
    <w:rsid w:val="6F1C104C"/>
    <w:rsid w:val="6F255735"/>
    <w:rsid w:val="6F26499B"/>
    <w:rsid w:val="6F2F3282"/>
    <w:rsid w:val="6F467459"/>
    <w:rsid w:val="6F587A8E"/>
    <w:rsid w:val="6F5A7044"/>
    <w:rsid w:val="6F5D5506"/>
    <w:rsid w:val="6F600C59"/>
    <w:rsid w:val="6F7E2770"/>
    <w:rsid w:val="6F7F4719"/>
    <w:rsid w:val="6F800BBD"/>
    <w:rsid w:val="6F8776A7"/>
    <w:rsid w:val="6F8B4A66"/>
    <w:rsid w:val="6F957D21"/>
    <w:rsid w:val="6FA57C2A"/>
    <w:rsid w:val="6FC8405E"/>
    <w:rsid w:val="6FD175F7"/>
    <w:rsid w:val="6FD26F3F"/>
    <w:rsid w:val="6FD95378"/>
    <w:rsid w:val="6FEA24DA"/>
    <w:rsid w:val="6FF23B80"/>
    <w:rsid w:val="6FF670D1"/>
    <w:rsid w:val="70180DF5"/>
    <w:rsid w:val="701B6B38"/>
    <w:rsid w:val="703C1CAA"/>
    <w:rsid w:val="703E1108"/>
    <w:rsid w:val="704B7EBD"/>
    <w:rsid w:val="705B0CE2"/>
    <w:rsid w:val="7073427E"/>
    <w:rsid w:val="707F7FC1"/>
    <w:rsid w:val="70830694"/>
    <w:rsid w:val="7092075C"/>
    <w:rsid w:val="70AF49AD"/>
    <w:rsid w:val="70E234A9"/>
    <w:rsid w:val="70F257E2"/>
    <w:rsid w:val="712D7A96"/>
    <w:rsid w:val="71334F8E"/>
    <w:rsid w:val="713C2BF3"/>
    <w:rsid w:val="71526589"/>
    <w:rsid w:val="715517E0"/>
    <w:rsid w:val="71682CDB"/>
    <w:rsid w:val="717C301D"/>
    <w:rsid w:val="718B55F7"/>
    <w:rsid w:val="719E17CE"/>
    <w:rsid w:val="71AC3CA8"/>
    <w:rsid w:val="71E67530"/>
    <w:rsid w:val="71F27DA7"/>
    <w:rsid w:val="71F552A8"/>
    <w:rsid w:val="71FB09CF"/>
    <w:rsid w:val="71FD3369"/>
    <w:rsid w:val="7208350E"/>
    <w:rsid w:val="72264502"/>
    <w:rsid w:val="72332BB4"/>
    <w:rsid w:val="723358B2"/>
    <w:rsid w:val="72363B93"/>
    <w:rsid w:val="72366F69"/>
    <w:rsid w:val="72534367"/>
    <w:rsid w:val="72546CCC"/>
    <w:rsid w:val="72571A57"/>
    <w:rsid w:val="72981E43"/>
    <w:rsid w:val="729D3834"/>
    <w:rsid w:val="729F57FE"/>
    <w:rsid w:val="72A66B8C"/>
    <w:rsid w:val="72AD5CE4"/>
    <w:rsid w:val="72BB344D"/>
    <w:rsid w:val="72BD396A"/>
    <w:rsid w:val="72EA334F"/>
    <w:rsid w:val="72ED47BB"/>
    <w:rsid w:val="730B241D"/>
    <w:rsid w:val="7325797A"/>
    <w:rsid w:val="734C24BD"/>
    <w:rsid w:val="734D525A"/>
    <w:rsid w:val="7357002D"/>
    <w:rsid w:val="73576104"/>
    <w:rsid w:val="7358775B"/>
    <w:rsid w:val="737A3B75"/>
    <w:rsid w:val="73815738"/>
    <w:rsid w:val="738B18DE"/>
    <w:rsid w:val="739F3A97"/>
    <w:rsid w:val="73AF1694"/>
    <w:rsid w:val="73B673EF"/>
    <w:rsid w:val="73BC5F3C"/>
    <w:rsid w:val="73F02366"/>
    <w:rsid w:val="7419338E"/>
    <w:rsid w:val="742254DD"/>
    <w:rsid w:val="7437180D"/>
    <w:rsid w:val="74391D4B"/>
    <w:rsid w:val="74483CFE"/>
    <w:rsid w:val="744B0DA7"/>
    <w:rsid w:val="744D3074"/>
    <w:rsid w:val="74624CC6"/>
    <w:rsid w:val="746A5AD3"/>
    <w:rsid w:val="74723306"/>
    <w:rsid w:val="747A2CC8"/>
    <w:rsid w:val="747F3641"/>
    <w:rsid w:val="74B579B7"/>
    <w:rsid w:val="74B9011A"/>
    <w:rsid w:val="74BB7061"/>
    <w:rsid w:val="74BD640F"/>
    <w:rsid w:val="74CE3EB2"/>
    <w:rsid w:val="74E0065A"/>
    <w:rsid w:val="74E82D21"/>
    <w:rsid w:val="74EF5E2E"/>
    <w:rsid w:val="74F82FA3"/>
    <w:rsid w:val="750E03C1"/>
    <w:rsid w:val="751C6251"/>
    <w:rsid w:val="751E470B"/>
    <w:rsid w:val="753D7B6A"/>
    <w:rsid w:val="754026A2"/>
    <w:rsid w:val="75404391"/>
    <w:rsid w:val="754226B0"/>
    <w:rsid w:val="75662603"/>
    <w:rsid w:val="75670772"/>
    <w:rsid w:val="757A60AE"/>
    <w:rsid w:val="757C44C8"/>
    <w:rsid w:val="759A09C5"/>
    <w:rsid w:val="75A6427E"/>
    <w:rsid w:val="75B243A7"/>
    <w:rsid w:val="75CA0DE4"/>
    <w:rsid w:val="75DE6DB1"/>
    <w:rsid w:val="75E1612D"/>
    <w:rsid w:val="75E572CF"/>
    <w:rsid w:val="75FB07A2"/>
    <w:rsid w:val="761375E4"/>
    <w:rsid w:val="7621477C"/>
    <w:rsid w:val="76217478"/>
    <w:rsid w:val="763C572C"/>
    <w:rsid w:val="765608C9"/>
    <w:rsid w:val="7666354F"/>
    <w:rsid w:val="766B6ECD"/>
    <w:rsid w:val="76855EB9"/>
    <w:rsid w:val="768A26FB"/>
    <w:rsid w:val="7692691E"/>
    <w:rsid w:val="76996365"/>
    <w:rsid w:val="769A10D0"/>
    <w:rsid w:val="76A07D97"/>
    <w:rsid w:val="76C2349E"/>
    <w:rsid w:val="76CB35EC"/>
    <w:rsid w:val="76CE66B2"/>
    <w:rsid w:val="76D054CE"/>
    <w:rsid w:val="77040C67"/>
    <w:rsid w:val="770B16B4"/>
    <w:rsid w:val="77112A42"/>
    <w:rsid w:val="77260AF8"/>
    <w:rsid w:val="773B587C"/>
    <w:rsid w:val="774271F2"/>
    <w:rsid w:val="77453760"/>
    <w:rsid w:val="774845AD"/>
    <w:rsid w:val="774E4E52"/>
    <w:rsid w:val="77653D55"/>
    <w:rsid w:val="776A7D9F"/>
    <w:rsid w:val="77734AD9"/>
    <w:rsid w:val="77767106"/>
    <w:rsid w:val="777C7EBC"/>
    <w:rsid w:val="778B45A3"/>
    <w:rsid w:val="77A25449"/>
    <w:rsid w:val="77AB2363"/>
    <w:rsid w:val="77F3466D"/>
    <w:rsid w:val="780127F5"/>
    <w:rsid w:val="7822274B"/>
    <w:rsid w:val="7840608D"/>
    <w:rsid w:val="78494C44"/>
    <w:rsid w:val="78594455"/>
    <w:rsid w:val="78786AB3"/>
    <w:rsid w:val="78882890"/>
    <w:rsid w:val="78911745"/>
    <w:rsid w:val="78955947"/>
    <w:rsid w:val="78AA588F"/>
    <w:rsid w:val="78B065B0"/>
    <w:rsid w:val="78B83176"/>
    <w:rsid w:val="78BB7662"/>
    <w:rsid w:val="78C33E4A"/>
    <w:rsid w:val="7901119D"/>
    <w:rsid w:val="790D3EA5"/>
    <w:rsid w:val="791B2495"/>
    <w:rsid w:val="791D2A50"/>
    <w:rsid w:val="79366F18"/>
    <w:rsid w:val="79393B8B"/>
    <w:rsid w:val="79432736"/>
    <w:rsid w:val="794C7D62"/>
    <w:rsid w:val="795B1D53"/>
    <w:rsid w:val="79660E81"/>
    <w:rsid w:val="797940FE"/>
    <w:rsid w:val="79813945"/>
    <w:rsid w:val="79AA4A14"/>
    <w:rsid w:val="79B17BC5"/>
    <w:rsid w:val="79B63FC9"/>
    <w:rsid w:val="79DE02DD"/>
    <w:rsid w:val="79E07E40"/>
    <w:rsid w:val="79EB5D1B"/>
    <w:rsid w:val="79F71A7C"/>
    <w:rsid w:val="79FC52E4"/>
    <w:rsid w:val="79FC6182"/>
    <w:rsid w:val="79FD2E0A"/>
    <w:rsid w:val="7A0A6F4F"/>
    <w:rsid w:val="7A1A1C0E"/>
    <w:rsid w:val="7A456F6D"/>
    <w:rsid w:val="7A5F16CA"/>
    <w:rsid w:val="7A710D8E"/>
    <w:rsid w:val="7AAA2F92"/>
    <w:rsid w:val="7AB1300F"/>
    <w:rsid w:val="7AB64E52"/>
    <w:rsid w:val="7ADA0EA4"/>
    <w:rsid w:val="7AE75FBC"/>
    <w:rsid w:val="7AFC56DC"/>
    <w:rsid w:val="7B073F40"/>
    <w:rsid w:val="7B0D3216"/>
    <w:rsid w:val="7B345398"/>
    <w:rsid w:val="7B355131"/>
    <w:rsid w:val="7B4F7695"/>
    <w:rsid w:val="7B590C27"/>
    <w:rsid w:val="7B615D46"/>
    <w:rsid w:val="7B6C5EAB"/>
    <w:rsid w:val="7B7814A8"/>
    <w:rsid w:val="7B861DF2"/>
    <w:rsid w:val="7BA33013"/>
    <w:rsid w:val="7BD209F2"/>
    <w:rsid w:val="7BF702E8"/>
    <w:rsid w:val="7BFA0FA5"/>
    <w:rsid w:val="7BFE2BF5"/>
    <w:rsid w:val="7C0B3F04"/>
    <w:rsid w:val="7C134B67"/>
    <w:rsid w:val="7C162A9E"/>
    <w:rsid w:val="7C177BEA"/>
    <w:rsid w:val="7C1903CF"/>
    <w:rsid w:val="7C1D1542"/>
    <w:rsid w:val="7C206AB7"/>
    <w:rsid w:val="7C8646F6"/>
    <w:rsid w:val="7C876A78"/>
    <w:rsid w:val="7C9B46D0"/>
    <w:rsid w:val="7CA3413D"/>
    <w:rsid w:val="7CA95B93"/>
    <w:rsid w:val="7CBC0850"/>
    <w:rsid w:val="7CD3681B"/>
    <w:rsid w:val="7CD9190C"/>
    <w:rsid w:val="7CD97B5E"/>
    <w:rsid w:val="7CF20DD2"/>
    <w:rsid w:val="7CFF7134"/>
    <w:rsid w:val="7D0D49BE"/>
    <w:rsid w:val="7D8603E2"/>
    <w:rsid w:val="7D9C553A"/>
    <w:rsid w:val="7DC9372F"/>
    <w:rsid w:val="7DD0508B"/>
    <w:rsid w:val="7DE4119D"/>
    <w:rsid w:val="7DEE5B58"/>
    <w:rsid w:val="7E0B1390"/>
    <w:rsid w:val="7E1470DA"/>
    <w:rsid w:val="7E2B13AE"/>
    <w:rsid w:val="7E321DB6"/>
    <w:rsid w:val="7E53749D"/>
    <w:rsid w:val="7E5C45A3"/>
    <w:rsid w:val="7E6B2A38"/>
    <w:rsid w:val="7EA224D8"/>
    <w:rsid w:val="7ED03245"/>
    <w:rsid w:val="7ED25E9B"/>
    <w:rsid w:val="7ED37D6E"/>
    <w:rsid w:val="7F2F7F0A"/>
    <w:rsid w:val="7F7D2EBD"/>
    <w:rsid w:val="7F8846F0"/>
    <w:rsid w:val="7FA73F44"/>
    <w:rsid w:val="7FAD2052"/>
    <w:rsid w:val="7FB0411E"/>
    <w:rsid w:val="7FCA5021"/>
    <w:rsid w:val="7FEA3B6F"/>
    <w:rsid w:val="7FEE5147"/>
    <w:rsid w:val="7FF32CE5"/>
    <w:rsid w:val="BAFFAB79"/>
    <w:rsid w:val="DBEED555"/>
  </w:rsids>
  <m:mathPr>
    <m:lMargin m:val="0"/>
    <m:mathFont m:val="Cambria Math"/>
    <m:rMargin m:val="0"/>
    <m:wrapIndent m:val="1440"/>
    <m:brkBin m:val="before"/>
    <m:brkBinSub m:val="--"/>
    <m:defJc m:val="centerGroup"/>
    <m:intLim m:val="subSup"/>
    <m:naryLim m:val="undOvr"/>
    <m:smallFrac m:val=""/>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pPr>
    <w:rPr>
      <w:rFonts w:ascii="Arial Unicode MS" w:hAnsi="Arial Unicode MS" w:eastAsia="Arial Unicode MS" w:cs="Arial Unicode MS"/>
      <w:sz w:val="22"/>
      <w:szCs w:val="22"/>
      <w:lang w:val="zh-CN" w:eastAsia="zh-CN" w:bidi="zh-CN"/>
    </w:rPr>
  </w:style>
  <w:style w:type="paragraph" w:styleId="2">
    <w:name w:val="heading 1"/>
    <w:basedOn w:val="1"/>
    <w:next w:val="1"/>
    <w:qFormat/>
    <w:uiPriority w:val="1"/>
    <w:pPr>
      <w:ind w:left="-40"/>
      <w:outlineLvl w:val="0"/>
    </w:pPr>
    <w:rPr>
      <w:sz w:val="52"/>
      <w:szCs w:val="52"/>
    </w:rPr>
  </w:style>
  <w:style w:type="paragraph" w:styleId="3">
    <w:name w:val="heading 2"/>
    <w:basedOn w:val="1"/>
    <w:next w:val="1"/>
    <w:qFormat/>
    <w:uiPriority w:val="1"/>
    <w:pPr>
      <w:ind w:right="18"/>
      <w:jc w:val="center"/>
      <w:outlineLvl w:val="1"/>
    </w:pPr>
    <w:rPr>
      <w:sz w:val="44"/>
      <w:szCs w:val="44"/>
    </w:rPr>
  </w:style>
  <w:style w:type="paragraph" w:styleId="4">
    <w:name w:val="heading 3"/>
    <w:basedOn w:val="1"/>
    <w:next w:val="1"/>
    <w:qFormat/>
    <w:uiPriority w:val="1"/>
    <w:pPr>
      <w:ind w:left="1"/>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outlineLvl w:val="4"/>
    </w:pPr>
    <w:rPr>
      <w:sz w:val="33"/>
      <w:szCs w:val="33"/>
    </w:rPr>
  </w:style>
  <w:style w:type="character" w:default="1" w:styleId="12">
    <w:name w:val="Default Paragraph Font"/>
    <w:unhideWhenUsed/>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5">
    <w:name w:val="编号符号"/>
    <w:qFormat/>
    <w:uiPriority w:val="0"/>
  </w:style>
  <w:style w:type="character" w:customStyle="1" w:styleId="16">
    <w:name w:val="页眉 字符"/>
    <w:basedOn w:val="12"/>
    <w:qFormat/>
    <w:uiPriority w:val="0"/>
    <w:rPr>
      <w:rFonts w:ascii="Arial Unicode MS" w:hAnsi="Arial Unicode MS" w:eastAsia="Arial Unicode MS" w:cs="Arial Unicode MS"/>
      <w:sz w:val="18"/>
      <w:szCs w:val="18"/>
      <w:lang w:val="zh-CN" w:bidi="zh-CN"/>
    </w:rPr>
  </w:style>
  <w:style w:type="character" w:customStyle="1" w:styleId="17">
    <w:name w:val="页脚 字符"/>
    <w:basedOn w:val="12"/>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列出段落1"/>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image" Target="media/image2.pn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Info spid="_x0000_s4113"/>
    <customShpInfo spid="_x0000_s4111"/>
    <customShpInfo spid="_x0000_s4112"/>
    <customShpInfo spid="_x0000_s4099"/>
    <customShpInfo spid="_x0000_s4100"/>
    <customShpInfo spid="_x0000_s4101"/>
    <customShpInfo spid="_x0000_s4102"/>
    <customShpInfo spid="_x0000_s4103"/>
    <customShpInfo spid="_x0000_s4104"/>
    <customShpInfo spid="_x0000_s4105"/>
    <customShpInfo spid="_x0000_s4106"/>
    <customShpInfo spid="_x0000_s411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Pages>
  <Words>3078</Words>
  <Characters>17551</Characters>
  <Lines>146</Lines>
  <Paragraphs>41</Paragraphs>
  <ScaleCrop>false</ScaleCrop>
  <LinksUpToDate>false</LinksUpToDate>
  <CharactersWithSpaces>20588</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2022-09-09T01:45:00Z</dcterms:created>
  <dc:creator>陈长军(本处室套红)</dc:creator>
  <cp:lastModifiedBy>admin</cp:lastModifiedBy>
  <dcterms:modified xsi:type="dcterms:W3CDTF">2024-09-12T04:30:48Z</dcterms:modified>
  <dc:title>部门决算公开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2533214665424557B16CF4115249519F</vt:lpwstr>
  </property>
  <property fmtid="{D5CDD505-2E9C-101B-9397-08002B2CF9AE}" pid="5" name="KSOProductBuildVer">
    <vt:lpwstr>2052-10.8.0.5715</vt:lpwstr>
  </property>
  <property fmtid="{D5CDD505-2E9C-101B-9397-08002B2CF9AE}" pid="6" name="LastSaved">
    <vt:filetime>2021-04-15T00:00:00Z</vt:filetime>
  </property>
</Properties>
</file>