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
      <w:pPr>
        <w:rPr>
          <w:rFonts w:hint="eastAsia"/>
        </w:rPr>
      </w:pPr>
      <w:r>
        <w:rPr>
          <w:rFonts w:hint="eastAsia"/>
        </w:rPr>
        <w:t xml:space="preserve"> </w:t>
      </w:r>
      <w:r>
        <w:t xml:space="preserve"> </w:t>
      </w:r>
    </w:p>
    <w:p>
      <w:pPr>
        <w:ind w:right="284" w:rightChars="129"/>
        <w:jc w:val="both"/>
        <w:rPr>
          <w:rFonts w:ascii="宋体" w:hAnsi="宋体" w:eastAsia="宋体" w:cs="宋体"/>
          <w:b/>
          <w:bCs/>
          <w:sz w:val="52"/>
          <w:szCs w:val="52"/>
        </w:rPr>
      </w:pPr>
    </w:p>
    <w:p>
      <w:pPr>
        <w:ind w:right="284" w:rightChars="129"/>
        <w:jc w:val="center"/>
        <w:rPr>
          <w:rFonts w:hint="eastAsia" w:ascii="宋体" w:hAnsi="宋体" w:eastAsia="宋体" w:cs="宋体"/>
          <w:b/>
          <w:bCs/>
          <w:sz w:val="52"/>
          <w:szCs w:val="52"/>
          <w:lang w:val="en-US" w:eastAsia="zh-CN"/>
        </w:rPr>
      </w:pPr>
      <w:r>
        <w:rPr>
          <w:rFonts w:hint="eastAsia" w:ascii="宋体" w:hAnsi="宋体" w:eastAsia="宋体" w:cs="宋体"/>
          <w:b/>
          <w:bCs/>
          <w:sz w:val="52"/>
          <w:szCs w:val="52"/>
          <w:lang w:val="en-US" w:eastAsia="zh-CN"/>
        </w:rPr>
        <w:t>2021年度江苏省立新农场单位决算公开</w:t>
      </w:r>
    </w:p>
    <w:p>
      <w:pPr>
        <w:ind w:right="284" w:rightChars="129"/>
        <w:jc w:val="center"/>
        <w:rPr>
          <w:rFonts w:hint="eastAsia" w:ascii="宋体" w:hAnsi="宋体" w:eastAsia="宋体" w:cs="宋体"/>
          <w:b/>
          <w:bCs/>
          <w:sz w:val="52"/>
          <w:szCs w:val="52"/>
          <w:lang w:val="en-US" w:eastAsia="zh-CN"/>
        </w:rPr>
      </w:pPr>
    </w:p>
    <w:p>
      <w:pPr>
        <w:ind w:right="284" w:rightChars="129"/>
        <w:jc w:val="both"/>
        <w:rPr>
          <w:rFonts w:hint="eastAsia" w:ascii="宋体" w:hAnsi="宋体" w:eastAsia="宋体" w:cs="宋体"/>
          <w:b/>
          <w:bCs/>
          <w:sz w:val="52"/>
          <w:szCs w:val="52"/>
          <w:lang w:val="en-US" w:eastAsia="zh-CN"/>
        </w:rPr>
      </w:pPr>
    </w:p>
    <w:p>
      <w:pPr>
        <w:keepNext w:val="0"/>
        <w:keepLines w:val="0"/>
        <w:pageBreakBefore w:val="0"/>
        <w:widowControl w:val="0"/>
        <w:kinsoku/>
        <w:wordWrap/>
        <w:overflowPunct/>
        <w:topLinePunct w:val="0"/>
        <w:autoSpaceDE/>
        <w:autoSpaceDN/>
        <w:bidi w:val="0"/>
        <w:adjustRightInd/>
        <w:snapToGrid/>
        <w:spacing w:line="860" w:lineRule="exact"/>
        <w:ind w:right="284" w:rightChars="129" w:firstLine="2209" w:firstLineChars="500"/>
        <w:jc w:val="both"/>
        <w:textAlignment w:val="auto"/>
        <w:rPr>
          <w:rFonts w:hint="default" w:ascii="宋体" w:hAnsi="宋体" w:eastAsia="宋体" w:cs="宋体"/>
          <w:b/>
          <w:bCs/>
          <w:sz w:val="44"/>
          <w:szCs w:val="44"/>
          <w:lang w:val="en-US" w:eastAsia="zh-CN"/>
        </w:rPr>
      </w:pPr>
      <w:r>
        <w:rPr>
          <w:rFonts w:hint="eastAsia" w:ascii="宋体" w:hAnsi="宋体" w:eastAsia="宋体" w:cs="宋体"/>
          <w:b/>
          <w:bCs/>
          <w:sz w:val="44"/>
          <w:szCs w:val="44"/>
          <w:lang w:val="en-US" w:eastAsia="zh-CN"/>
        </w:rPr>
        <w:t>单位负</w:t>
      </w:r>
      <w:bookmarkStart w:id="0" w:name="_GoBack"/>
      <w:bookmarkEnd w:id="0"/>
      <w:r>
        <w:rPr>
          <w:rFonts w:hint="eastAsia" w:ascii="宋体" w:hAnsi="宋体" w:eastAsia="宋体" w:cs="宋体"/>
          <w:b/>
          <w:bCs/>
          <w:sz w:val="44"/>
          <w:szCs w:val="44"/>
          <w:lang w:val="en-US" w:eastAsia="zh-CN"/>
        </w:rPr>
        <w:t>责人：陈  博</w:t>
      </w:r>
    </w:p>
    <w:p>
      <w:pPr>
        <w:keepNext w:val="0"/>
        <w:keepLines w:val="0"/>
        <w:pageBreakBefore w:val="0"/>
        <w:widowControl w:val="0"/>
        <w:kinsoku/>
        <w:wordWrap/>
        <w:overflowPunct/>
        <w:topLinePunct w:val="0"/>
        <w:autoSpaceDE/>
        <w:autoSpaceDN/>
        <w:bidi w:val="0"/>
        <w:adjustRightInd/>
        <w:snapToGrid/>
        <w:spacing w:line="860" w:lineRule="exact"/>
        <w:ind w:right="284" w:rightChars="129" w:firstLine="2209" w:firstLineChars="500"/>
        <w:jc w:val="both"/>
        <w:textAlignment w:val="auto"/>
        <w:rPr>
          <w:rFonts w:hint="default" w:ascii="宋体" w:hAnsi="宋体" w:eastAsia="宋体" w:cs="宋体"/>
          <w:b/>
          <w:bCs/>
          <w:sz w:val="44"/>
          <w:szCs w:val="44"/>
          <w:lang w:val="en-US" w:eastAsia="zh-CN"/>
        </w:rPr>
      </w:pPr>
      <w:r>
        <w:rPr>
          <w:rFonts w:hint="eastAsia" w:ascii="宋体" w:hAnsi="宋体" w:eastAsia="宋体" w:cs="宋体"/>
          <w:b/>
          <w:bCs/>
          <w:sz w:val="44"/>
          <w:szCs w:val="44"/>
          <w:lang w:val="en-US" w:eastAsia="zh-CN"/>
        </w:rPr>
        <w:t>财务负责人：汤  丽</w:t>
      </w:r>
    </w:p>
    <w:p>
      <w:pPr>
        <w:keepNext w:val="0"/>
        <w:keepLines w:val="0"/>
        <w:pageBreakBefore w:val="0"/>
        <w:widowControl w:val="0"/>
        <w:kinsoku/>
        <w:wordWrap/>
        <w:overflowPunct/>
        <w:topLinePunct w:val="0"/>
        <w:autoSpaceDE/>
        <w:autoSpaceDN/>
        <w:bidi w:val="0"/>
        <w:adjustRightInd/>
        <w:snapToGrid/>
        <w:spacing w:line="860" w:lineRule="exact"/>
        <w:ind w:right="284" w:rightChars="129" w:firstLine="2209" w:firstLineChars="500"/>
        <w:jc w:val="both"/>
        <w:textAlignment w:val="auto"/>
        <w:rPr>
          <w:rFonts w:hint="default" w:ascii="宋体" w:hAnsi="宋体" w:eastAsia="宋体" w:cs="宋体"/>
          <w:b/>
          <w:bCs/>
          <w:sz w:val="44"/>
          <w:szCs w:val="44"/>
          <w:lang w:val="en-US" w:eastAsia="zh-CN"/>
        </w:rPr>
      </w:pPr>
      <w:r>
        <w:rPr>
          <w:rFonts w:hint="eastAsia" w:ascii="宋体" w:hAnsi="宋体" w:eastAsia="宋体" w:cs="宋体"/>
          <w:b/>
          <w:bCs/>
          <w:sz w:val="44"/>
          <w:szCs w:val="44"/>
          <w:lang w:val="en-US" w:eastAsia="zh-CN"/>
        </w:rPr>
        <w:t>填  表 人：张  洁</w:t>
      </w:r>
    </w:p>
    <w:p>
      <w:pPr>
        <w:keepNext w:val="0"/>
        <w:keepLines w:val="0"/>
        <w:pageBreakBefore w:val="0"/>
        <w:widowControl w:val="0"/>
        <w:kinsoku/>
        <w:wordWrap/>
        <w:overflowPunct/>
        <w:topLinePunct w:val="0"/>
        <w:autoSpaceDE/>
        <w:autoSpaceDN/>
        <w:bidi w:val="0"/>
        <w:adjustRightInd/>
        <w:snapToGrid/>
        <w:spacing w:line="860" w:lineRule="exact"/>
        <w:ind w:right="284" w:rightChars="129" w:firstLine="2209" w:firstLineChars="500"/>
        <w:jc w:val="both"/>
        <w:textAlignment w:val="auto"/>
        <w:rPr>
          <w:rFonts w:hint="default" w:ascii="宋体" w:hAnsi="宋体" w:eastAsia="宋体" w:cs="宋体"/>
          <w:b/>
          <w:bCs/>
          <w:sz w:val="44"/>
          <w:szCs w:val="44"/>
          <w:lang w:val="en-US" w:eastAsia="zh-CN"/>
        </w:rPr>
      </w:pPr>
      <w:r>
        <w:rPr>
          <w:rFonts w:hint="eastAsia" w:ascii="宋体" w:hAnsi="宋体" w:eastAsia="宋体" w:cs="宋体"/>
          <w:b/>
          <w:bCs/>
          <w:sz w:val="44"/>
          <w:szCs w:val="44"/>
          <w:lang w:val="en-US" w:eastAsia="zh-CN"/>
        </w:rPr>
        <w:t>报送时间：2022年8月26日</w:t>
      </w:r>
    </w:p>
    <w:p>
      <w:pPr>
        <w:ind w:right="284" w:rightChars="129"/>
        <w:jc w:val="both"/>
        <w:rPr>
          <w:rFonts w:hint="eastAsia" w:ascii="宋体" w:hAnsi="宋体" w:eastAsia="宋体" w:cs="宋体"/>
          <w:b/>
          <w:bCs/>
          <w:sz w:val="52"/>
          <w:szCs w:val="52"/>
          <w:lang w:val="en-US" w:eastAsia="zh-CN"/>
        </w:rPr>
      </w:pPr>
    </w:p>
    <w:p>
      <w:pPr>
        <w:ind w:right="284" w:rightChars="129"/>
        <w:jc w:val="both"/>
        <w:rPr>
          <w:rFonts w:hint="default" w:ascii="宋体" w:hAnsi="宋体" w:eastAsia="宋体" w:cs="宋体"/>
          <w:b/>
          <w:bCs/>
          <w:sz w:val="52"/>
          <w:szCs w:val="52"/>
          <w:lang w:val="en-US" w:eastAsia="zh-CN"/>
        </w:rPr>
        <w:sectPr>
          <w:headerReference r:id="rId4" w:type="first"/>
          <w:headerReference r:id="rId3" w:type="default"/>
          <w:pgSz w:w="11906" w:h="16838"/>
          <w:pgMar w:top="1580" w:right="700" w:bottom="770" w:left="1020" w:header="170" w:footer="280" w:gutter="0"/>
          <w:cols w:space="720" w:num="1"/>
          <w:formProt w:val="0"/>
          <w:titlePg/>
          <w:docGrid w:linePitch="100" w:charSpace="0"/>
        </w:sectPr>
      </w:pPr>
      <w:r>
        <w:rPr>
          <w:rFonts w:hint="eastAsia" w:ascii="宋体" w:hAnsi="宋体" w:eastAsia="宋体" w:cs="宋体"/>
          <w:b/>
          <w:bCs/>
          <w:sz w:val="52"/>
          <w:szCs w:val="52"/>
          <w:lang w:val="en-US" w:eastAsia="zh-CN"/>
        </w:rPr>
        <w:t xml:space="preserve">   </w:t>
      </w:r>
    </w:p>
    <w:p>
      <w:pPr>
        <w:pStyle w:val="8"/>
        <w:spacing w:before="4"/>
        <w:rPr>
          <w:rFonts w:ascii="华文仿宋" w:hAnsi="华文仿宋" w:eastAsia="华文仿宋" w:cs="仿宋"/>
          <w:sz w:val="10"/>
        </w:rPr>
      </w:pPr>
    </w:p>
    <w:p>
      <w:pPr>
        <w:pStyle w:val="3"/>
        <w:tabs>
          <w:tab w:val="left" w:pos="880"/>
        </w:tabs>
        <w:spacing w:line="718" w:lineRule="exact"/>
        <w:ind w:right="313"/>
        <w:rPr>
          <w:rFonts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pPr>
        <w:pStyle w:val="8"/>
        <w:spacing w:before="7"/>
        <w:rPr>
          <w:rFonts w:ascii="仿宋" w:hAnsi="仿宋" w:eastAsia="仿宋" w:cs="仿宋"/>
          <w:sz w:val="27"/>
        </w:rPr>
      </w:pPr>
    </w:p>
    <w:p>
      <w:pPr>
        <w:pStyle w:val="8"/>
        <w:spacing w:line="360" w:lineRule="auto"/>
        <w:ind w:left="671" w:leftChars="300" w:hanging="11"/>
        <w:jc w:val="both"/>
        <w:outlineLvl w:val="0"/>
        <w:rPr>
          <w:rFonts w:ascii="黑体" w:hAnsi="黑体" w:eastAsia="黑体" w:cs="黑体"/>
        </w:rPr>
      </w:pPr>
      <w:r>
        <w:rPr>
          <w:rFonts w:hint="eastAsia" w:ascii="黑体" w:hAnsi="黑体" w:eastAsia="黑体" w:cs="黑体"/>
        </w:rPr>
        <w:t xml:space="preserve">第一部分 </w:t>
      </w:r>
      <w:r>
        <w:rPr>
          <w:rFonts w:hint="eastAsia" w:ascii="黑体" w:hAnsi="黑体" w:eastAsia="黑体" w:cs="黑体"/>
          <w:lang w:val="en-US"/>
        </w:rPr>
        <w:t>单位</w:t>
      </w:r>
      <w:r>
        <w:rPr>
          <w:rFonts w:hint="eastAsia" w:ascii="黑体" w:hAnsi="黑体" w:eastAsia="黑体" w:cs="黑体"/>
        </w:rPr>
        <w:t>概况</w:t>
      </w:r>
    </w:p>
    <w:p>
      <w:pPr>
        <w:pStyle w:val="8"/>
        <w:tabs>
          <w:tab w:val="left" w:pos="2249"/>
        </w:tabs>
        <w:spacing w:line="360" w:lineRule="auto"/>
        <w:ind w:left="671" w:leftChars="300" w:hanging="11"/>
        <w:jc w:val="both"/>
        <w:rPr>
          <w:rFonts w:ascii="仿宋" w:hAnsi="仿宋" w:eastAsia="仿宋" w:cs="仿宋"/>
        </w:rPr>
      </w:pPr>
      <w:r>
        <w:rPr>
          <w:rFonts w:hint="eastAsia" w:ascii="仿宋" w:hAnsi="仿宋" w:eastAsia="仿宋" w:cs="仿宋"/>
        </w:rPr>
        <w:t>一、主要职能</w:t>
      </w:r>
    </w:p>
    <w:p>
      <w:pPr>
        <w:pStyle w:val="8"/>
        <w:tabs>
          <w:tab w:val="left" w:pos="2249"/>
        </w:tabs>
        <w:spacing w:line="360" w:lineRule="auto"/>
        <w:ind w:left="671" w:leftChars="300" w:hanging="11"/>
        <w:jc w:val="both"/>
        <w:rPr>
          <w:rFonts w:ascii="仿宋" w:hAnsi="仿宋" w:eastAsia="仿宋" w:cs="仿宋"/>
        </w:rPr>
      </w:pPr>
      <w:r>
        <w:rPr>
          <w:rFonts w:hint="eastAsia" w:ascii="仿宋" w:hAnsi="仿宋" w:eastAsia="仿宋" w:cs="仿宋"/>
        </w:rPr>
        <w:t>二、</w:t>
      </w:r>
      <w:r>
        <w:rPr>
          <w:rFonts w:hint="eastAsia" w:ascii="仿宋" w:hAnsi="仿宋" w:eastAsia="仿宋" w:cs="仿宋"/>
          <w:lang w:val="en-US"/>
        </w:rPr>
        <w:t>单位</w:t>
      </w:r>
      <w:r>
        <w:rPr>
          <w:rFonts w:hint="eastAsia" w:ascii="仿宋" w:hAnsi="仿宋" w:eastAsia="仿宋" w:cs="仿宋"/>
        </w:rPr>
        <w:t>机构设置及决算单位构成情况</w:t>
      </w:r>
    </w:p>
    <w:p>
      <w:pPr>
        <w:pStyle w:val="8"/>
        <w:tabs>
          <w:tab w:val="left" w:pos="2249"/>
        </w:tabs>
        <w:spacing w:line="360" w:lineRule="auto"/>
        <w:ind w:left="671" w:leftChars="300" w:hanging="11"/>
        <w:jc w:val="both"/>
        <w:rPr>
          <w:rFonts w:ascii="仿宋" w:hAnsi="仿宋" w:eastAsia="仿宋" w:cs="仿宋"/>
        </w:rPr>
      </w:pPr>
      <w:r>
        <w:rPr>
          <w:rFonts w:hint="eastAsia" w:ascii="仿宋" w:hAnsi="仿宋" w:eastAsia="仿宋" w:cs="仿宋"/>
        </w:rPr>
        <w:t>三、2021年度主要工作完成情况</w:t>
      </w:r>
    </w:p>
    <w:p>
      <w:pPr>
        <w:pStyle w:val="8"/>
        <w:spacing w:line="360" w:lineRule="auto"/>
        <w:ind w:left="671" w:leftChars="300" w:hanging="11"/>
        <w:jc w:val="both"/>
        <w:rPr>
          <w:rFonts w:ascii="黑体" w:hAnsi="黑体" w:eastAsia="黑体" w:cs="黑体"/>
        </w:rPr>
      </w:pPr>
      <w:r>
        <w:rPr>
          <w:rFonts w:hint="eastAsia" w:ascii="黑体" w:hAnsi="黑体" w:eastAsia="黑体" w:cs="黑体"/>
          <w:lang w:val="en-US"/>
        </w:rPr>
        <w:t>第二部分 2021年度</w:t>
      </w:r>
      <w:r>
        <w:rPr>
          <w:rFonts w:ascii="黑体" w:hAnsi="黑体" w:eastAsia="黑体" w:cs="黑体"/>
        </w:rPr>
        <w:t>单位决算表</w:t>
      </w:r>
    </w:p>
    <w:p>
      <w:pPr>
        <w:pStyle w:val="8"/>
        <w:spacing w:line="360" w:lineRule="auto"/>
        <w:ind w:left="671" w:leftChars="300" w:right="5774" w:hanging="11"/>
        <w:jc w:val="both"/>
        <w:rPr>
          <w:rFonts w:ascii="仿宋" w:hAnsi="仿宋" w:eastAsia="仿宋" w:cs="仿宋"/>
        </w:rPr>
      </w:pPr>
      <w:r>
        <w:rPr>
          <w:rFonts w:hint="eastAsia" w:ascii="仿宋" w:hAnsi="仿宋" w:eastAsia="仿宋" w:cs="仿宋"/>
          <w:spacing w:val="-2"/>
        </w:rPr>
        <w:t>一、收入支出决算总表</w:t>
      </w:r>
    </w:p>
    <w:p>
      <w:pPr>
        <w:pStyle w:val="8"/>
        <w:spacing w:line="360" w:lineRule="auto"/>
        <w:ind w:left="671" w:leftChars="300" w:right="5774" w:hanging="11"/>
        <w:jc w:val="both"/>
        <w:rPr>
          <w:rFonts w:ascii="仿宋" w:hAnsi="仿宋" w:eastAsia="仿宋" w:cs="仿宋"/>
        </w:rPr>
      </w:pPr>
      <w:r>
        <w:rPr>
          <w:rFonts w:hint="eastAsia" w:ascii="仿宋" w:hAnsi="仿宋" w:eastAsia="仿宋" w:cs="仿宋"/>
        </w:rPr>
        <w:t>二、收入决算表</w:t>
      </w:r>
    </w:p>
    <w:p>
      <w:pPr>
        <w:pStyle w:val="8"/>
        <w:spacing w:line="360" w:lineRule="auto"/>
        <w:ind w:left="671" w:leftChars="300" w:hanging="11"/>
        <w:jc w:val="both"/>
        <w:rPr>
          <w:rFonts w:ascii="仿宋" w:hAnsi="仿宋" w:eastAsia="仿宋" w:cs="仿宋"/>
        </w:rPr>
      </w:pPr>
      <w:r>
        <w:rPr>
          <w:rFonts w:hint="eastAsia" w:ascii="仿宋" w:hAnsi="仿宋" w:eastAsia="仿宋" w:cs="仿宋"/>
          <w:w w:val="95"/>
        </w:rPr>
        <w:t>三、支出决算表</w:t>
      </w:r>
    </w:p>
    <w:p>
      <w:pPr>
        <w:pStyle w:val="8"/>
        <w:spacing w:line="360" w:lineRule="auto"/>
        <w:ind w:left="671" w:leftChars="300" w:hanging="11"/>
        <w:jc w:val="both"/>
        <w:rPr>
          <w:rFonts w:ascii="仿宋" w:hAnsi="仿宋" w:eastAsia="仿宋" w:cs="仿宋"/>
        </w:rPr>
      </w:pPr>
      <w:r>
        <w:rPr>
          <w:rFonts w:hint="eastAsia" w:ascii="仿宋" w:hAnsi="仿宋" w:eastAsia="仿宋" w:cs="仿宋"/>
        </w:rPr>
        <w:t>四、财政拨款收入支出决算总表</w:t>
      </w:r>
    </w:p>
    <w:p>
      <w:pPr>
        <w:pStyle w:val="8"/>
        <w:spacing w:line="360" w:lineRule="auto"/>
        <w:ind w:left="671" w:leftChars="300" w:hanging="11"/>
        <w:jc w:val="both"/>
        <w:rPr>
          <w:rFonts w:ascii="仿宋" w:hAnsi="仿宋" w:eastAsia="仿宋" w:cs="仿宋"/>
        </w:rPr>
      </w:pPr>
      <w:r>
        <w:rPr>
          <w:rFonts w:hint="eastAsia" w:ascii="仿宋" w:hAnsi="仿宋" w:eastAsia="仿宋" w:cs="仿宋"/>
        </w:rPr>
        <w:t>五、财政拨款支出决算表（功能科目）</w:t>
      </w:r>
    </w:p>
    <w:p>
      <w:pPr>
        <w:pStyle w:val="8"/>
        <w:spacing w:line="360" w:lineRule="auto"/>
        <w:ind w:left="671" w:leftChars="300" w:right="2894" w:hanging="11"/>
        <w:jc w:val="both"/>
        <w:rPr>
          <w:rFonts w:hint="eastAsia" w:ascii="仿宋" w:hAnsi="仿宋" w:eastAsia="仿宋" w:cs="仿宋"/>
        </w:rPr>
      </w:pPr>
      <w:r>
        <w:rPr>
          <w:rFonts w:hint="eastAsia" w:ascii="仿宋" w:hAnsi="仿宋" w:eastAsia="仿宋" w:cs="仿宋"/>
        </w:rPr>
        <w:t>六、财政拨款基本支出决算表（经济科目）</w:t>
      </w:r>
    </w:p>
    <w:p>
      <w:pPr>
        <w:pStyle w:val="8"/>
        <w:spacing w:line="360" w:lineRule="auto"/>
        <w:ind w:left="671" w:leftChars="300" w:right="2894" w:hanging="11"/>
        <w:jc w:val="both"/>
        <w:rPr>
          <w:rFonts w:ascii="仿宋" w:hAnsi="仿宋" w:eastAsia="仿宋" w:cs="仿宋"/>
        </w:rPr>
      </w:pPr>
      <w:r>
        <w:rPr>
          <w:rFonts w:hint="eastAsia" w:ascii="仿宋" w:hAnsi="仿宋" w:eastAsia="仿宋" w:cs="仿宋"/>
        </w:rPr>
        <w:t>七、一般公共预算支出决算表（功能科目）</w:t>
      </w:r>
    </w:p>
    <w:p>
      <w:pPr>
        <w:pStyle w:val="8"/>
        <w:spacing w:line="360" w:lineRule="auto"/>
        <w:ind w:left="671" w:leftChars="300" w:hanging="11"/>
        <w:jc w:val="both"/>
        <w:rPr>
          <w:rFonts w:ascii="仿宋" w:hAnsi="仿宋" w:eastAsia="仿宋" w:cs="仿宋"/>
        </w:rPr>
      </w:pPr>
      <w:r>
        <w:rPr>
          <w:rFonts w:hint="eastAsia" w:ascii="仿宋" w:hAnsi="仿宋" w:eastAsia="仿宋" w:cs="仿宋"/>
        </w:rPr>
        <w:t>八、一般公共预算基本支出决算表（经济科目）</w:t>
      </w:r>
    </w:p>
    <w:p>
      <w:pPr>
        <w:pStyle w:val="8"/>
        <w:spacing w:line="360" w:lineRule="auto"/>
        <w:ind w:left="671" w:leftChars="300" w:hanging="11"/>
        <w:jc w:val="both"/>
        <w:rPr>
          <w:rFonts w:ascii="仿宋" w:hAnsi="仿宋" w:eastAsia="仿宋" w:cs="仿宋"/>
        </w:rPr>
      </w:pPr>
      <w:r>
        <w:rPr>
          <w:rFonts w:hint="eastAsia" w:ascii="仿宋" w:hAnsi="仿宋" w:eastAsia="仿宋" w:cs="仿宋"/>
        </w:rPr>
        <w:t>九、一般公共预算“三公”经费、会议费、培训费支出决算表</w:t>
      </w:r>
    </w:p>
    <w:p>
      <w:pPr>
        <w:pStyle w:val="8"/>
        <w:spacing w:line="360" w:lineRule="auto"/>
        <w:ind w:left="671" w:leftChars="300" w:hanging="11"/>
        <w:jc w:val="both"/>
        <w:rPr>
          <w:rFonts w:ascii="仿宋" w:hAnsi="仿宋" w:eastAsia="仿宋" w:cs="仿宋"/>
        </w:rPr>
      </w:pPr>
      <w:r>
        <w:rPr>
          <w:rFonts w:hint="eastAsia" w:ascii="仿宋" w:hAnsi="仿宋" w:eastAsia="仿宋" w:cs="仿宋"/>
        </w:rPr>
        <w:t>十、政府性基金预算支出决算表</w:t>
      </w:r>
    </w:p>
    <w:p>
      <w:pPr>
        <w:pStyle w:val="8"/>
        <w:spacing w:line="360" w:lineRule="auto"/>
        <w:ind w:left="671" w:leftChars="300" w:right="2575" w:hanging="11"/>
        <w:jc w:val="both"/>
        <w:rPr>
          <w:rFonts w:ascii="仿宋" w:hAnsi="仿宋" w:eastAsia="仿宋" w:cs="仿宋"/>
          <w:lang w:val="en-US"/>
        </w:rPr>
      </w:pPr>
      <w:r>
        <w:rPr>
          <w:rFonts w:hint="eastAsia" w:ascii="仿宋" w:hAnsi="仿宋" w:eastAsia="仿宋" w:cs="仿宋"/>
        </w:rPr>
        <w:t>十一、</w:t>
      </w:r>
      <w:r>
        <w:rPr>
          <w:rFonts w:hint="eastAsia" w:ascii="仿宋" w:hAnsi="仿宋" w:eastAsia="仿宋" w:cs="仿宋"/>
          <w:lang w:val="en-US"/>
        </w:rPr>
        <w:t>国有资本经营预算支出决算表</w:t>
      </w:r>
    </w:p>
    <w:p>
      <w:pPr>
        <w:pStyle w:val="8"/>
        <w:spacing w:line="360" w:lineRule="auto"/>
        <w:ind w:left="671" w:leftChars="300" w:right="2575" w:hanging="11"/>
        <w:jc w:val="both"/>
        <w:rPr>
          <w:rFonts w:ascii="仿宋" w:hAnsi="仿宋" w:eastAsia="仿宋" w:cs="仿宋"/>
        </w:rPr>
      </w:pPr>
      <w:r>
        <w:rPr>
          <w:rFonts w:hint="eastAsia" w:ascii="仿宋" w:hAnsi="仿宋" w:eastAsia="仿宋" w:cs="仿宋"/>
        </w:rPr>
        <w:t>十</w:t>
      </w:r>
      <w:r>
        <w:rPr>
          <w:rFonts w:hint="eastAsia" w:ascii="仿宋" w:hAnsi="仿宋" w:eastAsia="仿宋" w:cs="仿宋"/>
          <w:lang w:val="en-US"/>
        </w:rPr>
        <w:t>二</w:t>
      </w:r>
      <w:r>
        <w:rPr>
          <w:rFonts w:hint="eastAsia" w:ascii="仿宋" w:hAnsi="仿宋" w:eastAsia="仿宋" w:cs="仿宋"/>
        </w:rPr>
        <w:t>、一般公共预算机关运行经费支出决算表</w:t>
      </w:r>
    </w:p>
    <w:p>
      <w:pPr>
        <w:pStyle w:val="8"/>
        <w:spacing w:line="360" w:lineRule="auto"/>
        <w:ind w:left="671" w:leftChars="300" w:right="2575" w:hanging="11"/>
        <w:jc w:val="both"/>
        <w:rPr>
          <w:rFonts w:ascii="仿宋" w:hAnsi="仿宋" w:eastAsia="仿宋" w:cs="仿宋"/>
        </w:rPr>
      </w:pPr>
      <w:r>
        <w:rPr>
          <w:rFonts w:hint="eastAsia" w:ascii="仿宋" w:hAnsi="仿宋" w:eastAsia="仿宋" w:cs="仿宋"/>
        </w:rPr>
        <w:t>十</w:t>
      </w:r>
      <w:r>
        <w:rPr>
          <w:rFonts w:hint="eastAsia" w:ascii="仿宋" w:hAnsi="仿宋" w:eastAsia="仿宋" w:cs="仿宋"/>
          <w:lang w:val="en-US"/>
        </w:rPr>
        <w:t>三</w:t>
      </w:r>
      <w:r>
        <w:rPr>
          <w:rFonts w:hint="eastAsia" w:ascii="仿宋" w:hAnsi="仿宋" w:eastAsia="仿宋" w:cs="仿宋"/>
        </w:rPr>
        <w:t>、政府采购支出决算表</w:t>
      </w:r>
    </w:p>
    <w:p>
      <w:pPr>
        <w:pStyle w:val="8"/>
        <w:spacing w:line="360" w:lineRule="auto"/>
        <w:ind w:left="671" w:leftChars="300" w:hanging="11"/>
        <w:jc w:val="both"/>
        <w:rPr>
          <w:rFonts w:ascii="黑体" w:hAnsi="黑体" w:eastAsia="黑体" w:cs="黑体"/>
          <w:lang w:val="en-US"/>
        </w:rPr>
      </w:pPr>
      <w:r>
        <w:rPr>
          <w:rFonts w:hint="eastAsia" w:ascii="黑体" w:hAnsi="黑体" w:eastAsia="黑体" w:cs="黑体"/>
          <w:lang w:val="en-US"/>
        </w:rPr>
        <w:t>第三部分 2021年度</w:t>
      </w:r>
      <w:r>
        <w:rPr>
          <w:rFonts w:ascii="黑体" w:hAnsi="黑体" w:eastAsia="黑体" w:cs="黑体"/>
        </w:rPr>
        <w:t>单位决算情况说明</w:t>
      </w:r>
    </w:p>
    <w:p>
      <w:pPr>
        <w:pStyle w:val="8"/>
        <w:spacing w:line="360" w:lineRule="auto"/>
        <w:ind w:left="671" w:leftChars="300" w:hanging="11"/>
        <w:jc w:val="both"/>
        <w:rPr>
          <w:rFonts w:ascii="仿宋" w:hAnsi="仿宋" w:eastAsia="仿宋" w:cs="仿宋"/>
          <w:b/>
          <w:bCs/>
          <w:color w:val="000000"/>
          <w:sz w:val="30"/>
          <w:szCs w:val="30"/>
          <w:lang w:val="en-US" w:bidi="ar"/>
        </w:rPr>
      </w:pPr>
      <w:r>
        <w:rPr>
          <w:rFonts w:hint="eastAsia" w:ascii="黑体" w:hAnsi="黑体" w:eastAsia="黑体" w:cs="黑体"/>
          <w:lang w:val="en-US"/>
        </w:rPr>
        <w:t>第四部分 名词解释</w:t>
      </w:r>
    </w:p>
    <w:p>
      <w:pPr>
        <w:pStyle w:val="8"/>
        <w:spacing w:line="235" w:lineRule="auto"/>
        <w:ind w:left="669" w:leftChars="300" w:right="2414" w:hanging="9"/>
        <w:jc w:val="both"/>
        <w:rPr>
          <w:rFonts w:ascii="仿宋" w:hAnsi="仿宋" w:eastAsia="仿宋" w:cs="仿宋"/>
        </w:rPr>
        <w:sectPr>
          <w:footerReference r:id="rId5" w:type="default"/>
          <w:pgSz w:w="11906" w:h="16838"/>
          <w:pgMar w:top="1580" w:right="700" w:bottom="770" w:left="1020" w:header="283" w:footer="280" w:gutter="0"/>
          <w:pgNumType w:fmt="numberInDash" w:start="1"/>
          <w:cols w:space="720" w:num="1"/>
          <w:formProt w:val="0"/>
          <w:docGrid w:linePitch="100" w:charSpace="0"/>
        </w:sectPr>
      </w:pPr>
    </w:p>
    <w:p>
      <w:pPr>
        <w:pStyle w:val="8"/>
        <w:spacing w:before="1"/>
        <w:rPr>
          <w:rFonts w:ascii="华文仿宋" w:hAnsi="华文仿宋" w:eastAsia="华文仿宋" w:cs="仿宋"/>
          <w:sz w:val="14"/>
        </w:rPr>
      </w:pPr>
    </w:p>
    <w:p>
      <w:pPr>
        <w:pStyle w:val="5"/>
        <w:tabs>
          <w:tab w:val="left" w:pos="4395"/>
        </w:tabs>
        <w:spacing w:line="606" w:lineRule="exact"/>
        <w:ind w:right="504" w:rightChars="229"/>
        <w:rPr>
          <w:rFonts w:ascii="宋体" w:hAnsi="宋体" w:eastAsia="宋体" w:cs="宋体"/>
          <w:b/>
          <w:bCs/>
        </w:rPr>
      </w:pPr>
      <w:r>
        <w:rPr>
          <w:rFonts w:hint="eastAsia" w:ascii="宋体" w:hAnsi="宋体" w:eastAsia="宋体" w:cs="宋体"/>
          <w:b/>
          <w:bCs/>
        </w:rPr>
        <w:t>第一部分</w:t>
      </w:r>
      <w:r>
        <w:rPr>
          <w:rFonts w:hint="eastAsia" w:ascii="宋体" w:hAnsi="宋体" w:eastAsia="宋体" w:cs="宋体"/>
          <w:b/>
          <w:bCs/>
          <w:lang w:val="en-US"/>
        </w:rPr>
        <w:t xml:space="preserve"> </w:t>
      </w:r>
      <w:r>
        <w:rPr>
          <w:rFonts w:hint="eastAsia" w:ascii="宋体" w:hAnsi="宋体" w:eastAsia="宋体" w:cs="宋体"/>
          <w:b/>
          <w:bCs/>
        </w:rPr>
        <w:t>单位概况</w:t>
      </w:r>
    </w:p>
    <w:p>
      <w:pPr>
        <w:ind w:right="504" w:rightChars="229"/>
        <w:jc w:val="both"/>
      </w:pPr>
    </w:p>
    <w:p>
      <w:pPr>
        <w:pStyle w:val="8"/>
        <w:spacing w:line="360" w:lineRule="auto"/>
        <w:ind w:left="440" w:leftChars="200" w:right="504" w:rightChars="229" w:firstLine="658"/>
        <w:jc w:val="both"/>
        <w:outlineLvl w:val="1"/>
        <w:rPr>
          <w:rFonts w:ascii="黑体" w:hAnsi="黑体" w:eastAsia="黑体" w:cs="黑体"/>
        </w:rPr>
      </w:pPr>
      <w:r>
        <w:rPr>
          <w:rFonts w:hint="eastAsia" w:ascii="黑体" w:hAnsi="黑体" w:eastAsia="黑体" w:cs="黑体"/>
        </w:rPr>
        <w:t>一、主要职能</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（一）负责安置全省长期流浪人员。对其负责思想教育转化，提供就业技能培训和劳动生产岗位。</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（二）负责安置全省民政系统儿童福利院大龄残疾人员。对其负责教育培养，提供就业技能培训和力所能及的劳动生产岗位。</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（三）履行保障民政服务对象的职能。对场内高龄孤寡老人和失能孤残人员，提供养老和助残服务。</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（四）完成省民政厅交办的其他任务。</w:t>
      </w:r>
    </w:p>
    <w:p>
      <w:pPr>
        <w:pStyle w:val="8"/>
        <w:spacing w:line="360" w:lineRule="auto"/>
        <w:ind w:left="440" w:leftChars="200" w:right="504" w:rightChars="229" w:firstLine="658"/>
        <w:jc w:val="both"/>
        <w:outlineLvl w:val="1"/>
        <w:rPr>
          <w:rFonts w:ascii="黑体" w:hAnsi="黑体" w:eastAsia="黑体" w:cs="黑体"/>
        </w:rPr>
      </w:pPr>
      <w:r>
        <w:rPr>
          <w:rFonts w:hint="eastAsia" w:ascii="黑体" w:hAnsi="黑体" w:eastAsia="黑体" w:cs="黑体"/>
        </w:rPr>
        <w:t>二、</w:t>
      </w:r>
      <w:r>
        <w:rPr>
          <w:rFonts w:ascii="黑体" w:hAnsi="黑体" w:eastAsia="黑体" w:cs="黑体"/>
        </w:rPr>
        <w:t>单位</w:t>
      </w:r>
      <w:r>
        <w:rPr>
          <w:rFonts w:hint="eastAsia" w:ascii="黑体" w:hAnsi="黑体" w:eastAsia="黑体" w:cs="黑体"/>
        </w:rPr>
        <w:t>机构设置及决算单位构成情况</w:t>
      </w:r>
    </w:p>
    <w:p>
      <w:pPr>
        <w:pStyle w:val="8"/>
        <w:spacing w:line="360" w:lineRule="auto"/>
        <w:ind w:left="440" w:leftChars="200" w:right="504" w:rightChars="229" w:firstLine="658"/>
        <w:jc w:val="both"/>
        <w:rPr>
          <w:rFonts w:ascii="仿宋" w:hAnsi="仿宋" w:eastAsia="仿宋" w:cs="仿宋"/>
        </w:rPr>
      </w:pPr>
      <w:r>
        <w:rPr>
          <w:rFonts w:hint="eastAsia" w:ascii="仿宋" w:hAnsi="仿宋" w:eastAsia="仿宋" w:cs="仿宋"/>
        </w:rPr>
        <w:t>根据</w:t>
      </w:r>
      <w:r>
        <w:rPr>
          <w:rFonts w:hint="eastAsia" w:ascii="仿宋" w:hAnsi="仿宋" w:eastAsia="仿宋" w:cs="仿宋"/>
          <w:lang w:val="en-US"/>
        </w:rPr>
        <w:t>单位</w:t>
      </w:r>
      <w:r>
        <w:rPr>
          <w:rFonts w:hint="eastAsia" w:ascii="仿宋" w:hAnsi="仿宋" w:eastAsia="仿宋" w:cs="仿宋"/>
        </w:rPr>
        <w:t>职责分工，</w:t>
      </w:r>
      <w:r>
        <w:rPr>
          <w:rFonts w:ascii="仿宋" w:hAnsi="仿宋" w:eastAsia="仿宋" w:cs="仿宋"/>
        </w:rPr>
        <w:t>本单位内设机构包括（一）办公室（党建办公室）。负责农场日常运转，承担信息、安全、保密、信访、接待、政务公开、督查督办、新闻宣传等工作；承担农场党建、群团工作。（二）国有资产管理科。负责单位国有资产管理工作；负责固定资产及办公用品采购、处置；负责建设项目管理。（三）农业产业发展科。负责全场农业生产及农产品销售，农田水利建设规划、实施和管理，做好全场农业产业结构调整工作。（四）工业生产科。负责承接工业产品代加工业务；协调监督驻场工业企业安全生产工作。（五）社区服务科。承担场区居民社区综合治理工作；负责全场物业管理工作；负责民政服务对象及退休人员服务管理工作。（六）计划财务科。负责农场财务工作，拟订农场事业发展规划；负责农场资金审计、使用、监督工作；负责财务统计工作；协助做好国有资产管理工作。（七）人事科。负责全场人事管理、机构编制工作；组织全场职工教育培训。（八）职工食堂。负责职工食堂经营管理工作。本单位无下属单位。</w:t>
      </w:r>
    </w:p>
    <w:p>
      <w:pPr>
        <w:pStyle w:val="8"/>
        <w:spacing w:line="360" w:lineRule="auto"/>
        <w:ind w:left="440" w:leftChars="200" w:right="504" w:rightChars="229" w:firstLine="658"/>
        <w:jc w:val="both"/>
        <w:outlineLvl w:val="1"/>
        <w:rPr>
          <w:rFonts w:ascii="黑体" w:hAnsi="黑体" w:eastAsia="黑体" w:cs="黑体"/>
        </w:rPr>
      </w:pPr>
      <w:r>
        <w:rPr>
          <w:rFonts w:hint="eastAsia" w:ascii="黑体" w:hAnsi="黑体" w:eastAsia="黑体" w:cs="黑体"/>
        </w:rPr>
        <w:t>三、2021年度主要工作完成情况</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2021年，省立新农场在厅党组的正确领导下，以“加强自身建设，着眼转型发展，确保安全稳定"为总体思路，规范管理，凝聚人心，探索经济发展新模式，打赢疫情防控攻坚战，营造风清气正政治环境，为农场十四五期间转型发展奠定了基础。现将本年度工作总结如下：</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一、以党建为引领，不断加强单位党组织建设</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一是充实开展党史学习教育。统筹安排各项内容，通过原原本本学、集中研讨学、对照先进学、联系实际学等方式，推动学习教育往深里走、往心里走、往实里走。邀请专家开展《长夜里的星火》《学党史守初心传承红色家风》《矢志不渝奋发图强在党的指引下走好新时代赶考路》3次专题讲座；赴盐城新四军纪念馆开展接受革命传统教育和扬州双博馆进行现场教学；组织开展“科长论坛”、积极参加厅青年干部培训班等，强化思想教育，提升综合素质。在党史学习教育中着力解决群众“急难愁盼”事。将学习教育、调查研究、检视问题、整改落实贯穿全过程，组织专题学习研讨12次、支部书记上党课2次、专题组织生活会2次。二是充实打造坚强支委班子。严格落实《中国共产党支部工作条例（试行）》，按照党支部标准化、规划范建设要求，围绕健全基本组织、建强基本队伍、开展基本活动、落实基本制度、强化基本保障，不断强化党支部政治功能和服务功能。9月，圆满完成支委换届选举，成立了新一届的支部委员会，在只有1名场领导的情况下，充分发挥支委班子作用，打造坚强领导核心。三是强化干部职工队伍建设。打破“一潭死水”，做到人岗相适、人事相宜，对12名干部职工进行了岗位调整；稳妥做好干部人事档案专项审核，对30多人的年龄、参加工作时间、学历等进行了重新认定；组织13名干部参加在职学历教育、23名职工参加技能培训和办公自动化学习。四是落实全面从严治党责任，加强党风廉政建设。2021年年初，农场主要负责同志与各科室主要负责人签订了《</w:t>
      </w:r>
      <w:r>
        <w:rPr>
          <w:rFonts w:hint="eastAsia" w:ascii="仿宋" w:hAnsi="仿宋" w:eastAsia="仿宋" w:cs="仿宋"/>
          <w:lang w:eastAsia="zh-CN"/>
        </w:rPr>
        <w:t>落实全面从严治党</w:t>
      </w:r>
      <w:r>
        <w:rPr>
          <w:rFonts w:ascii="仿宋" w:hAnsi="仿宋" w:eastAsia="仿宋" w:cs="仿宋"/>
        </w:rPr>
        <w:t>责任书》和《业务管理目标责任书》，排查了各部门廉政风险点；6月，根据驻厅纪检组提出的纪律检查建议，认真研究制定了整改方案。五是加强群团组织建设。2021年五一劳动节，农场成立了工会、妇委会等群团组织，为凝聚全场人心、搭建沟通桥梁，保障职工福利发挥了巨大作用。</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二、着眼转型发展，切实维护群众利益</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一是制定农场“三定”方案。历经近一年的充分调研、酝酿，在征求各方意见的基础上，制定了建场以来首个“三定方案”，进一步优化了内部组织架构，提高了部门运行效率，规范了管理运营模式，实现了单位正规化建设的转型。二是将“开源”与“节流”相结合，不断拓宽增收创收渠道。在农场企业关停清算债权债务的过程中，及时追回原五金厂货款91万元，确保了国有资产不流失；调整农场粮食种植模式，采用机械化、集约式种植，由原来每人种35亩，到现在1人种180余亩，每年节约成本约18万元；原五金厂关停后，积极调整经营模式，承接工业产品代加工业务，既解决了职工工作岗位问题，又增加了经济收入，同时也避免了因原材料涨价带来的亏损，有效盘活国有资产；利用农场闲置土地、厂房进行“招商引资”，2021年引入扬州惠多多农产品种植专业合作社、扬州威高机电等3家企业入驻农场；成立职工食堂，开展对外经营，不仅保障了全场职工工作用餐，还能在对外经营中增加创收。2021年实现事业创收94.96万元，其中，工业完成创收29.53万元；农业完成创收40.32万元；其他完成创收25.11万元，超目标责任5.5%（注：目标责任书事业创收90万元）。三是为长远发展奠定基础。在领导支持、多方协调、努力争取下，2021年终于取得了农场土地、建筑设施不动产权登记证书，特别是粮站等地块的确权，节约了300多万土地转让费，为农场今后的建设发展奠定了坚实基础。四是着力解决群众“急难愁盼”事。2021年，投入780余万元解决了职工医疗保险问题，为职工购买了工伤保险、失业保险；按政策发放了遗属生活补贴、交通费，提高了绩效工资标准、住房补贴标准、编外人员工资标准；投入30余万元维修厂房、居民住房；整治环境、清理河道、修建堤坝、维修水电管线，全场群众满意度不断提升。</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三、从建章立制入手，狠抓单位内部管理</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一是建立完善制度体系。一年来，农场先后印发了《党支部委员会“三重一大”事项决策制度》《省立新农场工作规则》《工作人员考勤办法（试行）》《职工请休假管理办法》《工作人员绩效分配办法（试行）》《工作人员年度考核办法（试行）》《信访工作管理办法（试行）》《工勤人员跨岗位聘用实施办法（试行）》等10余项单位内部管理规章制度，进一步规范了工程建设项目立项、财务报销、出差审批等流程，切实做到用制度管人、管钱、管物。二是严格执行各项管理规章制度。对经常迟到早退的职工进行了批评教育；购置考勤打卡设备，做到每个月全场公示工作人员考勤情况；落实年度考核制度，对考核优秀人员给予经济奖励，充分调动大家干事的积极性。三是对单位固定资产进行清理整顿。2021年7月，成立了农场固定资产清理整顿领导小组，对多年来积压的有物无账、有账无物、账物不符等情况进行一一梳理、清理整顿，先后3次到厅机关、康复中心学习调研有关管理制度，取得资产云平台绩效评估92.17分，比2020年高出32.02分。</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四、树牢底线意识，建设幸福稳定场区</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一是不断加强场区综合治理。一年来，配合地方公安部门处理场区居民治安案件1起，协调化解场区居民纠纷5起，稳妥处理集体上访4次、个人上访6次。二是狠抓安全生产。全年开展安全知识讲座1次，安全专项检查4次，消防演练1次，颁布了《立新农场场区居民防火防盗公约》，与驻场企业签订了《安全生产责任书》，对部分房屋进行了安全检测，排除安全隐患，确保无事故。三是积极做好防灾减灾工作。2021年5至7月，场区先后经历了两次台风和一次暴雨，造成了农作物减产和部分建筑设施受损，面对自然灾害，农场上下团结一心，奋力抗灾，保证了场区居民的生命财产安全。四是打赢疫情防控攻坚战。2021年7至8月的扬州疫情，给农场带来了前所未有的挑战，周边两个乡镇都是中风险地区，在场区范围广、管理难度大等情况下，我们做到未雨绸缪、严防死守，和地方党委政府同心协力、心手相助，打赢了这场疫情防控攻坚战。</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以上这些成绩的取得，是在厅党组的正确领导下，场党支部团结带领全场干部职工共同努力的结果。同时，我们也清醒地看到工作中存在的差距和不足。主要表现在一是单位可持续发展受限；二是场区社会治理力量薄弱；三是干部人才队伍建设存在短板；四是长期积累的隐患问题逐渐暴露。</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针对以上存在的不足，2022年农场将围绕以下几方面开展工作：</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一是始终坚持把党的建设摆在首位。要始终把准政治方向，提高政治能力，永葆政治本色，做到在政治上过得硬、靠得住、强起来，不断加强政治建设、组织建设、干部人才队伍建设，管好意识形态，狠抓党风廉政建设，将厅党组各项决策部署落细落实。</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二是牢牢牵住转型发展这个“牛鼻子”。一方面，抓住事业单位机构改革历史机遇，从服务全省民政事业发展大局着眼，结合农场自身实际，紧紧围绕乡村（社区）基层治理、民政领域公共服务、乡村振兴等方向转变职能，探索一条农场转型发展之路。另一方面，贯彻新发展理念，构建新发展格局，秉持“发展才是硬道理”的思想，充分开发农场现有资源，保护利用特有建筑风貌，与驻场企业、相关机构寻求新的合作，拓宽创收增收渠道，在逆境中求生存，在创新中求发展。</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三是积极融入地方社会综合治理大局。农场的发展离不开厅党组的领导支持，也离不开所在地地方党委政府的关心帮助。我们计划明年与所在村党支部签署共建合作协议为契机，进一步提升基层党组织建设质量，形成“资源共享、优势互补”的基层党建工作新格局。以党建带群建，主动纳入地方社会综合治理网格，发挥民政直属单位优势，促进结对共建双方共同发展、共同提高，与所在村一同打造幸福和谐场区。</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四是时刻维护安全稳定良好局面。明年，要把保安全、保稳定作为全场基础性工作来抓，在疫情防控、安全生产、信访维稳、社区治理等工作中，定期开展宣传教育，随时排查安全隐患、及时化解矛盾问题，增强场区居民安全防范意识和能力，真正维护群众切身利益，确保问题不上交，确保农场安全稳定的良好局面得到长期维护。</w:t>
      </w:r>
    </w:p>
    <w:p>
      <w:pPr>
        <w:pStyle w:val="8"/>
        <w:spacing w:line="235" w:lineRule="auto"/>
        <w:ind w:left="669" w:leftChars="300" w:right="2414" w:hanging="9"/>
        <w:jc w:val="both"/>
        <w:rPr>
          <w:rFonts w:ascii="仿宋" w:hAnsi="仿宋" w:eastAsia="仿宋" w:cs="仿宋"/>
        </w:rPr>
        <w:sectPr>
          <w:footerReference r:id="rId6" w:type="default"/>
          <w:pgSz w:w="11906" w:h="16838"/>
          <w:pgMar w:top="1580" w:right="700" w:bottom="770" w:left="1020" w:header="283" w:footer="280" w:gutter="0"/>
          <w:pgNumType w:fmt="numberInDash"/>
          <w:cols w:space="720" w:num="1"/>
          <w:formProt w:val="0"/>
          <w:docGrid w:linePitch="100" w:charSpace="0"/>
        </w:sectPr>
      </w:pPr>
    </w:p>
    <w:p>
      <w:pPr>
        <w:pStyle w:val="8"/>
        <w:spacing w:line="360" w:lineRule="auto"/>
        <w:ind w:left="440" w:leftChars="200" w:right="504" w:rightChars="229" w:firstLine="658"/>
        <w:jc w:val="both"/>
        <w:rPr>
          <w:rFonts w:ascii="仿宋" w:hAnsi="仿宋" w:eastAsia="仿宋" w:cs="仿宋"/>
          <w:lang w:val="en-US"/>
        </w:rPr>
      </w:pPr>
    </w:p>
    <w:p>
      <w:pPr>
        <w:pStyle w:val="21"/>
        <w:tabs>
          <w:tab w:val="left" w:pos="1609"/>
        </w:tabs>
        <w:spacing w:before="12" w:line="300" w:lineRule="auto"/>
        <w:ind w:left="340" w:right="567" w:firstLine="0"/>
        <w:jc w:val="center"/>
        <w:rPr>
          <w:rFonts w:ascii="仿宋" w:hAnsi="仿宋" w:eastAsia="仿宋" w:cs="仿宋"/>
          <w:b/>
          <w:bCs/>
          <w:sz w:val="44"/>
          <w:szCs w:val="44"/>
        </w:rPr>
      </w:pPr>
    </w:p>
    <w:p>
      <w:pPr>
        <w:pStyle w:val="21"/>
        <w:tabs>
          <w:tab w:val="left" w:pos="1609"/>
        </w:tabs>
        <w:spacing w:before="12" w:line="300" w:lineRule="auto"/>
        <w:ind w:left="340" w:right="567" w:firstLine="0"/>
        <w:jc w:val="center"/>
        <w:rPr>
          <w:rFonts w:ascii="仿宋" w:hAnsi="仿宋" w:eastAsia="仿宋" w:cs="仿宋"/>
          <w:b/>
          <w:bCs/>
          <w:sz w:val="44"/>
          <w:szCs w:val="44"/>
        </w:rPr>
      </w:pPr>
    </w:p>
    <w:p>
      <w:pPr>
        <w:pStyle w:val="21"/>
        <w:tabs>
          <w:tab w:val="left" w:pos="1609"/>
        </w:tabs>
        <w:spacing w:before="12" w:line="300" w:lineRule="auto"/>
        <w:ind w:left="340" w:right="567" w:firstLine="0"/>
        <w:jc w:val="center"/>
        <w:rPr>
          <w:rFonts w:ascii="仿宋" w:hAnsi="仿宋" w:eastAsia="仿宋" w:cs="仿宋"/>
          <w:b/>
          <w:bCs/>
          <w:sz w:val="44"/>
          <w:szCs w:val="44"/>
        </w:rPr>
      </w:pPr>
    </w:p>
    <w:p>
      <w:pPr>
        <w:pStyle w:val="21"/>
        <w:tabs>
          <w:tab w:val="left" w:pos="1609"/>
        </w:tabs>
        <w:spacing w:before="12" w:line="300" w:lineRule="auto"/>
        <w:ind w:left="340" w:right="567" w:firstLine="0"/>
        <w:jc w:val="center"/>
        <w:rPr>
          <w:rFonts w:ascii="仿宋" w:hAnsi="仿宋" w:eastAsia="仿宋" w:cs="仿宋"/>
          <w:b/>
          <w:bCs/>
          <w:sz w:val="44"/>
          <w:szCs w:val="44"/>
        </w:rPr>
      </w:pPr>
    </w:p>
    <w:p>
      <w:pPr>
        <w:pStyle w:val="21"/>
        <w:tabs>
          <w:tab w:val="left" w:pos="1609"/>
        </w:tabs>
        <w:spacing w:before="12" w:line="300" w:lineRule="auto"/>
        <w:ind w:left="340" w:right="567" w:firstLine="0"/>
        <w:jc w:val="center"/>
        <w:rPr>
          <w:rFonts w:ascii="仿宋" w:hAnsi="仿宋" w:eastAsia="仿宋" w:cs="仿宋"/>
          <w:b/>
          <w:bCs/>
          <w:sz w:val="44"/>
          <w:szCs w:val="44"/>
        </w:rPr>
      </w:pPr>
    </w:p>
    <w:p>
      <w:pPr>
        <w:pStyle w:val="21"/>
        <w:tabs>
          <w:tab w:val="left" w:pos="1609"/>
        </w:tabs>
        <w:spacing w:before="12" w:line="300" w:lineRule="auto"/>
        <w:ind w:left="340" w:right="567" w:firstLine="0"/>
        <w:jc w:val="center"/>
        <w:rPr>
          <w:rFonts w:ascii="仿宋" w:hAnsi="仿宋" w:eastAsia="仿宋" w:cs="仿宋"/>
          <w:b/>
          <w:bCs/>
          <w:sz w:val="44"/>
          <w:szCs w:val="44"/>
        </w:rPr>
      </w:pPr>
    </w:p>
    <w:p>
      <w:pPr>
        <w:pStyle w:val="21"/>
        <w:tabs>
          <w:tab w:val="left" w:pos="1609"/>
        </w:tabs>
        <w:spacing w:before="12" w:line="300" w:lineRule="auto"/>
        <w:ind w:left="340" w:right="567" w:firstLine="0"/>
        <w:jc w:val="center"/>
        <w:outlineLvl w:val="0"/>
        <w:rPr>
          <w:rFonts w:ascii="宋体" w:hAnsi="宋体" w:eastAsia="宋体" w:cs="宋体"/>
          <w:b/>
          <w:bCs/>
          <w:sz w:val="36"/>
          <w:szCs w:val="36"/>
          <w:lang w:val="en-US"/>
        </w:rPr>
      </w:pPr>
      <w:r>
        <w:rPr>
          <w:rFonts w:hint="eastAsia" w:ascii="宋体" w:hAnsi="宋体" w:eastAsia="宋体" w:cs="宋体"/>
          <w:b/>
          <w:bCs/>
          <w:sz w:val="36"/>
          <w:szCs w:val="36"/>
        </w:rPr>
        <w:t>第二部分</w:t>
      </w:r>
    </w:p>
    <w:p>
      <w:pPr>
        <w:pStyle w:val="21"/>
        <w:tabs>
          <w:tab w:val="left" w:pos="1609"/>
        </w:tabs>
        <w:spacing w:before="12" w:line="300" w:lineRule="auto"/>
        <w:ind w:left="340" w:right="567" w:firstLine="0"/>
        <w:jc w:val="center"/>
        <w:rPr>
          <w:rFonts w:ascii="宋体" w:hAnsi="宋体" w:eastAsia="宋体" w:cs="宋体"/>
          <w:b/>
          <w:bCs/>
          <w:sz w:val="36"/>
          <w:szCs w:val="36"/>
        </w:rPr>
      </w:pPr>
      <w:r>
        <w:rPr>
          <w:rFonts w:hint="eastAsia" w:ascii="宋体" w:hAnsi="宋体" w:eastAsia="宋体" w:cs="宋体"/>
          <w:b/>
          <w:bCs/>
          <w:sz w:val="36"/>
          <w:szCs w:val="36"/>
        </w:rPr>
        <w:t>江苏省立新农场</w:t>
      </w:r>
    </w:p>
    <w:p>
      <w:pPr>
        <w:pStyle w:val="21"/>
        <w:tabs>
          <w:tab w:val="left" w:pos="1609"/>
        </w:tabs>
        <w:spacing w:before="12" w:line="300" w:lineRule="auto"/>
        <w:ind w:left="340" w:right="567" w:firstLine="0"/>
        <w:jc w:val="center"/>
        <w:outlineLvl w:val="1"/>
        <w:rPr>
          <w:rFonts w:ascii="宋体" w:hAnsi="宋体" w:eastAsia="宋体" w:cs="宋体"/>
          <w:b/>
          <w:bCs/>
          <w:sz w:val="36"/>
          <w:szCs w:val="36"/>
        </w:rPr>
      </w:pPr>
      <w:r>
        <w:rPr>
          <w:rFonts w:hint="eastAsia" w:ascii="宋体" w:hAnsi="宋体" w:eastAsia="宋体" w:cs="宋体"/>
          <w:b/>
          <w:bCs/>
          <w:sz w:val="36"/>
          <w:szCs w:val="36"/>
        </w:rPr>
        <w:t>2021年度</w:t>
      </w:r>
      <w:r>
        <w:rPr>
          <w:rFonts w:hint="eastAsia" w:ascii="宋体" w:hAnsi="宋体" w:eastAsia="宋体" w:cs="宋体"/>
          <w:b/>
          <w:bCs/>
          <w:sz w:val="36"/>
          <w:szCs w:val="36"/>
          <w:lang w:val="en-US"/>
        </w:rPr>
        <w:t>单位</w:t>
      </w:r>
      <w:r>
        <w:rPr>
          <w:rFonts w:ascii="宋体" w:hAnsi="宋体" w:eastAsia="宋体" w:cs="宋体"/>
          <w:b/>
          <w:sz w:val="36"/>
        </w:rPr>
        <w:t>决算表</w:t>
      </w:r>
    </w:p>
    <w:tbl>
      <w:tblPr>
        <w:tblStyle w:val="13"/>
        <w:tblW w:w="10447" w:type="dxa"/>
        <w:jc w:val="center"/>
        <w:tblInd w:w="0" w:type="dxa"/>
        <w:tblLayout w:type="fixed"/>
        <w:tblCellMar>
          <w:top w:w="0" w:type="dxa"/>
          <w:left w:w="108" w:type="dxa"/>
          <w:bottom w:w="0" w:type="dxa"/>
          <w:right w:w="108" w:type="dxa"/>
        </w:tblCellMar>
      </w:tblPr>
      <w:tblGrid>
        <w:gridCol w:w="3784"/>
        <w:gridCol w:w="1461"/>
        <w:gridCol w:w="2035"/>
        <w:gridCol w:w="1709"/>
        <w:gridCol w:w="1458"/>
      </w:tblGrid>
      <w:tr>
        <w:tblPrEx>
          <w:tblLayout w:type="fixed"/>
          <w:tblCellMar>
            <w:top w:w="0" w:type="dxa"/>
            <w:left w:w="108" w:type="dxa"/>
            <w:bottom w:w="0" w:type="dxa"/>
            <w:right w:w="108" w:type="dxa"/>
          </w:tblCellMar>
        </w:tblPrEx>
        <w:trPr>
          <w:trHeight w:val="544" w:hRule="atLeast"/>
          <w:jc w:val="center"/>
        </w:trPr>
        <w:tc>
          <w:tcPr>
            <w:tcW w:w="10447" w:type="dxa"/>
            <w:gridSpan w:val="5"/>
          </w:tcPr>
          <w:p>
            <w:pPr>
              <w:pageBreakBefore/>
              <w:jc w:val="center"/>
              <w:rPr>
                <w:rFonts w:ascii="仿宋" w:hAnsi="仿宋" w:eastAsia="仿宋" w:cs="仿宋"/>
                <w:b/>
                <w:bCs/>
                <w:color w:val="000000"/>
              </w:rPr>
            </w:pPr>
            <w:r>
              <w:rPr>
                <w:rFonts w:hint="eastAsia" w:ascii="宋体" w:hAnsi="宋体" w:eastAsia="宋体" w:cs="宋体"/>
                <w:b/>
                <w:bCs/>
                <w:color w:val="000000"/>
                <w:sz w:val="36"/>
                <w:szCs w:val="36"/>
                <w:lang w:eastAsia="ar-SA"/>
              </w:rPr>
              <w:t>收入支出决算总表</w:t>
            </w:r>
          </w:p>
        </w:tc>
      </w:tr>
      <w:tr>
        <w:tblPrEx>
          <w:tblLayout w:type="fixed"/>
          <w:tblCellMar>
            <w:top w:w="0" w:type="dxa"/>
            <w:left w:w="108" w:type="dxa"/>
            <w:bottom w:w="0" w:type="dxa"/>
            <w:right w:w="108" w:type="dxa"/>
          </w:tblCellMar>
        </w:tblPrEx>
        <w:trPr>
          <w:trHeight w:val="348" w:hRule="atLeast"/>
          <w:jc w:val="center"/>
        </w:trPr>
        <w:tc>
          <w:tcPr>
            <w:tcW w:w="3784" w:type="dxa"/>
          </w:tcPr>
          <w:p>
            <w:pPr>
              <w:rPr>
                <w:rFonts w:ascii="仿宋" w:hAnsi="仿宋" w:eastAsia="仿宋" w:cs="仿宋"/>
                <w:color w:val="000000"/>
                <w:sz w:val="20"/>
              </w:rPr>
            </w:pPr>
          </w:p>
        </w:tc>
        <w:tc>
          <w:tcPr>
            <w:tcW w:w="1461" w:type="dxa"/>
          </w:tcPr>
          <w:p>
            <w:pPr>
              <w:rPr>
                <w:rFonts w:ascii="仿宋" w:hAnsi="仿宋" w:eastAsia="仿宋" w:cs="仿宋"/>
                <w:color w:val="000000"/>
                <w:sz w:val="20"/>
              </w:rPr>
            </w:pPr>
          </w:p>
        </w:tc>
        <w:tc>
          <w:tcPr>
            <w:tcW w:w="5202" w:type="dxa"/>
            <w:gridSpan w:val="3"/>
          </w:tcPr>
          <w:p>
            <w:pPr>
              <w:jc w:val="right"/>
              <w:rPr>
                <w:rFonts w:ascii="仿宋" w:hAnsi="仿宋" w:eastAsia="仿宋" w:cs="仿宋"/>
                <w:color w:val="000000"/>
              </w:rPr>
            </w:pPr>
            <w:r>
              <w:rPr>
                <w:rFonts w:hint="eastAsia" w:ascii="仿宋" w:hAnsi="仿宋" w:eastAsia="仿宋" w:cs="仿宋"/>
                <w:color w:val="000000"/>
                <w:lang w:eastAsia="ar-SA"/>
              </w:rPr>
              <w:t>公开01表</w:t>
            </w:r>
          </w:p>
        </w:tc>
      </w:tr>
      <w:tr>
        <w:tblPrEx>
          <w:tblLayout w:type="fixed"/>
          <w:tblCellMar>
            <w:top w:w="0" w:type="dxa"/>
            <w:left w:w="108" w:type="dxa"/>
            <w:bottom w:w="0" w:type="dxa"/>
            <w:right w:w="108" w:type="dxa"/>
          </w:tblCellMar>
        </w:tblPrEx>
        <w:trPr>
          <w:trHeight w:val="333" w:hRule="atLeast"/>
          <w:jc w:val="center"/>
        </w:trPr>
        <w:tc>
          <w:tcPr>
            <w:tcW w:w="7280" w:type="dxa"/>
            <w:gridSpan w:val="3"/>
            <w:tcBorders>
              <w:bottom w:val="single" w:color="000000" w:sz="4" w:space="0"/>
            </w:tcBorders>
            <w:vAlign w:val="center"/>
          </w:tcPr>
          <w:p>
            <w:pPr>
              <w:rPr>
                <w:rFonts w:ascii="仿宋" w:hAnsi="仿宋" w:eastAsia="仿宋" w:cs="仿宋"/>
                <w:color w:val="000000"/>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color w:val="000000"/>
                <w:lang w:eastAsia="ar-SA"/>
              </w:rPr>
              <w:t>江苏省立新农场</w:t>
            </w:r>
          </w:p>
        </w:tc>
        <w:tc>
          <w:tcPr>
            <w:tcW w:w="3167" w:type="dxa"/>
            <w:gridSpan w:val="2"/>
            <w:tcBorders>
              <w:bottom w:val="single" w:color="000000" w:sz="4" w:space="0"/>
            </w:tcBorders>
            <w:vAlign w:val="center"/>
          </w:tcPr>
          <w:p>
            <w:pPr>
              <w:jc w:val="right"/>
              <w:rPr>
                <w:rFonts w:ascii="仿宋" w:hAnsi="仿宋" w:eastAsia="仿宋" w:cs="仿宋"/>
                <w:color w:val="000000"/>
              </w:rPr>
            </w:pPr>
            <w:r>
              <w:rPr>
                <w:rFonts w:hint="eastAsia" w:ascii="仿宋" w:hAnsi="仿宋" w:eastAsia="仿宋" w:cs="仿宋"/>
                <w:color w:val="000000"/>
              </w:rPr>
              <w:t>金额单位：万元</w:t>
            </w:r>
          </w:p>
        </w:tc>
      </w:tr>
      <w:tr>
        <w:tblPrEx>
          <w:tblLayout w:type="fixed"/>
          <w:tblCellMar>
            <w:top w:w="0" w:type="dxa"/>
            <w:left w:w="108" w:type="dxa"/>
            <w:bottom w:w="0" w:type="dxa"/>
            <w:right w:w="108" w:type="dxa"/>
          </w:tblCellMar>
        </w:tblPrEx>
        <w:trPr>
          <w:trHeight w:val="450" w:hRule="atLeast"/>
          <w:jc w:val="center"/>
        </w:trPr>
        <w:tc>
          <w:tcPr>
            <w:tcW w:w="5245"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rPr>
            </w:pPr>
            <w:r>
              <w:rPr>
                <w:rFonts w:hint="eastAsia" w:ascii="仿宋" w:hAnsi="仿宋" w:eastAsia="仿宋" w:cs="仿宋"/>
                <w:color w:val="000000"/>
                <w:lang w:eastAsia="ar-SA"/>
              </w:rPr>
              <w:t>收入</w:t>
            </w:r>
          </w:p>
        </w:tc>
        <w:tc>
          <w:tcPr>
            <w:tcW w:w="5202"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rPr>
            </w:pPr>
            <w:r>
              <w:rPr>
                <w:rFonts w:hint="eastAsia" w:ascii="仿宋" w:hAnsi="仿宋" w:eastAsia="仿宋" w:cs="仿宋"/>
                <w:color w:val="000000"/>
                <w:lang w:eastAsia="ar-SA"/>
              </w:rPr>
              <w:t>支出</w:t>
            </w:r>
          </w:p>
        </w:tc>
      </w:tr>
      <w:tr>
        <w:tblPrEx>
          <w:tblLayout w:type="fixed"/>
          <w:tblCellMar>
            <w:top w:w="0" w:type="dxa"/>
            <w:left w:w="108" w:type="dxa"/>
            <w:bottom w:w="0" w:type="dxa"/>
            <w:right w:w="108" w:type="dxa"/>
          </w:tblCellMar>
        </w:tblPrEx>
        <w:trPr>
          <w:trHeight w:val="39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rPr>
            </w:pPr>
            <w:r>
              <w:rPr>
                <w:rFonts w:ascii="仿宋" w:hAnsi="仿宋" w:eastAsia="仿宋" w:cs="仿宋"/>
                <w:color w:val="000000"/>
              </w:rPr>
              <w:t>项目</w:t>
            </w:r>
          </w:p>
        </w:tc>
        <w:tc>
          <w:tcPr>
            <w:tcW w:w="1461"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rPr>
            </w:pPr>
            <w:r>
              <w:rPr>
                <w:rFonts w:hint="eastAsia" w:ascii="仿宋" w:hAnsi="仿宋" w:eastAsia="仿宋" w:cs="仿宋"/>
                <w:color w:val="000000"/>
                <w:lang w:eastAsia="ar-SA"/>
              </w:rPr>
              <w:t>决算数</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rPr>
            </w:pPr>
            <w:r>
              <w:rPr>
                <w:rFonts w:hint="eastAsia" w:ascii="仿宋" w:hAnsi="仿宋" w:eastAsia="仿宋" w:cs="仿宋"/>
                <w:color w:val="000000"/>
                <w:lang w:eastAsia="ar-SA"/>
              </w:rPr>
              <w:t>按功能分类</w:t>
            </w:r>
          </w:p>
        </w:tc>
        <w:tc>
          <w:tcPr>
            <w:tcW w:w="145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rPr>
            </w:pPr>
            <w:r>
              <w:rPr>
                <w:rFonts w:hint="eastAsia" w:ascii="仿宋" w:hAnsi="仿宋" w:eastAsia="仿宋" w:cs="仿宋"/>
                <w:color w:val="000000"/>
                <w:lang w:eastAsia="ar-SA"/>
              </w:rPr>
              <w:t>决算数</w:t>
            </w: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r>
              <w:rPr>
                <w:rFonts w:hint="eastAsia" w:ascii="仿宋" w:hAnsi="仿宋" w:eastAsia="仿宋" w:cs="仿宋"/>
                <w:sz w:val="20"/>
                <w:lang w:eastAsia="ar-SA"/>
              </w:rPr>
              <w:t>一、一般公共预算财政拨款收入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r>
              <w:rPr>
                <w:rFonts w:hint="eastAsia" w:ascii="仿宋" w:hAnsi="仿宋" w:eastAsia="仿宋" w:cs="仿宋"/>
                <w:color w:val="000000"/>
                <w:lang w:eastAsia="ar-SA"/>
              </w:rPr>
              <w:t>1,568.76</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一、一般公共服务支出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r>
              <w:rPr>
                <w:rFonts w:hint="eastAsia" w:ascii="仿宋" w:hAnsi="仿宋" w:eastAsia="仿宋" w:cs="仿宋"/>
                <w:sz w:val="20"/>
                <w:lang w:eastAsia="ar-SA"/>
              </w:rPr>
              <w:t>二、政府性基金预算财政拨款收入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二、外交支出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r>
              <w:rPr>
                <w:rFonts w:hint="eastAsia" w:ascii="仿宋" w:hAnsi="仿宋" w:eastAsia="仿宋" w:cs="仿宋"/>
                <w:sz w:val="20"/>
                <w:lang w:eastAsia="ar-SA"/>
              </w:rPr>
              <w:t>三、国有资本经营预算财政拨款收入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三、国防支出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r>
              <w:rPr>
                <w:rFonts w:hint="eastAsia" w:ascii="仿宋" w:hAnsi="仿宋" w:eastAsia="仿宋" w:cs="仿宋"/>
                <w:sz w:val="20"/>
                <w:lang w:eastAsia="ar-SA"/>
              </w:rPr>
              <w:t>四、上级补助收入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四、公共安全支出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r>
              <w:rPr>
                <w:rFonts w:hint="eastAsia" w:ascii="仿宋" w:hAnsi="仿宋" w:eastAsia="仿宋" w:cs="仿宋"/>
                <w:sz w:val="20"/>
                <w:lang w:eastAsia="ar-SA"/>
              </w:rPr>
              <w:t>五、事业收入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r>
              <w:rPr>
                <w:rFonts w:hint="eastAsia" w:ascii="仿宋" w:hAnsi="仿宋" w:eastAsia="仿宋" w:cs="仿宋"/>
                <w:color w:val="000000"/>
                <w:lang w:eastAsia="ar-SA"/>
              </w:rPr>
              <w:t>189.40</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五、教育支出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r>
              <w:rPr>
                <w:rFonts w:hint="eastAsia" w:ascii="仿宋" w:hAnsi="仿宋" w:eastAsia="仿宋" w:cs="仿宋"/>
                <w:sz w:val="20"/>
                <w:lang w:eastAsia="ar-SA"/>
              </w:rPr>
              <w:t>六、经营收入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六、科学技术支出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r>
              <w:rPr>
                <w:rFonts w:hint="eastAsia" w:ascii="仿宋" w:hAnsi="仿宋" w:eastAsia="仿宋" w:cs="仿宋"/>
                <w:sz w:val="20"/>
                <w:lang w:eastAsia="ar-SA"/>
              </w:rPr>
              <w:t>七、附属单位上缴收入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七、文化旅游体育与传媒支出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r>
              <w:rPr>
                <w:rFonts w:hint="eastAsia" w:ascii="仿宋" w:hAnsi="仿宋" w:eastAsia="仿宋" w:cs="仿宋"/>
                <w:sz w:val="20"/>
                <w:lang w:eastAsia="ar-SA"/>
              </w:rPr>
              <w:t>八、其他收入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八、社会保障和就业支出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r>
              <w:rPr>
                <w:rFonts w:hint="eastAsia" w:ascii="仿宋" w:hAnsi="仿宋" w:eastAsia="仿宋" w:cs="仿宋"/>
                <w:color w:val="000000"/>
                <w:lang w:eastAsia="ar-SA"/>
              </w:rPr>
              <w:t>1,502.50</w:t>
            </w: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九、卫生健康支出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十、节能环保支出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十一、城乡社区支出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十二、农林水支出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十三、交通运输支出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十四、资源勘探工业信息等支出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十五、商业服务业等支出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十六、金融支出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十七、援助其他地区支出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十八、自然资源海洋气象等支出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十九、住房保障支出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r>
              <w:rPr>
                <w:rFonts w:hint="eastAsia" w:ascii="仿宋" w:hAnsi="仿宋" w:eastAsia="仿宋" w:cs="仿宋"/>
                <w:color w:val="000000"/>
                <w:lang w:eastAsia="ar-SA"/>
              </w:rPr>
              <w:t>444.91</w:t>
            </w: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二十、粮油物资储备支出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二十一、国有资本经营预算支出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二十二、灾害防治及应急管理支出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二十三、其他支出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二十四、债务还本支出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二十五、债务付息支出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二十六、抗疫特别国债安排的支出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454" w:hRule="exac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rPr>
            </w:pPr>
            <w:r>
              <w:rPr>
                <w:rFonts w:hint="eastAsia" w:ascii="仿宋" w:hAnsi="仿宋" w:eastAsia="仿宋" w:cs="仿宋"/>
                <w:b/>
                <w:bCs/>
                <w:color w:val="000000"/>
                <w:lang w:eastAsia="ar-SA"/>
              </w:rPr>
              <w:t>本年收入合计</w:t>
            </w:r>
          </w:p>
        </w:tc>
        <w:tc>
          <w:tcPr>
            <w:tcW w:w="1461"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color w:val="000000"/>
              </w:rPr>
            </w:pPr>
            <w:r>
              <w:rPr>
                <w:rFonts w:hint="eastAsia" w:ascii="仿宋" w:hAnsi="仿宋" w:eastAsia="仿宋" w:cs="仿宋"/>
                <w:color w:val="000000"/>
                <w:lang w:eastAsia="ar-SA"/>
              </w:rPr>
              <w:t>1,758.16</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b/>
                <w:bCs/>
                <w:color w:val="000000"/>
              </w:rPr>
            </w:pPr>
            <w:r>
              <w:rPr>
                <w:rFonts w:hint="eastAsia" w:ascii="仿宋" w:hAnsi="仿宋" w:eastAsia="仿宋" w:cs="仿宋"/>
                <w:b/>
                <w:bCs/>
                <w:color w:val="000000"/>
                <w:lang w:eastAsia="ar-SA"/>
              </w:rPr>
              <w:t>本年支出合计</w:t>
            </w:r>
          </w:p>
        </w:tc>
        <w:tc>
          <w:tcPr>
            <w:tcW w:w="1458"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color w:val="000000"/>
              </w:rPr>
            </w:pPr>
            <w:r>
              <w:rPr>
                <w:rFonts w:hint="eastAsia" w:ascii="仿宋" w:hAnsi="仿宋" w:eastAsia="仿宋" w:cs="仿宋"/>
                <w:color w:val="000000"/>
                <w:lang w:eastAsia="ar-SA"/>
              </w:rPr>
              <w:t>1,947.41</w:t>
            </w:r>
          </w:p>
        </w:tc>
      </w:tr>
      <w:tr>
        <w:tblPrEx>
          <w:tblLayout w:type="fixed"/>
          <w:tblCellMar>
            <w:top w:w="0" w:type="dxa"/>
            <w:left w:w="108" w:type="dxa"/>
            <w:bottom w:w="0" w:type="dxa"/>
            <w:right w:w="108" w:type="dxa"/>
          </w:tblCellMar>
        </w:tblPrEx>
        <w:trPr>
          <w:trHeight w:val="413"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ind w:firstLine="220" w:firstLineChars="100"/>
              <w:rPr>
                <w:rFonts w:ascii="仿宋" w:hAnsi="仿宋" w:eastAsia="仿宋" w:cs="仿宋"/>
                <w:color w:val="000000"/>
              </w:rPr>
            </w:pPr>
            <w:r>
              <w:rPr>
                <w:rFonts w:hint="eastAsia" w:ascii="仿宋" w:hAnsi="仿宋" w:eastAsia="仿宋" w:cs="仿宋"/>
                <w:color w:val="000000"/>
                <w:lang w:eastAsia="ar-SA"/>
              </w:rPr>
              <w:t>使用非财政拨款结余</w:t>
            </w:r>
          </w:p>
        </w:tc>
        <w:tc>
          <w:tcPr>
            <w:tcW w:w="1461"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color w:val="000000"/>
                <w:lang w:eastAsia="ar-SA"/>
              </w:rPr>
            </w:pPr>
            <w:r>
              <w:rPr>
                <w:rFonts w:hint="eastAsia" w:ascii="仿宋" w:hAnsi="仿宋" w:eastAsia="仿宋" w:cs="仿宋"/>
                <w:color w:val="000000"/>
                <w:lang w:eastAsia="ar-SA"/>
              </w:rPr>
              <w:t>166.26</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ind w:firstLine="220" w:firstLineChars="100"/>
              <w:rPr>
                <w:rFonts w:ascii="仿宋" w:hAnsi="仿宋" w:eastAsia="仿宋" w:cs="仿宋"/>
                <w:color w:val="000000"/>
              </w:rPr>
            </w:pPr>
            <w:r>
              <w:rPr>
                <w:rFonts w:hint="eastAsia" w:ascii="仿宋" w:hAnsi="仿宋" w:eastAsia="仿宋" w:cs="仿宋"/>
                <w:color w:val="000000"/>
                <w:lang w:eastAsia="ar-SA"/>
              </w:rPr>
              <w:t>结余分配</w:t>
            </w:r>
          </w:p>
        </w:tc>
        <w:tc>
          <w:tcPr>
            <w:tcW w:w="1458"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color w:val="000000"/>
              </w:rPr>
            </w:pPr>
          </w:p>
        </w:tc>
      </w:tr>
      <w:tr>
        <w:tblPrEx>
          <w:tblLayout w:type="fixed"/>
          <w:tblCellMar>
            <w:top w:w="0" w:type="dxa"/>
            <w:left w:w="108" w:type="dxa"/>
            <w:bottom w:w="0" w:type="dxa"/>
            <w:right w:w="108" w:type="dxa"/>
          </w:tblCellMar>
        </w:tblPrEx>
        <w:trPr>
          <w:trHeight w:val="413"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ind w:firstLine="220" w:firstLineChars="100"/>
              <w:rPr>
                <w:rFonts w:ascii="仿宋" w:hAnsi="仿宋" w:eastAsia="仿宋" w:cs="仿宋"/>
                <w:color w:val="000000"/>
              </w:rPr>
            </w:pPr>
            <w:r>
              <w:rPr>
                <w:rFonts w:hint="eastAsia" w:ascii="仿宋" w:hAnsi="仿宋" w:eastAsia="仿宋" w:cs="仿宋"/>
                <w:color w:val="000000"/>
                <w:lang w:eastAsia="ar-SA"/>
              </w:rPr>
              <w:t>年初结转和结余</w:t>
            </w:r>
          </w:p>
        </w:tc>
        <w:tc>
          <w:tcPr>
            <w:tcW w:w="1461"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color w:val="000000"/>
                <w:lang w:eastAsia="ar-SA"/>
              </w:rPr>
            </w:pPr>
            <w:r>
              <w:rPr>
                <w:rFonts w:hint="eastAsia" w:ascii="仿宋" w:hAnsi="仿宋" w:eastAsia="仿宋" w:cs="仿宋"/>
                <w:color w:val="000000"/>
                <w:lang w:eastAsia="ar-SA"/>
              </w:rPr>
              <w:t>25.49</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ind w:firstLine="220" w:firstLineChars="100"/>
              <w:rPr>
                <w:rFonts w:ascii="仿宋" w:hAnsi="仿宋" w:eastAsia="仿宋" w:cs="仿宋"/>
                <w:color w:val="000000"/>
              </w:rPr>
            </w:pPr>
            <w:r>
              <w:rPr>
                <w:rFonts w:hint="eastAsia" w:ascii="仿宋" w:hAnsi="仿宋" w:eastAsia="仿宋" w:cs="仿宋"/>
                <w:color w:val="000000"/>
                <w:lang w:eastAsia="ar-SA"/>
              </w:rPr>
              <w:t>年末结转和结余</w:t>
            </w:r>
          </w:p>
        </w:tc>
        <w:tc>
          <w:tcPr>
            <w:tcW w:w="1458"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color w:val="000000"/>
              </w:rPr>
            </w:pPr>
            <w:r>
              <w:rPr>
                <w:rFonts w:hint="eastAsia" w:ascii="仿宋" w:hAnsi="仿宋" w:eastAsia="仿宋" w:cs="仿宋"/>
                <w:color w:val="000000"/>
                <w:lang w:eastAsia="ar-SA"/>
              </w:rPr>
              <w:t>2.49</w:t>
            </w:r>
          </w:p>
        </w:tc>
      </w:tr>
      <w:tr>
        <w:tblPrEx>
          <w:tblLayout w:type="fixed"/>
          <w:tblCellMar>
            <w:top w:w="0" w:type="dxa"/>
            <w:left w:w="108" w:type="dxa"/>
            <w:bottom w:w="0" w:type="dxa"/>
            <w:right w:w="108" w:type="dxa"/>
          </w:tblCellMar>
        </w:tblPrEx>
        <w:trPr>
          <w:trHeight w:val="383" w:hRule="atLeast"/>
          <w:jc w:val="center"/>
        </w:trPr>
        <w:tc>
          <w:tcPr>
            <w:tcW w:w="3784" w:type="dxa"/>
            <w:tcBorders>
              <w:top w:val="single" w:color="000000" w:sz="4" w:space="0"/>
              <w:left w:val="single" w:color="000000" w:sz="4" w:space="0"/>
              <w:bottom w:val="single" w:color="000000" w:sz="4" w:space="0"/>
              <w:right w:val="single" w:color="000000" w:sz="4" w:space="0"/>
            </w:tcBorders>
          </w:tcPr>
          <w:p>
            <w:pPr>
              <w:rPr>
                <w:rFonts w:ascii="仿宋" w:hAnsi="仿宋" w:eastAsia="仿宋" w:cs="仿宋"/>
                <w:color w:val="000000"/>
              </w:rPr>
            </w:pPr>
          </w:p>
        </w:tc>
        <w:tc>
          <w:tcPr>
            <w:tcW w:w="1461" w:type="dxa"/>
            <w:tcBorders>
              <w:top w:val="single" w:color="000000" w:sz="4" w:space="0"/>
              <w:left w:val="single" w:color="000000" w:sz="4" w:space="0"/>
              <w:bottom w:val="single" w:color="000000" w:sz="4" w:space="0"/>
              <w:right w:val="single" w:color="000000" w:sz="4" w:space="0"/>
            </w:tcBorders>
          </w:tcPr>
          <w:p>
            <w:pPr>
              <w:rPr>
                <w:rFonts w:ascii="仿宋" w:hAnsi="仿宋" w:eastAsia="仿宋" w:cs="仿宋"/>
                <w:color w:val="000000"/>
              </w:rPr>
            </w:pPr>
          </w:p>
        </w:tc>
        <w:tc>
          <w:tcPr>
            <w:tcW w:w="3744" w:type="dxa"/>
            <w:gridSpan w:val="2"/>
            <w:tcBorders>
              <w:top w:val="single" w:color="000000" w:sz="4" w:space="0"/>
              <w:left w:val="single" w:color="000000" w:sz="4" w:space="0"/>
              <w:bottom w:val="single" w:color="000000" w:sz="4" w:space="0"/>
              <w:right w:val="single" w:color="000000" w:sz="4" w:space="0"/>
            </w:tcBorders>
          </w:tcPr>
          <w:p>
            <w:pPr>
              <w:rPr>
                <w:rFonts w:ascii="仿宋" w:hAnsi="仿宋" w:eastAsia="仿宋" w:cs="仿宋"/>
                <w:color w:val="000000"/>
              </w:rPr>
            </w:pPr>
          </w:p>
        </w:tc>
        <w:tc>
          <w:tcPr>
            <w:tcW w:w="1458" w:type="dxa"/>
            <w:tcBorders>
              <w:top w:val="single" w:color="000000" w:sz="4" w:space="0"/>
              <w:left w:val="single" w:color="000000" w:sz="4" w:space="0"/>
              <w:bottom w:val="single" w:color="000000" w:sz="4" w:space="0"/>
              <w:right w:val="single" w:color="000000" w:sz="4" w:space="0"/>
            </w:tcBorders>
          </w:tcPr>
          <w:p>
            <w:pPr>
              <w:rPr>
                <w:rFonts w:ascii="仿宋" w:hAnsi="仿宋" w:eastAsia="仿宋" w:cs="仿宋"/>
                <w:color w:val="000000"/>
              </w:rPr>
            </w:pPr>
          </w:p>
        </w:tc>
      </w:tr>
      <w:tr>
        <w:tblPrEx>
          <w:tblLayout w:type="fixed"/>
          <w:tblCellMar>
            <w:top w:w="0" w:type="dxa"/>
            <w:left w:w="108" w:type="dxa"/>
            <w:bottom w:w="0" w:type="dxa"/>
            <w:right w:w="108" w:type="dxa"/>
          </w:tblCellMar>
        </w:tblPrEx>
        <w:trPr>
          <w:cantSplit/>
          <w:trHeight w:val="454" w:hRule="exac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rPr>
            </w:pPr>
            <w:r>
              <w:rPr>
                <w:rFonts w:hint="eastAsia" w:ascii="仿宋" w:hAnsi="仿宋" w:eastAsia="仿宋" w:cs="仿宋"/>
                <w:b/>
                <w:color w:val="000000"/>
                <w:lang w:eastAsia="ar-SA"/>
              </w:rPr>
              <w:t>总计</w:t>
            </w:r>
          </w:p>
        </w:tc>
        <w:tc>
          <w:tcPr>
            <w:tcW w:w="1461"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color w:val="000000"/>
              </w:rPr>
            </w:pPr>
            <w:r>
              <w:rPr>
                <w:rFonts w:hint="eastAsia" w:ascii="仿宋" w:hAnsi="仿宋" w:eastAsia="仿宋" w:cs="仿宋"/>
                <w:color w:val="000000"/>
                <w:lang w:eastAsia="ar-SA"/>
              </w:rPr>
              <w:t>1,949.90</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rPr>
            </w:pPr>
            <w:r>
              <w:rPr>
                <w:rFonts w:hint="eastAsia" w:ascii="仿宋" w:hAnsi="仿宋" w:eastAsia="仿宋" w:cs="仿宋"/>
                <w:b/>
                <w:color w:val="000000"/>
                <w:lang w:eastAsia="ar-SA"/>
              </w:rPr>
              <w:t>总计</w:t>
            </w:r>
          </w:p>
        </w:tc>
        <w:tc>
          <w:tcPr>
            <w:tcW w:w="1458"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color w:val="000000"/>
              </w:rPr>
            </w:pPr>
            <w:r>
              <w:rPr>
                <w:rFonts w:hint="eastAsia" w:ascii="仿宋" w:hAnsi="仿宋" w:eastAsia="仿宋" w:cs="仿宋"/>
                <w:color w:val="000000"/>
                <w:lang w:eastAsia="ar-SA"/>
              </w:rPr>
              <w:t>1,949.90</w:t>
            </w:r>
          </w:p>
        </w:tc>
      </w:tr>
    </w:tbl>
    <w:p>
      <w:pPr>
        <w:spacing w:before="66"/>
        <w:jc w:val="both"/>
        <w:rPr>
          <w:rFonts w:ascii="仿宋" w:hAnsi="仿宋" w:eastAsia="仿宋" w:cs="仿宋"/>
          <w:color w:val="000000"/>
          <w:lang w:val="en-US"/>
        </w:rPr>
      </w:pPr>
      <w:r>
        <w:rPr>
          <w:rFonts w:hint="eastAsia" w:ascii="仿宋" w:hAnsi="仿宋" w:eastAsia="仿宋" w:cs="仿宋"/>
          <w:color w:val="000000"/>
          <w:lang w:val="en-US"/>
        </w:rPr>
        <w:t>注：本表反映本年度的总收支和年末结转结余情况。本表金额单位转换时可能存在尾数误差。</w:t>
      </w:r>
    </w:p>
    <w:p>
      <w:pPr>
        <w:spacing w:before="66"/>
        <w:jc w:val="both"/>
        <w:rPr>
          <w:rFonts w:ascii="仿宋" w:hAnsi="仿宋" w:eastAsia="仿宋" w:cs="仿宋"/>
          <w:color w:val="000000"/>
        </w:rPr>
        <w:sectPr>
          <w:footerReference r:id="rId7" w:type="default"/>
          <w:pgSz w:w="11906" w:h="16838"/>
          <w:pgMar w:top="720" w:right="720" w:bottom="720" w:left="720" w:header="170" w:footer="280" w:gutter="0"/>
          <w:pgNumType w:fmt="numberInDash"/>
          <w:cols w:space="720" w:num="1"/>
          <w:formProt w:val="0"/>
          <w:docGrid w:linePitch="100" w:charSpace="0"/>
        </w:sectPr>
      </w:pPr>
    </w:p>
    <w:tbl>
      <w:tblPr>
        <w:tblStyle w:val="13"/>
        <w:tblW w:w="15439" w:type="dxa"/>
        <w:jc w:val="center"/>
        <w:tblInd w:w="0" w:type="dxa"/>
        <w:tblLayout w:type="fixed"/>
        <w:tblCellMar>
          <w:top w:w="0" w:type="dxa"/>
          <w:left w:w="108" w:type="dxa"/>
          <w:bottom w:w="0" w:type="dxa"/>
          <w:right w:w="108" w:type="dxa"/>
        </w:tblCellMar>
      </w:tblPr>
      <w:tblGrid>
        <w:gridCol w:w="1115"/>
        <w:gridCol w:w="2925"/>
        <w:gridCol w:w="1592"/>
        <w:gridCol w:w="1604"/>
        <w:gridCol w:w="1565"/>
        <w:gridCol w:w="1396"/>
        <w:gridCol w:w="1578"/>
        <w:gridCol w:w="1174"/>
        <w:gridCol w:w="1277"/>
        <w:gridCol w:w="1213"/>
      </w:tblGrid>
      <w:tr>
        <w:tblPrEx>
          <w:tblLayout w:type="fixed"/>
          <w:tblCellMar>
            <w:top w:w="0" w:type="dxa"/>
            <w:left w:w="108" w:type="dxa"/>
            <w:bottom w:w="0" w:type="dxa"/>
            <w:right w:w="108" w:type="dxa"/>
          </w:tblCellMar>
        </w:tblPrEx>
        <w:trPr>
          <w:trHeight w:val="627" w:hRule="atLeast"/>
          <w:jc w:val="center"/>
        </w:trPr>
        <w:tc>
          <w:tcPr>
            <w:tcW w:w="15439" w:type="dxa"/>
            <w:gridSpan w:val="10"/>
            <w:vAlign w:val="center"/>
          </w:tcPr>
          <w:p>
            <w:pPr>
              <w:pStyle w:val="5"/>
              <w:rPr>
                <w:rFonts w:ascii="仿宋" w:hAnsi="仿宋" w:eastAsia="仿宋" w:cs="仿宋"/>
                <w:b/>
                <w:bCs/>
                <w:sz w:val="44"/>
                <w:szCs w:val="44"/>
                <w:lang w:val="en-US"/>
              </w:rPr>
            </w:pPr>
            <w:r>
              <w:rPr>
                <w:rFonts w:hint="eastAsia" w:ascii="宋体" w:hAnsi="宋体" w:eastAsia="宋体" w:cs="宋体"/>
                <w:b/>
                <w:bCs/>
                <w:color w:val="000000"/>
                <w:lang w:eastAsia="ar-SA"/>
              </w:rPr>
              <w:t>收入决算表</w:t>
            </w:r>
          </w:p>
        </w:tc>
      </w:tr>
      <w:tr>
        <w:tblPrEx>
          <w:tblLayout w:type="fixed"/>
          <w:tblCellMar>
            <w:top w:w="0" w:type="dxa"/>
            <w:left w:w="108" w:type="dxa"/>
            <w:bottom w:w="0" w:type="dxa"/>
            <w:right w:w="108" w:type="dxa"/>
          </w:tblCellMar>
        </w:tblPrEx>
        <w:trPr>
          <w:trHeight w:val="314" w:hRule="atLeast"/>
          <w:jc w:val="center"/>
        </w:trPr>
        <w:tc>
          <w:tcPr>
            <w:tcW w:w="4040" w:type="dxa"/>
            <w:gridSpan w:val="2"/>
            <w:vAlign w:val="center"/>
          </w:tcPr>
          <w:p>
            <w:pPr>
              <w:pStyle w:val="22"/>
              <w:jc w:val="center"/>
              <w:rPr>
                <w:rFonts w:ascii="仿宋" w:hAnsi="仿宋" w:eastAsia="仿宋" w:cs="仿宋"/>
              </w:rPr>
            </w:pPr>
          </w:p>
        </w:tc>
        <w:tc>
          <w:tcPr>
            <w:tcW w:w="1592" w:type="dxa"/>
            <w:vAlign w:val="center"/>
          </w:tcPr>
          <w:p>
            <w:pPr>
              <w:pStyle w:val="22"/>
              <w:jc w:val="center"/>
              <w:rPr>
                <w:rFonts w:ascii="仿宋" w:hAnsi="仿宋" w:eastAsia="仿宋" w:cs="仿宋"/>
              </w:rPr>
            </w:pPr>
          </w:p>
        </w:tc>
        <w:tc>
          <w:tcPr>
            <w:tcW w:w="1604" w:type="dxa"/>
            <w:vAlign w:val="center"/>
          </w:tcPr>
          <w:p>
            <w:pPr>
              <w:pStyle w:val="22"/>
              <w:jc w:val="center"/>
              <w:rPr>
                <w:rFonts w:ascii="仿宋" w:hAnsi="仿宋" w:eastAsia="仿宋" w:cs="仿宋"/>
              </w:rPr>
            </w:pPr>
          </w:p>
        </w:tc>
        <w:tc>
          <w:tcPr>
            <w:tcW w:w="1565" w:type="dxa"/>
            <w:vAlign w:val="center"/>
          </w:tcPr>
          <w:p>
            <w:pPr>
              <w:pStyle w:val="22"/>
              <w:jc w:val="center"/>
              <w:rPr>
                <w:rFonts w:ascii="仿宋" w:hAnsi="仿宋" w:eastAsia="仿宋" w:cs="仿宋"/>
              </w:rPr>
            </w:pPr>
          </w:p>
        </w:tc>
        <w:tc>
          <w:tcPr>
            <w:tcW w:w="2974" w:type="dxa"/>
            <w:gridSpan w:val="2"/>
            <w:vAlign w:val="center"/>
          </w:tcPr>
          <w:p>
            <w:pPr>
              <w:pStyle w:val="22"/>
              <w:jc w:val="center"/>
              <w:rPr>
                <w:rFonts w:ascii="仿宋" w:hAnsi="仿宋" w:eastAsia="仿宋" w:cs="仿宋"/>
              </w:rPr>
            </w:pPr>
          </w:p>
        </w:tc>
        <w:tc>
          <w:tcPr>
            <w:tcW w:w="1174" w:type="dxa"/>
            <w:vAlign w:val="center"/>
          </w:tcPr>
          <w:p>
            <w:pPr>
              <w:pStyle w:val="22"/>
              <w:jc w:val="center"/>
              <w:rPr>
                <w:rFonts w:ascii="仿宋" w:hAnsi="仿宋" w:eastAsia="仿宋" w:cs="仿宋"/>
              </w:rPr>
            </w:pPr>
          </w:p>
        </w:tc>
        <w:tc>
          <w:tcPr>
            <w:tcW w:w="2490" w:type="dxa"/>
            <w:gridSpan w:val="2"/>
            <w:vAlign w:val="center"/>
          </w:tcPr>
          <w:p>
            <w:pPr>
              <w:pStyle w:val="22"/>
              <w:jc w:val="right"/>
              <w:rPr>
                <w:rFonts w:ascii="仿宋" w:hAnsi="仿宋" w:eastAsia="仿宋" w:cs="仿宋"/>
              </w:rPr>
            </w:pPr>
            <w:r>
              <w:rPr>
                <w:rFonts w:hint="eastAsia" w:ascii="仿宋" w:hAnsi="仿宋" w:eastAsia="仿宋" w:cs="仿宋"/>
              </w:rPr>
              <w:t>公开02表</w:t>
            </w:r>
          </w:p>
        </w:tc>
      </w:tr>
      <w:tr>
        <w:tblPrEx>
          <w:tblLayout w:type="fixed"/>
          <w:tblCellMar>
            <w:top w:w="0" w:type="dxa"/>
            <w:left w:w="108" w:type="dxa"/>
            <w:bottom w:w="0" w:type="dxa"/>
            <w:right w:w="108" w:type="dxa"/>
          </w:tblCellMar>
        </w:tblPrEx>
        <w:trPr>
          <w:trHeight w:val="376" w:hRule="atLeast"/>
          <w:jc w:val="center"/>
        </w:trPr>
        <w:tc>
          <w:tcPr>
            <w:tcW w:w="12949" w:type="dxa"/>
            <w:gridSpan w:val="8"/>
            <w:vAlign w:val="center"/>
          </w:tcPr>
          <w:p>
            <w:pPr>
              <w:pStyle w:val="22"/>
              <w:rPr>
                <w:rFonts w:ascii="仿宋" w:hAnsi="仿宋" w:eastAsia="仿宋" w:cs="仿宋"/>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江苏省立新农场</w:t>
            </w:r>
          </w:p>
        </w:tc>
        <w:tc>
          <w:tcPr>
            <w:tcW w:w="2490" w:type="dxa"/>
            <w:gridSpan w:val="2"/>
            <w:vAlign w:val="center"/>
          </w:tcPr>
          <w:p>
            <w:pPr>
              <w:pStyle w:val="22"/>
              <w:jc w:val="right"/>
              <w:rPr>
                <w:rFonts w:ascii="仿宋" w:hAnsi="仿宋" w:eastAsia="仿宋" w:cs="仿宋"/>
              </w:rPr>
            </w:pPr>
            <w:r>
              <w:rPr>
                <w:rFonts w:hint="eastAsia" w:ascii="仿宋" w:hAnsi="仿宋" w:eastAsia="仿宋" w:cs="仿宋"/>
              </w:rPr>
              <w:t>金额单位：万元</w:t>
            </w:r>
          </w:p>
        </w:tc>
      </w:tr>
      <w:tr>
        <w:tblPrEx>
          <w:tblLayout w:type="fixed"/>
          <w:tblCellMar>
            <w:top w:w="0" w:type="dxa"/>
            <w:left w:w="108" w:type="dxa"/>
            <w:bottom w:w="0" w:type="dxa"/>
            <w:right w:w="108" w:type="dxa"/>
          </w:tblCellMar>
        </w:tblPrEx>
        <w:trPr>
          <w:cantSplit/>
          <w:trHeight w:val="312" w:hRule="atLeast"/>
          <w:jc w:val="center"/>
        </w:trPr>
        <w:tc>
          <w:tcPr>
            <w:tcW w:w="4040" w:type="dxa"/>
            <w:gridSpan w:val="2"/>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项目</w:t>
            </w:r>
          </w:p>
        </w:tc>
        <w:tc>
          <w:tcPr>
            <w:tcW w:w="1592" w:type="dxa"/>
            <w:vMerge w:val="restart"/>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本年收入合计</w:t>
            </w:r>
          </w:p>
        </w:tc>
        <w:tc>
          <w:tcPr>
            <w:tcW w:w="1604" w:type="dxa"/>
            <w:vMerge w:val="restart"/>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财政拨款收入</w:t>
            </w:r>
          </w:p>
        </w:tc>
        <w:tc>
          <w:tcPr>
            <w:tcW w:w="1565" w:type="dxa"/>
            <w:vMerge w:val="restart"/>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上级补助收入</w:t>
            </w:r>
          </w:p>
        </w:tc>
        <w:tc>
          <w:tcPr>
            <w:tcW w:w="1396" w:type="dxa"/>
            <w:vMerge w:val="restart"/>
            <w:tcBorders>
              <w:top w:val="single" w:color="000000" w:sz="4" w:space="0"/>
              <w:left w:val="single" w:color="000000" w:sz="4" w:space="0"/>
            </w:tcBorders>
            <w:vAlign w:val="center"/>
          </w:tcPr>
          <w:p>
            <w:pPr>
              <w:pStyle w:val="22"/>
              <w:jc w:val="center"/>
              <w:rPr>
                <w:rFonts w:ascii="仿宋" w:hAnsi="仿宋" w:eastAsia="仿宋" w:cs="仿宋"/>
              </w:rPr>
            </w:pPr>
            <w:r>
              <w:rPr>
                <w:rFonts w:hint="eastAsia" w:ascii="仿宋" w:hAnsi="仿宋" w:eastAsia="仿宋" w:cs="仿宋"/>
              </w:rPr>
              <w:t>财政专户管理教育收费</w:t>
            </w:r>
          </w:p>
        </w:tc>
        <w:tc>
          <w:tcPr>
            <w:tcW w:w="1578" w:type="dxa"/>
            <w:vMerge w:val="restart"/>
            <w:tcBorders>
              <w:top w:val="single" w:color="000000" w:sz="4" w:space="0"/>
              <w:left w:val="single" w:color="000000" w:sz="4" w:space="0"/>
            </w:tcBorders>
            <w:vAlign w:val="center"/>
          </w:tcPr>
          <w:p>
            <w:pPr>
              <w:pStyle w:val="22"/>
              <w:jc w:val="center"/>
              <w:rPr>
                <w:rFonts w:ascii="仿宋" w:hAnsi="仿宋" w:eastAsia="仿宋" w:cs="仿宋"/>
              </w:rPr>
            </w:pPr>
            <w:r>
              <w:rPr>
                <w:rFonts w:hint="eastAsia" w:ascii="仿宋" w:hAnsi="仿宋" w:eastAsia="仿宋" w:cs="仿宋"/>
              </w:rPr>
              <w:t>事业收入（不含专户管理教育收费）</w:t>
            </w:r>
          </w:p>
        </w:tc>
        <w:tc>
          <w:tcPr>
            <w:tcW w:w="1174" w:type="dxa"/>
            <w:vMerge w:val="restart"/>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经营收入</w:t>
            </w:r>
          </w:p>
        </w:tc>
        <w:tc>
          <w:tcPr>
            <w:tcW w:w="1277" w:type="dxa"/>
            <w:vMerge w:val="restart"/>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附属单位上缴收入</w:t>
            </w:r>
          </w:p>
        </w:tc>
        <w:tc>
          <w:tcPr>
            <w:tcW w:w="1213" w:type="dxa"/>
            <w:vMerge w:val="restart"/>
            <w:tcBorders>
              <w:top w:val="single" w:color="000000" w:sz="4" w:space="0"/>
              <w:left w:val="single" w:color="000000" w:sz="4" w:space="0"/>
              <w:bottom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其他收入</w:t>
            </w:r>
          </w:p>
        </w:tc>
      </w:tr>
      <w:tr>
        <w:tblPrEx>
          <w:tblLayout w:type="fixed"/>
          <w:tblCellMar>
            <w:top w:w="0" w:type="dxa"/>
            <w:left w:w="108" w:type="dxa"/>
            <w:bottom w:w="0" w:type="dxa"/>
            <w:right w:w="108" w:type="dxa"/>
          </w:tblCellMar>
        </w:tblPrEx>
        <w:trPr>
          <w:cantSplit/>
          <w:trHeight w:val="220" w:hRule="atLeast"/>
          <w:jc w:val="center"/>
        </w:trPr>
        <w:tc>
          <w:tcPr>
            <w:tcW w:w="1115"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功能分类</w:t>
            </w:r>
          </w:p>
          <w:p>
            <w:pPr>
              <w:pStyle w:val="22"/>
              <w:jc w:val="center"/>
              <w:rPr>
                <w:rFonts w:ascii="仿宋" w:hAnsi="仿宋" w:eastAsia="仿宋" w:cs="仿宋"/>
              </w:rPr>
            </w:pPr>
            <w:r>
              <w:rPr>
                <w:rFonts w:hint="eastAsia" w:ascii="仿宋" w:hAnsi="仿宋" w:eastAsia="仿宋" w:cs="仿宋"/>
              </w:rPr>
              <w:t>科目编码</w:t>
            </w:r>
          </w:p>
        </w:tc>
        <w:tc>
          <w:tcPr>
            <w:tcW w:w="2925"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科目名称</w:t>
            </w:r>
          </w:p>
        </w:tc>
        <w:tc>
          <w:tcPr>
            <w:tcW w:w="1592" w:type="dxa"/>
            <w:vMerge w:val="continue"/>
            <w:tcBorders>
              <w:left w:val="single" w:color="000000" w:sz="4" w:space="0"/>
              <w:bottom w:val="single" w:color="000000" w:sz="4" w:space="0"/>
            </w:tcBorders>
          </w:tcPr>
          <w:p>
            <w:pPr>
              <w:rPr>
                <w:rFonts w:ascii="仿宋" w:hAnsi="仿宋" w:eastAsia="仿宋" w:cs="仿宋"/>
              </w:rPr>
            </w:pPr>
          </w:p>
        </w:tc>
        <w:tc>
          <w:tcPr>
            <w:tcW w:w="1604" w:type="dxa"/>
            <w:vMerge w:val="continue"/>
            <w:tcBorders>
              <w:left w:val="single" w:color="000000" w:sz="4" w:space="0"/>
              <w:bottom w:val="single" w:color="000000" w:sz="4" w:space="0"/>
            </w:tcBorders>
          </w:tcPr>
          <w:p>
            <w:pPr>
              <w:rPr>
                <w:rFonts w:ascii="仿宋" w:hAnsi="仿宋" w:eastAsia="仿宋" w:cs="仿宋"/>
              </w:rPr>
            </w:pPr>
          </w:p>
        </w:tc>
        <w:tc>
          <w:tcPr>
            <w:tcW w:w="1565" w:type="dxa"/>
            <w:vMerge w:val="continue"/>
            <w:tcBorders>
              <w:left w:val="single" w:color="000000" w:sz="4" w:space="0"/>
              <w:bottom w:val="single" w:color="000000" w:sz="4" w:space="0"/>
            </w:tcBorders>
          </w:tcPr>
          <w:p>
            <w:pPr>
              <w:rPr>
                <w:rFonts w:ascii="仿宋" w:hAnsi="仿宋" w:eastAsia="仿宋" w:cs="仿宋"/>
              </w:rPr>
            </w:pPr>
          </w:p>
        </w:tc>
        <w:tc>
          <w:tcPr>
            <w:tcW w:w="1396" w:type="dxa"/>
            <w:vMerge w:val="continue"/>
            <w:tcBorders>
              <w:left w:val="single" w:color="000000" w:sz="4" w:space="0"/>
              <w:bottom w:val="single" w:color="000000" w:sz="4" w:space="0"/>
            </w:tcBorders>
            <w:vAlign w:val="center"/>
          </w:tcPr>
          <w:p>
            <w:pPr>
              <w:pStyle w:val="22"/>
              <w:jc w:val="center"/>
              <w:rPr>
                <w:rFonts w:ascii="仿宋" w:hAnsi="仿宋" w:eastAsia="仿宋" w:cs="仿宋"/>
              </w:rPr>
            </w:pPr>
          </w:p>
        </w:tc>
        <w:tc>
          <w:tcPr>
            <w:tcW w:w="1578" w:type="dxa"/>
            <w:vMerge w:val="continue"/>
            <w:tcBorders>
              <w:left w:val="single" w:color="000000" w:sz="4" w:space="0"/>
              <w:bottom w:val="single" w:color="000000" w:sz="4" w:space="0"/>
            </w:tcBorders>
            <w:vAlign w:val="center"/>
          </w:tcPr>
          <w:p>
            <w:pPr>
              <w:pStyle w:val="22"/>
              <w:jc w:val="center"/>
              <w:rPr>
                <w:rFonts w:ascii="仿宋" w:hAnsi="仿宋" w:eastAsia="仿宋" w:cs="仿宋"/>
              </w:rPr>
            </w:pPr>
          </w:p>
        </w:tc>
        <w:tc>
          <w:tcPr>
            <w:tcW w:w="1174" w:type="dxa"/>
            <w:vMerge w:val="continue"/>
            <w:tcBorders>
              <w:left w:val="single" w:color="000000" w:sz="4" w:space="0"/>
              <w:bottom w:val="single" w:color="000000" w:sz="4" w:space="0"/>
            </w:tcBorders>
          </w:tcPr>
          <w:p>
            <w:pPr>
              <w:rPr>
                <w:rFonts w:ascii="仿宋" w:hAnsi="仿宋" w:eastAsia="仿宋" w:cs="仿宋"/>
              </w:rPr>
            </w:pPr>
          </w:p>
        </w:tc>
        <w:tc>
          <w:tcPr>
            <w:tcW w:w="1277" w:type="dxa"/>
            <w:vMerge w:val="continue"/>
            <w:tcBorders>
              <w:left w:val="single" w:color="000000" w:sz="4" w:space="0"/>
              <w:bottom w:val="single" w:color="000000" w:sz="4" w:space="0"/>
            </w:tcBorders>
          </w:tcPr>
          <w:p>
            <w:pPr>
              <w:rPr>
                <w:rFonts w:ascii="仿宋" w:hAnsi="仿宋" w:eastAsia="仿宋" w:cs="仿宋"/>
              </w:rPr>
            </w:pPr>
          </w:p>
        </w:tc>
        <w:tc>
          <w:tcPr>
            <w:tcW w:w="1213" w:type="dxa"/>
            <w:vMerge w:val="continue"/>
            <w:tcBorders>
              <w:left w:val="single" w:color="000000" w:sz="4" w:space="0"/>
              <w:bottom w:val="single" w:color="000000" w:sz="4" w:space="0"/>
              <w:right w:val="single" w:color="000000" w:sz="4" w:space="0"/>
            </w:tcBorders>
          </w:tcPr>
          <w:p>
            <w:pPr>
              <w:rPr>
                <w:rFonts w:ascii="仿宋" w:hAnsi="仿宋" w:eastAsia="仿宋" w:cs="仿宋"/>
              </w:rPr>
            </w:pPr>
          </w:p>
        </w:tc>
      </w:tr>
      <w:tr>
        <w:tblPrEx>
          <w:tblLayout w:type="fixed"/>
          <w:tblCellMar>
            <w:top w:w="0" w:type="dxa"/>
            <w:left w:w="108" w:type="dxa"/>
            <w:bottom w:w="0" w:type="dxa"/>
            <w:right w:w="108" w:type="dxa"/>
          </w:tblCellMar>
        </w:tblPrEx>
        <w:trPr>
          <w:cantSplit/>
          <w:trHeight w:val="432" w:hRule="exact"/>
          <w:jc w:val="center"/>
        </w:trPr>
        <w:tc>
          <w:tcPr>
            <w:tcW w:w="4040" w:type="dxa"/>
            <w:gridSpan w:val="2"/>
            <w:tcBorders>
              <w:left w:val="single" w:color="000000" w:sz="4" w:space="0"/>
              <w:bottom w:val="single" w:color="000000" w:sz="4" w:space="0"/>
            </w:tcBorders>
            <w:vAlign w:val="center"/>
          </w:tcPr>
          <w:p>
            <w:pPr>
              <w:pStyle w:val="22"/>
              <w:jc w:val="center"/>
              <w:rPr>
                <w:rFonts w:ascii="仿宋" w:hAnsi="仿宋" w:eastAsia="仿宋" w:cs="仿宋"/>
              </w:rPr>
            </w:pPr>
            <w:r>
              <w:rPr>
                <w:rFonts w:ascii="仿宋" w:hAnsi="仿宋" w:eastAsia="仿宋" w:cs="仿宋"/>
              </w:rPr>
              <w:t>合计</w:t>
            </w:r>
          </w:p>
        </w:tc>
        <w:tc>
          <w:tcPr>
            <w:tcW w:w="1592" w:type="dxa"/>
            <w:tcBorders>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1,758.16</w:t>
            </w:r>
          </w:p>
        </w:tc>
        <w:tc>
          <w:tcPr>
            <w:tcW w:w="1604" w:type="dxa"/>
            <w:tcBorders>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1,568.76</w:t>
            </w:r>
          </w:p>
        </w:tc>
        <w:tc>
          <w:tcPr>
            <w:tcW w:w="1565" w:type="dxa"/>
            <w:tcBorders>
              <w:left w:val="single" w:color="000000" w:sz="4" w:space="0"/>
              <w:bottom w:val="single" w:color="000000" w:sz="4" w:space="0"/>
            </w:tcBorders>
            <w:vAlign w:val="center"/>
          </w:tcPr>
          <w:p>
            <w:pPr>
              <w:jc w:val="right"/>
              <w:rPr>
                <w:rFonts w:ascii="仿宋" w:hAnsi="仿宋" w:eastAsia="仿宋" w:cs="仿宋"/>
              </w:rPr>
            </w:pPr>
          </w:p>
        </w:tc>
        <w:tc>
          <w:tcPr>
            <w:tcW w:w="1396" w:type="dxa"/>
            <w:tcBorders>
              <w:left w:val="single" w:color="000000" w:sz="4" w:space="0"/>
              <w:bottom w:val="single" w:color="000000" w:sz="4" w:space="0"/>
            </w:tcBorders>
            <w:vAlign w:val="center"/>
          </w:tcPr>
          <w:p>
            <w:pPr>
              <w:jc w:val="right"/>
              <w:rPr>
                <w:rFonts w:ascii="仿宋" w:hAnsi="仿宋" w:eastAsia="仿宋" w:cs="仿宋"/>
              </w:rPr>
            </w:pPr>
          </w:p>
        </w:tc>
        <w:tc>
          <w:tcPr>
            <w:tcW w:w="1578" w:type="dxa"/>
            <w:tcBorders>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189.40</w:t>
            </w:r>
          </w:p>
        </w:tc>
        <w:tc>
          <w:tcPr>
            <w:tcW w:w="1174" w:type="dxa"/>
            <w:tcBorders>
              <w:left w:val="single" w:color="000000" w:sz="4" w:space="0"/>
              <w:bottom w:val="single" w:color="000000" w:sz="4" w:space="0"/>
            </w:tcBorders>
            <w:vAlign w:val="center"/>
          </w:tcPr>
          <w:p>
            <w:pPr>
              <w:jc w:val="right"/>
              <w:rPr>
                <w:rFonts w:ascii="仿宋" w:hAnsi="仿宋" w:eastAsia="仿宋" w:cs="仿宋"/>
              </w:rPr>
            </w:pPr>
          </w:p>
        </w:tc>
        <w:tc>
          <w:tcPr>
            <w:tcW w:w="1277" w:type="dxa"/>
            <w:tcBorders>
              <w:left w:val="single" w:color="000000" w:sz="4" w:space="0"/>
              <w:bottom w:val="single" w:color="000000" w:sz="4" w:space="0"/>
            </w:tcBorders>
            <w:vAlign w:val="center"/>
          </w:tcPr>
          <w:p>
            <w:pPr>
              <w:jc w:val="right"/>
              <w:rPr>
                <w:rFonts w:ascii="仿宋" w:hAnsi="仿宋" w:eastAsia="仿宋" w:cs="仿宋"/>
              </w:rPr>
            </w:pPr>
          </w:p>
        </w:tc>
        <w:tc>
          <w:tcPr>
            <w:tcW w:w="1213" w:type="dxa"/>
            <w:tcBorders>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208</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社会保障和就业支出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1,423.31</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1,286.48</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136.83</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20805</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行政事业单位养老支出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91.74</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91.74</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2080505</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机关事业单位基本养老保险缴费支出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61.16</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61.16</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2080506</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机关事业单位职业年金缴费支出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30.58</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30.58</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20810</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社会福利</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1,331.57</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1,194.74</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136.83</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2081005</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社会福利事业单位</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1,331.57</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1,194.74</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136.83</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221</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住房保障支出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334.84</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282.28</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52.56</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22102</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住房改革支出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334.84</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282.28</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52.56</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2210201</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住房公积金</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52.56</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52.56</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2210202</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提租补贴</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282.28</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282.28</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bl>
    <w:p>
      <w:pPr>
        <w:spacing w:before="66"/>
        <w:jc w:val="both"/>
        <w:rPr>
          <w:rFonts w:ascii="仿宋" w:hAnsi="仿宋" w:eastAsia="仿宋" w:cs="仿宋"/>
        </w:rPr>
      </w:pPr>
      <w:r>
        <w:rPr>
          <w:rFonts w:hint="eastAsia" w:ascii="仿宋" w:hAnsi="仿宋" w:eastAsia="仿宋" w:cs="仿宋"/>
          <w:color w:val="000000"/>
        </w:rPr>
        <w:t>注：</w:t>
      </w:r>
      <w:r>
        <w:rPr>
          <w:rFonts w:hint="eastAsia" w:ascii="仿宋" w:hAnsi="仿宋" w:eastAsia="仿宋" w:cs="仿宋"/>
        </w:rPr>
        <w:t>本表反映本年度取得的各项收入情况。本表金额单位转换时可能存在尾数误差。</w:t>
      </w:r>
    </w:p>
    <w:p>
      <w:pPr>
        <w:spacing w:before="66"/>
        <w:ind w:left="57" w:firstLine="220" w:firstLineChars="100"/>
        <w:jc w:val="both"/>
        <w:rPr>
          <w:rFonts w:ascii="仿宋" w:hAnsi="仿宋" w:eastAsia="仿宋" w:cs="仿宋"/>
        </w:rPr>
        <w:sectPr>
          <w:footerReference r:id="rId8" w:type="default"/>
          <w:pgSz w:w="16838" w:h="11906" w:orient="landscape"/>
          <w:pgMar w:top="720" w:right="720" w:bottom="720" w:left="720" w:header="170" w:footer="280" w:gutter="0"/>
          <w:pgNumType w:fmt="numberInDash"/>
          <w:cols w:space="720" w:num="1"/>
          <w:formProt w:val="0"/>
          <w:docGrid w:linePitch="100" w:charSpace="0"/>
        </w:sectPr>
      </w:pPr>
    </w:p>
    <w:tbl>
      <w:tblPr>
        <w:tblStyle w:val="13"/>
        <w:tblW w:w="15347" w:type="dxa"/>
        <w:tblInd w:w="96" w:type="dxa"/>
        <w:tblLayout w:type="fixed"/>
        <w:tblCellMar>
          <w:top w:w="55" w:type="dxa"/>
          <w:left w:w="55" w:type="dxa"/>
          <w:bottom w:w="55" w:type="dxa"/>
          <w:right w:w="55" w:type="dxa"/>
        </w:tblCellMar>
      </w:tblPr>
      <w:tblGrid>
        <w:gridCol w:w="1556"/>
        <w:gridCol w:w="4183"/>
        <w:gridCol w:w="2011"/>
        <w:gridCol w:w="1486"/>
        <w:gridCol w:w="1564"/>
        <w:gridCol w:w="1593"/>
        <w:gridCol w:w="1472"/>
        <w:gridCol w:w="1482"/>
      </w:tblGrid>
      <w:tr>
        <w:tblPrEx>
          <w:tblLayout w:type="fixed"/>
          <w:tblCellMar>
            <w:top w:w="55" w:type="dxa"/>
            <w:left w:w="55" w:type="dxa"/>
            <w:bottom w:w="55" w:type="dxa"/>
            <w:right w:w="55" w:type="dxa"/>
          </w:tblCellMar>
        </w:tblPrEx>
        <w:trPr>
          <w:trHeight w:val="341" w:hRule="atLeast"/>
        </w:trPr>
        <w:tc>
          <w:tcPr>
            <w:tcW w:w="15347" w:type="dxa"/>
            <w:gridSpan w:val="8"/>
            <w:vAlign w:val="center"/>
          </w:tcPr>
          <w:p>
            <w:pPr>
              <w:pStyle w:val="5"/>
              <w:rPr>
                <w:rFonts w:ascii="仿宋" w:hAnsi="仿宋" w:eastAsia="仿宋" w:cs="仿宋"/>
                <w:b/>
                <w:bCs/>
                <w:sz w:val="44"/>
                <w:szCs w:val="44"/>
              </w:rPr>
            </w:pPr>
            <w:r>
              <w:rPr>
                <w:rFonts w:hint="eastAsia" w:ascii="宋体" w:hAnsi="宋体" w:eastAsia="宋体" w:cs="宋体"/>
                <w:b/>
                <w:bCs/>
                <w:color w:val="000000"/>
                <w:lang w:eastAsia="ar-SA"/>
              </w:rPr>
              <w:t>支出决算表</w:t>
            </w:r>
          </w:p>
        </w:tc>
      </w:tr>
      <w:tr>
        <w:tblPrEx>
          <w:tblLayout w:type="fixed"/>
          <w:tblCellMar>
            <w:top w:w="55" w:type="dxa"/>
            <w:left w:w="55" w:type="dxa"/>
            <w:bottom w:w="55" w:type="dxa"/>
            <w:right w:w="55" w:type="dxa"/>
          </w:tblCellMar>
        </w:tblPrEx>
        <w:trPr>
          <w:trHeight w:val="321" w:hRule="atLeast"/>
        </w:trPr>
        <w:tc>
          <w:tcPr>
            <w:tcW w:w="5739" w:type="dxa"/>
            <w:gridSpan w:val="2"/>
            <w:vAlign w:val="center"/>
          </w:tcPr>
          <w:p>
            <w:pPr>
              <w:pStyle w:val="22"/>
              <w:jc w:val="center"/>
              <w:rPr>
                <w:rFonts w:ascii="仿宋" w:hAnsi="仿宋" w:eastAsia="仿宋" w:cs="仿宋"/>
              </w:rPr>
            </w:pPr>
          </w:p>
        </w:tc>
        <w:tc>
          <w:tcPr>
            <w:tcW w:w="2011" w:type="dxa"/>
            <w:vAlign w:val="center"/>
          </w:tcPr>
          <w:p>
            <w:pPr>
              <w:pStyle w:val="22"/>
              <w:jc w:val="center"/>
              <w:rPr>
                <w:rFonts w:ascii="仿宋" w:hAnsi="仿宋" w:eastAsia="仿宋" w:cs="仿宋"/>
                <w:sz w:val="20"/>
              </w:rPr>
            </w:pPr>
          </w:p>
        </w:tc>
        <w:tc>
          <w:tcPr>
            <w:tcW w:w="1486" w:type="dxa"/>
            <w:vAlign w:val="center"/>
          </w:tcPr>
          <w:p>
            <w:pPr>
              <w:pStyle w:val="22"/>
              <w:jc w:val="center"/>
              <w:rPr>
                <w:rFonts w:ascii="仿宋" w:hAnsi="仿宋" w:eastAsia="仿宋" w:cs="仿宋"/>
                <w:sz w:val="20"/>
              </w:rPr>
            </w:pPr>
          </w:p>
        </w:tc>
        <w:tc>
          <w:tcPr>
            <w:tcW w:w="1564" w:type="dxa"/>
            <w:vAlign w:val="center"/>
          </w:tcPr>
          <w:p>
            <w:pPr>
              <w:pStyle w:val="22"/>
              <w:jc w:val="center"/>
              <w:rPr>
                <w:rFonts w:ascii="仿宋" w:hAnsi="仿宋" w:eastAsia="仿宋" w:cs="仿宋"/>
                <w:sz w:val="20"/>
              </w:rPr>
            </w:pPr>
          </w:p>
        </w:tc>
        <w:tc>
          <w:tcPr>
            <w:tcW w:w="1593" w:type="dxa"/>
            <w:vAlign w:val="center"/>
          </w:tcPr>
          <w:p>
            <w:pPr>
              <w:pStyle w:val="22"/>
              <w:jc w:val="center"/>
              <w:rPr>
                <w:rFonts w:ascii="仿宋" w:hAnsi="仿宋" w:eastAsia="仿宋" w:cs="仿宋"/>
                <w:sz w:val="20"/>
              </w:rPr>
            </w:pPr>
          </w:p>
        </w:tc>
        <w:tc>
          <w:tcPr>
            <w:tcW w:w="2954" w:type="dxa"/>
            <w:gridSpan w:val="2"/>
            <w:vAlign w:val="center"/>
          </w:tcPr>
          <w:p>
            <w:pPr>
              <w:pStyle w:val="22"/>
              <w:jc w:val="right"/>
              <w:rPr>
                <w:rFonts w:ascii="仿宋" w:hAnsi="仿宋" w:eastAsia="仿宋" w:cs="仿宋"/>
              </w:rPr>
            </w:pPr>
            <w:r>
              <w:rPr>
                <w:rFonts w:hint="eastAsia" w:ascii="仿宋" w:hAnsi="仿宋" w:eastAsia="仿宋" w:cs="仿宋"/>
              </w:rPr>
              <w:t>公开03表</w:t>
            </w:r>
          </w:p>
        </w:tc>
      </w:tr>
      <w:tr>
        <w:tblPrEx>
          <w:tblLayout w:type="fixed"/>
          <w:tblCellMar>
            <w:top w:w="55" w:type="dxa"/>
            <w:left w:w="55" w:type="dxa"/>
            <w:bottom w:w="55" w:type="dxa"/>
            <w:right w:w="55" w:type="dxa"/>
          </w:tblCellMar>
        </w:tblPrEx>
        <w:trPr>
          <w:trHeight w:val="321" w:hRule="atLeast"/>
        </w:trPr>
        <w:tc>
          <w:tcPr>
            <w:tcW w:w="12393" w:type="dxa"/>
            <w:gridSpan w:val="6"/>
            <w:vAlign w:val="center"/>
          </w:tcPr>
          <w:p>
            <w:pPr>
              <w:pStyle w:val="22"/>
              <w:rPr>
                <w:rFonts w:ascii="仿宋" w:hAnsi="仿宋" w:eastAsia="仿宋" w:cs="仿宋"/>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江苏省立新农场</w:t>
            </w:r>
          </w:p>
        </w:tc>
        <w:tc>
          <w:tcPr>
            <w:tcW w:w="2954" w:type="dxa"/>
            <w:gridSpan w:val="2"/>
            <w:vAlign w:val="center"/>
          </w:tcPr>
          <w:p>
            <w:pPr>
              <w:pStyle w:val="22"/>
              <w:jc w:val="right"/>
              <w:rPr>
                <w:rFonts w:ascii="仿宋" w:hAnsi="仿宋" w:eastAsia="仿宋" w:cs="仿宋"/>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21" w:hRule="atLeast"/>
        </w:trPr>
        <w:tc>
          <w:tcPr>
            <w:tcW w:w="5739" w:type="dxa"/>
            <w:gridSpan w:val="2"/>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项目</w:t>
            </w:r>
          </w:p>
        </w:tc>
        <w:tc>
          <w:tcPr>
            <w:tcW w:w="2011" w:type="dxa"/>
            <w:vMerge w:val="restart"/>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本年支出合计</w:t>
            </w:r>
          </w:p>
        </w:tc>
        <w:tc>
          <w:tcPr>
            <w:tcW w:w="1486" w:type="dxa"/>
            <w:vMerge w:val="restart"/>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基本支出</w:t>
            </w:r>
          </w:p>
        </w:tc>
        <w:tc>
          <w:tcPr>
            <w:tcW w:w="1564" w:type="dxa"/>
            <w:vMerge w:val="restart"/>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项目支出</w:t>
            </w:r>
          </w:p>
        </w:tc>
        <w:tc>
          <w:tcPr>
            <w:tcW w:w="1593" w:type="dxa"/>
            <w:vMerge w:val="restart"/>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上缴上级支出</w:t>
            </w:r>
          </w:p>
        </w:tc>
        <w:tc>
          <w:tcPr>
            <w:tcW w:w="1472" w:type="dxa"/>
            <w:vMerge w:val="restart"/>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经营支出</w:t>
            </w: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对附属单位补助支出</w:t>
            </w:r>
          </w:p>
        </w:tc>
      </w:tr>
      <w:tr>
        <w:tblPrEx>
          <w:tblLayout w:type="fixed"/>
          <w:tblCellMar>
            <w:top w:w="55" w:type="dxa"/>
            <w:left w:w="55" w:type="dxa"/>
            <w:bottom w:w="55" w:type="dxa"/>
            <w:right w:w="55" w:type="dxa"/>
          </w:tblCellMar>
        </w:tblPrEx>
        <w:trPr>
          <w:trHeight w:val="370" w:hRule="atLeast"/>
        </w:trPr>
        <w:tc>
          <w:tcPr>
            <w:tcW w:w="1556"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功能分类</w:t>
            </w:r>
          </w:p>
          <w:p>
            <w:pPr>
              <w:pStyle w:val="22"/>
              <w:jc w:val="center"/>
              <w:rPr>
                <w:rFonts w:ascii="仿宋" w:hAnsi="仿宋" w:eastAsia="仿宋" w:cs="仿宋"/>
              </w:rPr>
            </w:pPr>
            <w:r>
              <w:rPr>
                <w:rFonts w:hint="eastAsia" w:ascii="仿宋" w:hAnsi="仿宋" w:eastAsia="仿宋" w:cs="仿宋"/>
              </w:rPr>
              <w:t>科目编码</w:t>
            </w:r>
          </w:p>
        </w:tc>
        <w:tc>
          <w:tcPr>
            <w:tcW w:w="4183"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科目名称</w:t>
            </w:r>
          </w:p>
        </w:tc>
        <w:tc>
          <w:tcPr>
            <w:tcW w:w="2011" w:type="dxa"/>
            <w:vMerge w:val="continue"/>
            <w:tcBorders>
              <w:left w:val="single" w:color="000000" w:sz="4" w:space="0"/>
              <w:bottom w:val="single" w:color="000000" w:sz="4" w:space="0"/>
            </w:tcBorders>
          </w:tcPr>
          <w:p>
            <w:pPr>
              <w:rPr>
                <w:rFonts w:ascii="仿宋" w:hAnsi="仿宋" w:eastAsia="仿宋" w:cs="仿宋"/>
              </w:rPr>
            </w:pPr>
          </w:p>
        </w:tc>
        <w:tc>
          <w:tcPr>
            <w:tcW w:w="1486" w:type="dxa"/>
            <w:vMerge w:val="continue"/>
            <w:tcBorders>
              <w:left w:val="single" w:color="000000" w:sz="4" w:space="0"/>
              <w:bottom w:val="single" w:color="000000" w:sz="4" w:space="0"/>
            </w:tcBorders>
          </w:tcPr>
          <w:p>
            <w:pPr>
              <w:rPr>
                <w:rFonts w:ascii="仿宋" w:hAnsi="仿宋" w:eastAsia="仿宋" w:cs="仿宋"/>
              </w:rPr>
            </w:pPr>
          </w:p>
        </w:tc>
        <w:tc>
          <w:tcPr>
            <w:tcW w:w="1564" w:type="dxa"/>
            <w:vMerge w:val="continue"/>
            <w:tcBorders>
              <w:left w:val="single" w:color="000000" w:sz="4" w:space="0"/>
              <w:bottom w:val="single" w:color="000000" w:sz="4" w:space="0"/>
            </w:tcBorders>
          </w:tcPr>
          <w:p>
            <w:pPr>
              <w:rPr>
                <w:rFonts w:ascii="仿宋" w:hAnsi="仿宋" w:eastAsia="仿宋" w:cs="仿宋"/>
              </w:rPr>
            </w:pPr>
          </w:p>
        </w:tc>
        <w:tc>
          <w:tcPr>
            <w:tcW w:w="1593" w:type="dxa"/>
            <w:vMerge w:val="continue"/>
            <w:tcBorders>
              <w:left w:val="single" w:color="000000" w:sz="4" w:space="0"/>
              <w:bottom w:val="single" w:color="000000" w:sz="4" w:space="0"/>
            </w:tcBorders>
          </w:tcPr>
          <w:p>
            <w:pPr>
              <w:rPr>
                <w:rFonts w:ascii="仿宋" w:hAnsi="仿宋" w:eastAsia="仿宋" w:cs="仿宋"/>
              </w:rPr>
            </w:pPr>
          </w:p>
        </w:tc>
        <w:tc>
          <w:tcPr>
            <w:tcW w:w="1472" w:type="dxa"/>
            <w:vMerge w:val="continue"/>
            <w:tcBorders>
              <w:left w:val="single" w:color="000000" w:sz="4" w:space="0"/>
              <w:bottom w:val="single" w:color="000000" w:sz="4" w:space="0"/>
            </w:tcBorders>
          </w:tcPr>
          <w:p>
            <w:pPr>
              <w:rPr>
                <w:rFonts w:ascii="仿宋" w:hAnsi="仿宋" w:eastAsia="仿宋" w:cs="仿宋"/>
              </w:rPr>
            </w:pPr>
          </w:p>
        </w:tc>
        <w:tc>
          <w:tcPr>
            <w:tcW w:w="1482" w:type="dxa"/>
            <w:vMerge w:val="continue"/>
            <w:tcBorders>
              <w:left w:val="single" w:color="000000" w:sz="4" w:space="0"/>
              <w:bottom w:val="single" w:color="000000" w:sz="4" w:space="0"/>
              <w:right w:val="single" w:color="000000" w:sz="4" w:space="0"/>
            </w:tcBorders>
          </w:tcPr>
          <w:p>
            <w:pPr>
              <w:rPr>
                <w:rFonts w:ascii="仿宋" w:hAnsi="仿宋" w:eastAsia="仿宋" w:cs="仿宋"/>
              </w:rPr>
            </w:pPr>
          </w:p>
        </w:tc>
      </w:tr>
      <w:tr>
        <w:tblPrEx>
          <w:tblLayout w:type="fixed"/>
          <w:tblCellMar>
            <w:top w:w="55" w:type="dxa"/>
            <w:left w:w="55" w:type="dxa"/>
            <w:bottom w:w="55" w:type="dxa"/>
            <w:right w:w="55" w:type="dxa"/>
          </w:tblCellMar>
        </w:tblPrEx>
        <w:trPr>
          <w:trHeight w:val="403" w:hRule="exact"/>
        </w:trPr>
        <w:tc>
          <w:tcPr>
            <w:tcW w:w="5739" w:type="dxa"/>
            <w:gridSpan w:val="2"/>
            <w:tcBorders>
              <w:left w:val="single" w:color="000000" w:sz="4" w:space="0"/>
              <w:bottom w:val="single" w:color="000000" w:sz="4" w:space="0"/>
            </w:tcBorders>
            <w:vAlign w:val="center"/>
          </w:tcPr>
          <w:p>
            <w:pPr>
              <w:pStyle w:val="22"/>
              <w:jc w:val="center"/>
              <w:rPr>
                <w:rFonts w:ascii="仿宋" w:hAnsi="仿宋" w:eastAsia="仿宋" w:cs="仿宋"/>
              </w:rPr>
            </w:pPr>
            <w:r>
              <w:rPr>
                <w:rFonts w:ascii="仿宋" w:hAnsi="仿宋" w:eastAsia="仿宋" w:cs="仿宋"/>
              </w:rPr>
              <w:t>合计</w:t>
            </w:r>
          </w:p>
        </w:tc>
        <w:tc>
          <w:tcPr>
            <w:tcW w:w="2011" w:type="dxa"/>
            <w:tcBorders>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1,947.41</w:t>
            </w:r>
          </w:p>
        </w:tc>
        <w:tc>
          <w:tcPr>
            <w:tcW w:w="1486" w:type="dxa"/>
            <w:tcBorders>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1,894.42</w:t>
            </w:r>
          </w:p>
        </w:tc>
        <w:tc>
          <w:tcPr>
            <w:tcW w:w="1564" w:type="dxa"/>
            <w:tcBorders>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52.99</w:t>
            </w:r>
          </w:p>
        </w:tc>
        <w:tc>
          <w:tcPr>
            <w:tcW w:w="1593" w:type="dxa"/>
            <w:tcBorders>
              <w:left w:val="single" w:color="000000" w:sz="4" w:space="0"/>
              <w:bottom w:val="single" w:color="000000" w:sz="4" w:space="0"/>
            </w:tcBorders>
            <w:vAlign w:val="center"/>
          </w:tcPr>
          <w:p>
            <w:pPr>
              <w:jc w:val="right"/>
              <w:rPr>
                <w:rFonts w:ascii="仿宋" w:hAnsi="仿宋" w:eastAsia="仿宋" w:cs="仿宋"/>
              </w:rPr>
            </w:pPr>
          </w:p>
        </w:tc>
        <w:tc>
          <w:tcPr>
            <w:tcW w:w="1472" w:type="dxa"/>
            <w:tcBorders>
              <w:left w:val="single" w:color="000000" w:sz="4" w:space="0"/>
              <w:bottom w:val="single" w:color="000000" w:sz="4" w:space="0"/>
            </w:tcBorders>
            <w:vAlign w:val="center"/>
          </w:tcPr>
          <w:p>
            <w:pPr>
              <w:jc w:val="right"/>
              <w:rPr>
                <w:rFonts w:ascii="仿宋" w:hAnsi="仿宋" w:eastAsia="仿宋" w:cs="仿宋"/>
              </w:rPr>
            </w:pPr>
          </w:p>
        </w:tc>
        <w:tc>
          <w:tcPr>
            <w:tcW w:w="1482" w:type="dxa"/>
            <w:tcBorders>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208</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社会保障和就业支出</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1,502.50</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1,449.50</w:t>
            </w: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52.99</w:t>
            </w: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20805</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 xml:space="preserve">  行政事业单位养老支出</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91.74</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91.74</w:t>
            </w: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2080505</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 xml:space="preserve">    机关事业单位基本养老保险缴费支出</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61.16</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61.16</w:t>
            </w: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2080506</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 xml:space="preserve">    机关事业单位职业年金缴费支出</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30.58</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30.58</w:t>
            </w: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20810</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 xml:space="preserve">  社会福利</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1,410.76</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1,357.76</w:t>
            </w: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52.99</w:t>
            </w: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2081005</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 xml:space="preserve">    社会福利事业单位</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1,410.76</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1,357.76</w:t>
            </w: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52.99</w:t>
            </w: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221</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住房保障支出</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444.91</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444.91</w:t>
            </w: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22102</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 xml:space="preserve">  住房改革支出</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444.91</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444.91</w:t>
            </w: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2210201</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 xml:space="preserve">    住房公积金</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52.56</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52.56</w:t>
            </w: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2210202</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 xml:space="preserve">    提租补贴</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392.35</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392.35</w:t>
            </w: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bl>
    <w:p>
      <w:pPr>
        <w:spacing w:before="59"/>
        <w:rPr>
          <w:rFonts w:ascii="仿宋" w:hAnsi="仿宋" w:eastAsia="仿宋" w:cs="仿宋"/>
        </w:rPr>
      </w:pPr>
      <w:r>
        <w:rPr>
          <w:rFonts w:hint="eastAsia" w:ascii="仿宋" w:hAnsi="仿宋" w:eastAsia="仿宋" w:cs="仿宋"/>
        </w:rPr>
        <w:t>注：本表反映本年度各项支出情况。本表金额单位转换时可能存在尾数误差。</w:t>
      </w:r>
    </w:p>
    <w:p>
      <w:pPr>
        <w:spacing w:before="59"/>
        <w:ind w:left="57"/>
        <w:rPr>
          <w:rFonts w:ascii="仿宋" w:hAnsi="仿宋" w:eastAsia="仿宋" w:cs="仿宋"/>
        </w:rPr>
        <w:sectPr>
          <w:footerReference r:id="rId9" w:type="default"/>
          <w:pgSz w:w="16838" w:h="11906" w:orient="landscape"/>
          <w:pgMar w:top="720" w:right="720" w:bottom="720" w:left="720" w:header="170" w:footer="280" w:gutter="0"/>
          <w:pgNumType w:fmt="numberInDash"/>
          <w:cols w:space="720" w:num="1"/>
          <w:formProt w:val="0"/>
          <w:docGrid w:linePitch="100" w:charSpace="0"/>
        </w:sectPr>
      </w:pPr>
    </w:p>
    <w:tbl>
      <w:tblPr>
        <w:tblStyle w:val="13"/>
        <w:tblW w:w="15372" w:type="dxa"/>
        <w:tblInd w:w="75" w:type="dxa"/>
        <w:tblLayout w:type="fixed"/>
        <w:tblCellMar>
          <w:top w:w="55" w:type="dxa"/>
          <w:left w:w="55" w:type="dxa"/>
          <w:bottom w:w="55" w:type="dxa"/>
          <w:right w:w="55" w:type="dxa"/>
        </w:tblCellMar>
      </w:tblPr>
      <w:tblGrid>
        <w:gridCol w:w="3725"/>
        <w:gridCol w:w="1837"/>
        <w:gridCol w:w="847"/>
        <w:gridCol w:w="1913"/>
        <w:gridCol w:w="907"/>
        <w:gridCol w:w="1728"/>
        <w:gridCol w:w="1194"/>
        <w:gridCol w:w="221"/>
        <w:gridCol w:w="1500"/>
        <w:gridCol w:w="1500"/>
      </w:tblGrid>
      <w:tr>
        <w:tblPrEx>
          <w:tblLayout w:type="fixed"/>
          <w:tblCellMar>
            <w:top w:w="55" w:type="dxa"/>
            <w:left w:w="55" w:type="dxa"/>
            <w:bottom w:w="55" w:type="dxa"/>
            <w:right w:w="55" w:type="dxa"/>
          </w:tblCellMar>
        </w:tblPrEx>
        <w:trPr>
          <w:trHeight w:val="319" w:hRule="atLeast"/>
        </w:trPr>
        <w:tc>
          <w:tcPr>
            <w:tcW w:w="15372" w:type="dxa"/>
            <w:gridSpan w:val="10"/>
          </w:tcPr>
          <w:p>
            <w:pPr>
              <w:pStyle w:val="22"/>
              <w:jc w:val="center"/>
              <w:rPr>
                <w:rFonts w:ascii="仿宋" w:hAnsi="仿宋" w:eastAsia="仿宋" w:cs="仿宋"/>
                <w:b/>
                <w:bCs/>
                <w:sz w:val="44"/>
                <w:szCs w:val="44"/>
              </w:rPr>
            </w:pPr>
            <w:r>
              <w:rPr>
                <w:rFonts w:hint="eastAsia"/>
                <w:b/>
                <w:bCs/>
                <w:color w:val="000000"/>
                <w:sz w:val="36"/>
                <w:szCs w:val="36"/>
                <w:lang w:eastAsia="ar-SA"/>
              </w:rPr>
              <w:t>财政拨款收入支出决算总表</w:t>
            </w:r>
          </w:p>
        </w:tc>
      </w:tr>
      <w:tr>
        <w:tblPrEx>
          <w:tblLayout w:type="fixed"/>
          <w:tblCellMar>
            <w:top w:w="55" w:type="dxa"/>
            <w:left w:w="55" w:type="dxa"/>
            <w:bottom w:w="55" w:type="dxa"/>
            <w:right w:w="55" w:type="dxa"/>
          </w:tblCellMar>
        </w:tblPrEx>
        <w:trPr>
          <w:trHeight w:val="319" w:hRule="atLeast"/>
        </w:trPr>
        <w:tc>
          <w:tcPr>
            <w:tcW w:w="5562" w:type="dxa"/>
            <w:gridSpan w:val="2"/>
          </w:tcPr>
          <w:p>
            <w:pPr>
              <w:pStyle w:val="22"/>
              <w:rPr>
                <w:rFonts w:ascii="仿宋" w:hAnsi="仿宋" w:eastAsia="仿宋" w:cs="仿宋"/>
                <w:sz w:val="20"/>
              </w:rPr>
            </w:pPr>
          </w:p>
        </w:tc>
        <w:tc>
          <w:tcPr>
            <w:tcW w:w="847" w:type="dxa"/>
          </w:tcPr>
          <w:p>
            <w:pPr>
              <w:pStyle w:val="22"/>
              <w:rPr>
                <w:rFonts w:ascii="仿宋" w:hAnsi="仿宋" w:eastAsia="仿宋" w:cs="仿宋"/>
                <w:sz w:val="20"/>
              </w:rPr>
            </w:pPr>
          </w:p>
        </w:tc>
        <w:tc>
          <w:tcPr>
            <w:tcW w:w="1913" w:type="dxa"/>
          </w:tcPr>
          <w:p>
            <w:pPr>
              <w:pStyle w:val="22"/>
              <w:rPr>
                <w:rFonts w:ascii="仿宋" w:hAnsi="仿宋" w:eastAsia="仿宋" w:cs="仿宋"/>
                <w:sz w:val="20"/>
              </w:rPr>
            </w:pPr>
          </w:p>
        </w:tc>
        <w:tc>
          <w:tcPr>
            <w:tcW w:w="2635" w:type="dxa"/>
            <w:gridSpan w:val="2"/>
          </w:tcPr>
          <w:p>
            <w:pPr>
              <w:pStyle w:val="22"/>
              <w:rPr>
                <w:rFonts w:ascii="仿宋" w:hAnsi="仿宋" w:eastAsia="仿宋" w:cs="仿宋"/>
                <w:sz w:val="20"/>
              </w:rPr>
            </w:pPr>
          </w:p>
        </w:tc>
        <w:tc>
          <w:tcPr>
            <w:tcW w:w="1194" w:type="dxa"/>
          </w:tcPr>
          <w:p>
            <w:pPr>
              <w:pStyle w:val="22"/>
              <w:rPr>
                <w:rFonts w:ascii="仿宋" w:hAnsi="仿宋" w:eastAsia="仿宋" w:cs="仿宋"/>
                <w:sz w:val="20"/>
              </w:rPr>
            </w:pPr>
          </w:p>
        </w:tc>
        <w:tc>
          <w:tcPr>
            <w:tcW w:w="3221" w:type="dxa"/>
            <w:gridSpan w:val="3"/>
            <w:vAlign w:val="center"/>
          </w:tcPr>
          <w:p>
            <w:pPr>
              <w:pStyle w:val="22"/>
              <w:jc w:val="right"/>
              <w:rPr>
                <w:rFonts w:ascii="仿宋" w:hAnsi="仿宋" w:eastAsia="仿宋" w:cs="仿宋"/>
              </w:rPr>
            </w:pPr>
            <w:r>
              <w:rPr>
                <w:rFonts w:hint="eastAsia" w:ascii="仿宋" w:hAnsi="仿宋" w:eastAsia="仿宋" w:cs="仿宋"/>
              </w:rPr>
              <w:t>公开04表</w:t>
            </w:r>
          </w:p>
        </w:tc>
      </w:tr>
      <w:tr>
        <w:tblPrEx>
          <w:tblLayout w:type="fixed"/>
          <w:tblCellMar>
            <w:top w:w="55" w:type="dxa"/>
            <w:left w:w="55" w:type="dxa"/>
            <w:bottom w:w="55" w:type="dxa"/>
            <w:right w:w="55" w:type="dxa"/>
          </w:tblCellMar>
        </w:tblPrEx>
        <w:trPr>
          <w:trHeight w:val="319" w:hRule="atLeast"/>
        </w:trPr>
        <w:tc>
          <w:tcPr>
            <w:tcW w:w="12151" w:type="dxa"/>
            <w:gridSpan w:val="7"/>
          </w:tcPr>
          <w:p>
            <w:pPr>
              <w:pStyle w:val="22"/>
              <w:rPr>
                <w:rFonts w:ascii="仿宋" w:hAnsi="仿宋" w:eastAsia="仿宋" w:cs="仿宋"/>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江苏省立新农场</w:t>
            </w:r>
          </w:p>
        </w:tc>
        <w:tc>
          <w:tcPr>
            <w:tcW w:w="3221" w:type="dxa"/>
            <w:gridSpan w:val="3"/>
            <w:vAlign w:val="center"/>
          </w:tcPr>
          <w:p>
            <w:pPr>
              <w:pStyle w:val="22"/>
              <w:jc w:val="right"/>
              <w:rPr>
                <w:rFonts w:ascii="仿宋" w:hAnsi="仿宋" w:eastAsia="仿宋" w:cs="仿宋"/>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62" w:hRule="atLeast"/>
        </w:trPr>
        <w:tc>
          <w:tcPr>
            <w:tcW w:w="5562" w:type="dxa"/>
            <w:gridSpan w:val="2"/>
            <w:tcBorders>
              <w:top w:val="single" w:color="000000" w:sz="4" w:space="0"/>
              <w:left w:val="single" w:color="000000" w:sz="4" w:space="0"/>
              <w:bottom w:val="single" w:color="000000" w:sz="4" w:space="0"/>
            </w:tcBorders>
          </w:tcPr>
          <w:p>
            <w:pPr>
              <w:pStyle w:val="22"/>
              <w:jc w:val="center"/>
              <w:rPr>
                <w:rFonts w:ascii="仿宋" w:hAnsi="仿宋" w:eastAsia="仿宋" w:cs="仿宋"/>
              </w:rPr>
            </w:pPr>
            <w:r>
              <w:rPr>
                <w:rFonts w:hint="eastAsia" w:ascii="仿宋" w:hAnsi="仿宋" w:eastAsia="仿宋" w:cs="仿宋"/>
              </w:rPr>
              <w:t>收</w:t>
            </w:r>
            <w:r>
              <w:rPr>
                <w:rFonts w:hint="eastAsia" w:ascii="仿宋" w:hAnsi="仿宋" w:eastAsia="仿宋" w:cs="仿宋"/>
              </w:rPr>
              <w:tab/>
            </w:r>
            <w:r>
              <w:rPr>
                <w:rFonts w:hint="eastAsia" w:ascii="仿宋" w:hAnsi="仿宋" w:eastAsia="仿宋" w:cs="仿宋"/>
              </w:rPr>
              <w:t>入</w:t>
            </w:r>
          </w:p>
        </w:tc>
        <w:tc>
          <w:tcPr>
            <w:tcW w:w="9810" w:type="dxa"/>
            <w:gridSpan w:val="8"/>
            <w:tcBorders>
              <w:top w:val="single" w:color="000000" w:sz="4" w:space="0"/>
              <w:left w:val="single" w:color="000000" w:sz="4" w:space="0"/>
              <w:bottom w:val="single" w:color="000000" w:sz="4" w:space="0"/>
              <w:right w:val="single" w:color="000000" w:sz="4" w:space="0"/>
            </w:tcBorders>
          </w:tcPr>
          <w:p>
            <w:pPr>
              <w:pStyle w:val="22"/>
              <w:jc w:val="center"/>
              <w:rPr>
                <w:rFonts w:ascii="仿宋" w:hAnsi="仿宋" w:eastAsia="仿宋" w:cs="仿宋"/>
              </w:rPr>
            </w:pPr>
            <w:r>
              <w:rPr>
                <w:rFonts w:hint="eastAsia" w:ascii="仿宋" w:hAnsi="仿宋" w:eastAsia="仿宋" w:cs="仿宋"/>
              </w:rPr>
              <w:t>支</w:t>
            </w:r>
            <w:r>
              <w:rPr>
                <w:rFonts w:hint="eastAsia" w:ascii="仿宋" w:hAnsi="仿宋" w:eastAsia="仿宋" w:cs="仿宋"/>
              </w:rPr>
              <w:tab/>
            </w:r>
            <w:r>
              <w:rPr>
                <w:rFonts w:hint="eastAsia" w:ascii="仿宋" w:hAnsi="仿宋" w:eastAsia="仿宋" w:cs="仿宋"/>
              </w:rPr>
              <w:t>出</w:t>
            </w:r>
          </w:p>
        </w:tc>
      </w:tr>
      <w:tr>
        <w:tblPrEx>
          <w:tblLayout w:type="fixed"/>
          <w:tblCellMar>
            <w:top w:w="55" w:type="dxa"/>
            <w:left w:w="55" w:type="dxa"/>
            <w:bottom w:w="55" w:type="dxa"/>
            <w:right w:w="55" w:type="dxa"/>
          </w:tblCellMar>
        </w:tblPrEx>
        <w:trPr>
          <w:trHeight w:val="199" w:hRule="atLeast"/>
        </w:trPr>
        <w:tc>
          <w:tcPr>
            <w:tcW w:w="3725" w:type="dxa"/>
            <w:vMerge w:val="restart"/>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1837" w:type="dxa"/>
            <w:vMerge w:val="restart"/>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决算数</w:t>
            </w:r>
          </w:p>
        </w:tc>
        <w:tc>
          <w:tcPr>
            <w:tcW w:w="3667" w:type="dxa"/>
            <w:gridSpan w:val="3"/>
            <w:vMerge w:val="restart"/>
            <w:tcBorders>
              <w:left w:val="single" w:color="000000" w:sz="4" w:space="0"/>
              <w:bottom w:val="single" w:color="000000" w:sz="4" w:space="0"/>
            </w:tcBorders>
            <w:vAlign w:val="center"/>
          </w:tcPr>
          <w:p>
            <w:pPr>
              <w:jc w:val="center"/>
              <w:rPr>
                <w:rFonts w:ascii="仿宋" w:hAnsi="仿宋" w:eastAsia="仿宋" w:cs="仿宋"/>
              </w:rPr>
            </w:pPr>
            <w:r>
              <w:rPr>
                <w:rFonts w:hint="eastAsia" w:ascii="仿宋" w:hAnsi="仿宋" w:eastAsia="仿宋" w:cs="仿宋"/>
              </w:rPr>
              <w:t>按功能分类</w:t>
            </w:r>
          </w:p>
        </w:tc>
        <w:tc>
          <w:tcPr>
            <w:tcW w:w="6143" w:type="dxa"/>
            <w:gridSpan w:val="5"/>
            <w:tcBorders>
              <w:left w:val="single" w:color="000000" w:sz="4" w:space="0"/>
              <w:bottom w:val="single" w:color="000000" w:sz="4" w:space="0"/>
              <w:right w:val="single" w:color="000000" w:sz="4" w:space="0"/>
            </w:tcBorders>
            <w:vAlign w:val="center"/>
          </w:tcPr>
          <w:p>
            <w:pPr>
              <w:jc w:val="center"/>
              <w:rPr>
                <w:rFonts w:ascii="仿宋" w:hAnsi="仿宋" w:eastAsia="仿宋" w:cs="仿宋"/>
              </w:rPr>
            </w:pPr>
            <w:r>
              <w:rPr>
                <w:rFonts w:hint="eastAsia" w:ascii="仿宋" w:hAnsi="仿宋" w:eastAsia="仿宋" w:cs="仿宋"/>
              </w:rPr>
              <w:t>决算数</w:t>
            </w:r>
          </w:p>
        </w:tc>
      </w:tr>
      <w:tr>
        <w:tblPrEx>
          <w:tblLayout w:type="fixed"/>
          <w:tblCellMar>
            <w:top w:w="55" w:type="dxa"/>
            <w:left w:w="55" w:type="dxa"/>
            <w:bottom w:w="55" w:type="dxa"/>
            <w:right w:w="55" w:type="dxa"/>
          </w:tblCellMar>
        </w:tblPrEx>
        <w:trPr>
          <w:trHeight w:val="578" w:hRule="atLeast"/>
        </w:trPr>
        <w:tc>
          <w:tcPr>
            <w:tcW w:w="3725" w:type="dxa"/>
            <w:vMerge w:val="continue"/>
            <w:tcBorders>
              <w:left w:val="single" w:color="000000" w:sz="4" w:space="0"/>
              <w:bottom w:val="single" w:color="000000" w:sz="4" w:space="0"/>
            </w:tcBorders>
          </w:tcPr>
          <w:p>
            <w:pPr>
              <w:pStyle w:val="22"/>
              <w:rPr>
                <w:rFonts w:ascii="仿宋" w:hAnsi="仿宋" w:eastAsia="仿宋" w:cs="仿宋"/>
              </w:rPr>
            </w:pPr>
          </w:p>
        </w:tc>
        <w:tc>
          <w:tcPr>
            <w:tcW w:w="1837" w:type="dxa"/>
            <w:vMerge w:val="continue"/>
            <w:tcBorders>
              <w:left w:val="single" w:color="000000" w:sz="4" w:space="0"/>
              <w:bottom w:val="single" w:color="000000" w:sz="4" w:space="0"/>
            </w:tcBorders>
          </w:tcPr>
          <w:p>
            <w:pPr>
              <w:pStyle w:val="22"/>
              <w:rPr>
                <w:rFonts w:ascii="仿宋" w:hAnsi="仿宋" w:eastAsia="仿宋" w:cs="仿宋"/>
              </w:rPr>
            </w:pPr>
          </w:p>
        </w:tc>
        <w:tc>
          <w:tcPr>
            <w:tcW w:w="3667" w:type="dxa"/>
            <w:gridSpan w:val="3"/>
            <w:vMerge w:val="continue"/>
            <w:tcBorders>
              <w:left w:val="single" w:color="000000" w:sz="4" w:space="0"/>
              <w:bottom w:val="single" w:color="000000" w:sz="4" w:space="0"/>
            </w:tcBorders>
          </w:tcPr>
          <w:p>
            <w:pPr>
              <w:pStyle w:val="22"/>
              <w:rPr>
                <w:rFonts w:ascii="仿宋" w:hAnsi="仿宋" w:eastAsia="仿宋" w:cs="仿宋"/>
              </w:rPr>
            </w:pPr>
          </w:p>
        </w:tc>
        <w:tc>
          <w:tcPr>
            <w:tcW w:w="1728" w:type="dxa"/>
            <w:tcBorders>
              <w:left w:val="single" w:color="000000" w:sz="4" w:space="0"/>
              <w:bottom w:val="single" w:color="000000" w:sz="4" w:space="0"/>
            </w:tcBorders>
            <w:vAlign w:val="center"/>
          </w:tcPr>
          <w:p>
            <w:pPr>
              <w:pStyle w:val="22"/>
              <w:jc w:val="center"/>
              <w:rPr>
                <w:rFonts w:ascii="仿宋" w:hAnsi="仿宋" w:eastAsia="仿宋" w:cs="仿宋"/>
              </w:rPr>
            </w:pPr>
            <w:r>
              <w:rPr>
                <w:rFonts w:ascii="仿宋" w:hAnsi="仿宋" w:eastAsia="仿宋" w:cs="仿宋"/>
              </w:rPr>
              <w:t>小计</w:t>
            </w:r>
          </w:p>
        </w:tc>
        <w:tc>
          <w:tcPr>
            <w:tcW w:w="1415" w:type="dxa"/>
            <w:gridSpan w:val="2"/>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一般公共预算财政拨款</w:t>
            </w:r>
          </w:p>
        </w:tc>
        <w:tc>
          <w:tcPr>
            <w:tcW w:w="1500"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政府性基金预算财政拨款</w:t>
            </w:r>
          </w:p>
        </w:tc>
        <w:tc>
          <w:tcPr>
            <w:tcW w:w="1500" w:type="dxa"/>
            <w:tcBorders>
              <w:left w:val="single" w:color="000000" w:sz="4" w:space="0"/>
              <w:bottom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国有资本经营预算财政拨款</w:t>
            </w: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一、一般公共预算财政拨款收入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1,568.76</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一、一般公共服务支出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二、政府性基金预算财政拨款收入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二、外交支出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三、国有资本经营预算财政拨款收入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三、国防支出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四、公共安全支出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五、教育支出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六、科学技术支出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七、文化旅游体育与传媒支出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八、社会保障和就业支出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1,309.47</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1,309.47</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九、卫生健康支出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十、节能环保支出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十一、城乡社区支出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十二、农林水支出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十三、交通运输支出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十四、资源勘探工业信息等支出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十五、商业服务业等支出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十六、金融支出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十七、援助其他地区支出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十八、自然资源海洋气象等支出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十九、住房保障支出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282.28</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282.28</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二十、粮油物资储备支出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二十一、国有资本经营预算支出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二十二、灾害防治及应急管理支出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二十三、其他支出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二十四、债务还本支出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二十五、债务付息支出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二十六、抗疫特别国债安排的支出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359" w:hRule="exact"/>
        </w:trPr>
        <w:tc>
          <w:tcPr>
            <w:tcW w:w="3725" w:type="dxa"/>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b/>
                <w:bCs/>
              </w:rPr>
              <w:t>本年收入合计</w:t>
            </w:r>
          </w:p>
        </w:tc>
        <w:tc>
          <w:tcPr>
            <w:tcW w:w="1837" w:type="dxa"/>
            <w:tcBorders>
              <w:top w:val="single" w:color="000000" w:sz="4" w:space="0"/>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1,568.76</w:t>
            </w:r>
          </w:p>
        </w:tc>
        <w:tc>
          <w:tcPr>
            <w:tcW w:w="3667" w:type="dxa"/>
            <w:gridSpan w:val="3"/>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b/>
                <w:bCs/>
              </w:rPr>
              <w:t>本年支出合计</w:t>
            </w:r>
          </w:p>
        </w:tc>
        <w:tc>
          <w:tcPr>
            <w:tcW w:w="1728" w:type="dxa"/>
            <w:tcBorders>
              <w:top w:val="single" w:color="000000" w:sz="4" w:space="0"/>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1,591.75</w:t>
            </w:r>
          </w:p>
        </w:tc>
        <w:tc>
          <w:tcPr>
            <w:tcW w:w="1415" w:type="dxa"/>
            <w:gridSpan w:val="2"/>
            <w:tcBorders>
              <w:top w:val="single" w:color="000000" w:sz="4" w:space="0"/>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1,591.75</w:t>
            </w:r>
          </w:p>
        </w:tc>
        <w:tc>
          <w:tcPr>
            <w:tcW w:w="1500" w:type="dxa"/>
            <w:tcBorders>
              <w:top w:val="single" w:color="000000" w:sz="4" w:space="0"/>
              <w:left w:val="single" w:color="000000" w:sz="4" w:space="0"/>
              <w:bottom w:val="single" w:color="000000" w:sz="4" w:space="0"/>
            </w:tcBorders>
            <w:vAlign w:val="center"/>
          </w:tcPr>
          <w:p>
            <w:pPr>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年初财政拨款结转和结余</w:t>
            </w:r>
          </w:p>
        </w:tc>
        <w:tc>
          <w:tcPr>
            <w:tcW w:w="1837" w:type="dxa"/>
            <w:tcBorders>
              <w:left w:val="single" w:color="000000" w:sz="4" w:space="0"/>
              <w:bottom w:val="single" w:color="000000" w:sz="4" w:space="0"/>
            </w:tcBorders>
            <w:vAlign w:val="center"/>
          </w:tcPr>
          <w:p>
            <w:pPr>
              <w:pStyle w:val="22"/>
              <w:jc w:val="right"/>
              <w:rPr>
                <w:rFonts w:ascii="仿宋" w:hAnsi="仿宋" w:eastAsia="仿宋" w:cs="仿宋"/>
              </w:rPr>
            </w:pPr>
            <w:r>
              <w:rPr>
                <w:rFonts w:hint="eastAsia" w:ascii="仿宋" w:hAnsi="仿宋" w:eastAsia="仿宋" w:cs="仿宋"/>
              </w:rPr>
              <w:t>25.49</w:t>
            </w:r>
          </w:p>
        </w:tc>
        <w:tc>
          <w:tcPr>
            <w:tcW w:w="3667" w:type="dxa"/>
            <w:gridSpan w:val="3"/>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年末财政拨款结转和结余</w:t>
            </w:r>
          </w:p>
        </w:tc>
        <w:tc>
          <w:tcPr>
            <w:tcW w:w="1728" w:type="dxa"/>
            <w:tcBorders>
              <w:left w:val="single" w:color="000000" w:sz="4" w:space="0"/>
              <w:bottom w:val="single" w:color="000000" w:sz="4" w:space="0"/>
            </w:tcBorders>
            <w:vAlign w:val="center"/>
          </w:tcPr>
          <w:p>
            <w:pPr>
              <w:pStyle w:val="22"/>
              <w:jc w:val="right"/>
              <w:rPr>
                <w:rFonts w:ascii="仿宋" w:hAnsi="仿宋" w:eastAsia="仿宋" w:cs="仿宋"/>
              </w:rPr>
            </w:pPr>
            <w:r>
              <w:rPr>
                <w:rFonts w:hint="eastAsia" w:ascii="仿宋" w:hAnsi="仿宋" w:eastAsia="仿宋" w:cs="仿宋"/>
              </w:rPr>
              <w:t>2.49</w:t>
            </w:r>
          </w:p>
        </w:tc>
        <w:tc>
          <w:tcPr>
            <w:tcW w:w="1415" w:type="dxa"/>
            <w:gridSpan w:val="2"/>
            <w:tcBorders>
              <w:left w:val="single" w:color="000000" w:sz="4" w:space="0"/>
              <w:bottom w:val="single" w:color="000000" w:sz="4" w:space="0"/>
            </w:tcBorders>
            <w:vAlign w:val="center"/>
          </w:tcPr>
          <w:p>
            <w:pPr>
              <w:pStyle w:val="22"/>
              <w:jc w:val="right"/>
              <w:rPr>
                <w:rFonts w:ascii="仿宋" w:hAnsi="仿宋" w:eastAsia="仿宋" w:cs="仿宋"/>
              </w:rPr>
            </w:pPr>
            <w:r>
              <w:rPr>
                <w:rFonts w:hint="eastAsia" w:ascii="仿宋" w:hAnsi="仿宋" w:eastAsia="仿宋" w:cs="仿宋"/>
              </w:rPr>
              <w:t>2.49</w:t>
            </w:r>
          </w:p>
        </w:tc>
        <w:tc>
          <w:tcPr>
            <w:tcW w:w="1500"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1500"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一、一般公共预算财政拨款</w:t>
            </w:r>
          </w:p>
        </w:tc>
        <w:tc>
          <w:tcPr>
            <w:tcW w:w="1837" w:type="dxa"/>
            <w:tcBorders>
              <w:left w:val="single" w:color="000000" w:sz="4" w:space="0"/>
              <w:bottom w:val="single" w:color="000000" w:sz="4" w:space="0"/>
            </w:tcBorders>
            <w:vAlign w:val="center"/>
          </w:tcPr>
          <w:p>
            <w:pPr>
              <w:pStyle w:val="22"/>
              <w:jc w:val="right"/>
              <w:rPr>
                <w:rFonts w:ascii="仿宋" w:hAnsi="仿宋" w:eastAsia="仿宋" w:cs="仿宋"/>
              </w:rPr>
            </w:pPr>
            <w:r>
              <w:rPr>
                <w:rFonts w:hint="eastAsia" w:ascii="仿宋" w:hAnsi="仿宋" w:eastAsia="仿宋" w:cs="仿宋"/>
              </w:rPr>
              <w:t>25.49</w:t>
            </w:r>
          </w:p>
        </w:tc>
        <w:tc>
          <w:tcPr>
            <w:tcW w:w="3667" w:type="dxa"/>
            <w:gridSpan w:val="3"/>
            <w:tcBorders>
              <w:left w:val="single" w:color="000000" w:sz="4" w:space="0"/>
              <w:bottom w:val="single" w:color="000000" w:sz="4" w:space="0"/>
            </w:tcBorders>
            <w:vAlign w:val="center"/>
          </w:tcPr>
          <w:p>
            <w:pPr>
              <w:pStyle w:val="22"/>
              <w:rPr>
                <w:rFonts w:ascii="仿宋" w:hAnsi="仿宋" w:eastAsia="仿宋" w:cs="仿宋"/>
              </w:rPr>
            </w:pPr>
          </w:p>
        </w:tc>
        <w:tc>
          <w:tcPr>
            <w:tcW w:w="1728"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1415" w:type="dxa"/>
            <w:gridSpan w:val="2"/>
            <w:tcBorders>
              <w:left w:val="single" w:color="000000" w:sz="4" w:space="0"/>
              <w:bottom w:val="single" w:color="000000" w:sz="4" w:space="0"/>
            </w:tcBorders>
            <w:vAlign w:val="center"/>
          </w:tcPr>
          <w:p>
            <w:pPr>
              <w:pStyle w:val="22"/>
              <w:jc w:val="right"/>
              <w:rPr>
                <w:rFonts w:ascii="仿宋" w:hAnsi="仿宋" w:eastAsia="仿宋" w:cs="仿宋"/>
              </w:rPr>
            </w:pPr>
          </w:p>
        </w:tc>
        <w:tc>
          <w:tcPr>
            <w:tcW w:w="1500"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1500"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二、政府性基金预算财政拨款</w:t>
            </w:r>
          </w:p>
        </w:tc>
        <w:tc>
          <w:tcPr>
            <w:tcW w:w="1837"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3667" w:type="dxa"/>
            <w:gridSpan w:val="3"/>
            <w:tcBorders>
              <w:left w:val="single" w:color="000000" w:sz="4" w:space="0"/>
              <w:bottom w:val="single" w:color="000000" w:sz="4" w:space="0"/>
            </w:tcBorders>
            <w:vAlign w:val="center"/>
          </w:tcPr>
          <w:p>
            <w:pPr>
              <w:pStyle w:val="22"/>
              <w:rPr>
                <w:rFonts w:ascii="仿宋" w:hAnsi="仿宋" w:eastAsia="仿宋" w:cs="仿宋"/>
              </w:rPr>
            </w:pPr>
          </w:p>
        </w:tc>
        <w:tc>
          <w:tcPr>
            <w:tcW w:w="1728"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1415" w:type="dxa"/>
            <w:gridSpan w:val="2"/>
            <w:tcBorders>
              <w:left w:val="single" w:color="000000" w:sz="4" w:space="0"/>
              <w:bottom w:val="single" w:color="000000" w:sz="4" w:space="0"/>
            </w:tcBorders>
            <w:vAlign w:val="center"/>
          </w:tcPr>
          <w:p>
            <w:pPr>
              <w:pStyle w:val="22"/>
              <w:jc w:val="right"/>
              <w:rPr>
                <w:rFonts w:ascii="仿宋" w:hAnsi="仿宋" w:eastAsia="仿宋" w:cs="仿宋"/>
              </w:rPr>
            </w:pPr>
          </w:p>
        </w:tc>
        <w:tc>
          <w:tcPr>
            <w:tcW w:w="1500"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1500"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三、国有资本经营预算财政拨款</w:t>
            </w:r>
          </w:p>
        </w:tc>
        <w:tc>
          <w:tcPr>
            <w:tcW w:w="1837"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3667" w:type="dxa"/>
            <w:gridSpan w:val="3"/>
            <w:tcBorders>
              <w:left w:val="single" w:color="000000" w:sz="4" w:space="0"/>
              <w:bottom w:val="single" w:color="000000" w:sz="4" w:space="0"/>
            </w:tcBorders>
            <w:vAlign w:val="center"/>
          </w:tcPr>
          <w:p>
            <w:pPr>
              <w:pStyle w:val="22"/>
              <w:rPr>
                <w:rFonts w:ascii="仿宋" w:hAnsi="仿宋" w:eastAsia="仿宋" w:cs="仿宋"/>
              </w:rPr>
            </w:pPr>
          </w:p>
        </w:tc>
        <w:tc>
          <w:tcPr>
            <w:tcW w:w="1728"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1415" w:type="dxa"/>
            <w:gridSpan w:val="2"/>
            <w:tcBorders>
              <w:left w:val="single" w:color="000000" w:sz="4" w:space="0"/>
              <w:bottom w:val="single" w:color="000000" w:sz="4" w:space="0"/>
            </w:tcBorders>
            <w:vAlign w:val="center"/>
          </w:tcPr>
          <w:p>
            <w:pPr>
              <w:pStyle w:val="22"/>
              <w:jc w:val="right"/>
              <w:rPr>
                <w:rFonts w:ascii="仿宋" w:hAnsi="仿宋" w:eastAsia="仿宋" w:cs="仿宋"/>
              </w:rPr>
            </w:pPr>
          </w:p>
        </w:tc>
        <w:tc>
          <w:tcPr>
            <w:tcW w:w="1500"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1500"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22" w:hRule="exact"/>
        </w:trPr>
        <w:tc>
          <w:tcPr>
            <w:tcW w:w="3725"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b/>
                <w:bCs/>
              </w:rPr>
              <w:t>总计</w:t>
            </w:r>
          </w:p>
        </w:tc>
        <w:tc>
          <w:tcPr>
            <w:tcW w:w="1837" w:type="dxa"/>
            <w:tcBorders>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1,594.25</w:t>
            </w:r>
          </w:p>
        </w:tc>
        <w:tc>
          <w:tcPr>
            <w:tcW w:w="3667" w:type="dxa"/>
            <w:gridSpan w:val="3"/>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b/>
                <w:bCs/>
              </w:rPr>
              <w:t>总计</w:t>
            </w:r>
          </w:p>
        </w:tc>
        <w:tc>
          <w:tcPr>
            <w:tcW w:w="1728" w:type="dxa"/>
            <w:tcBorders>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1,594.25</w:t>
            </w:r>
          </w:p>
        </w:tc>
        <w:tc>
          <w:tcPr>
            <w:tcW w:w="1415" w:type="dxa"/>
            <w:gridSpan w:val="2"/>
            <w:tcBorders>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1,594.25</w:t>
            </w:r>
          </w:p>
        </w:tc>
        <w:tc>
          <w:tcPr>
            <w:tcW w:w="1500" w:type="dxa"/>
            <w:tcBorders>
              <w:left w:val="single" w:color="000000" w:sz="4" w:space="0"/>
              <w:bottom w:val="single" w:color="000000" w:sz="4" w:space="0"/>
            </w:tcBorders>
            <w:vAlign w:val="center"/>
          </w:tcPr>
          <w:p>
            <w:pPr>
              <w:jc w:val="right"/>
              <w:rPr>
                <w:rFonts w:ascii="仿宋" w:hAnsi="仿宋" w:eastAsia="仿宋" w:cs="仿宋"/>
              </w:rPr>
            </w:pPr>
          </w:p>
        </w:tc>
        <w:tc>
          <w:tcPr>
            <w:tcW w:w="1500" w:type="dxa"/>
            <w:tcBorders>
              <w:left w:val="single" w:color="000000" w:sz="4" w:space="0"/>
              <w:bottom w:val="single" w:color="000000" w:sz="4" w:space="0"/>
              <w:right w:val="single" w:color="000000" w:sz="4" w:space="0"/>
            </w:tcBorders>
            <w:vAlign w:val="center"/>
          </w:tcPr>
          <w:p>
            <w:pPr>
              <w:jc w:val="right"/>
              <w:rPr>
                <w:rFonts w:ascii="仿宋" w:hAnsi="仿宋" w:eastAsia="仿宋" w:cs="仿宋"/>
              </w:rPr>
            </w:pPr>
          </w:p>
        </w:tc>
      </w:tr>
    </w:tbl>
    <w:p>
      <w:pPr>
        <w:jc w:val="both"/>
        <w:rPr>
          <w:rFonts w:ascii="仿宋" w:hAnsi="仿宋" w:eastAsia="仿宋" w:cs="仿宋"/>
        </w:rPr>
      </w:pPr>
      <w:r>
        <w:rPr>
          <w:rFonts w:hint="eastAsia" w:ascii="仿宋" w:hAnsi="仿宋" w:eastAsia="仿宋" w:cs="仿宋"/>
          <w:lang w:val="en-US"/>
        </w:rPr>
        <w:t>注：</w:t>
      </w:r>
      <w:r>
        <w:rPr>
          <w:rFonts w:hint="eastAsia" w:ascii="仿宋" w:hAnsi="仿宋" w:eastAsia="仿宋" w:cs="仿宋"/>
        </w:rPr>
        <w:t>本表反映本年度一般公共预算财政拨款、政府性基金预算财政拨款和国有资本经营预算财政拨款的总收支和年末结转结余情况。本表金额单位转换时可能存在尾数误差。</w:t>
      </w:r>
    </w:p>
    <w:p>
      <w:pPr>
        <w:jc w:val="both"/>
        <w:rPr>
          <w:rFonts w:ascii="仿宋" w:hAnsi="仿宋" w:eastAsia="仿宋" w:cs="仿宋"/>
        </w:rPr>
        <w:sectPr>
          <w:footerReference r:id="rId10" w:type="default"/>
          <w:pgSz w:w="16838" w:h="11906" w:orient="landscape"/>
          <w:pgMar w:top="720" w:right="720" w:bottom="720" w:left="720" w:header="170" w:footer="280" w:gutter="0"/>
          <w:pgNumType w:fmt="numberInDash"/>
          <w:cols w:space="720" w:num="1"/>
          <w:formProt w:val="0"/>
          <w:docGrid w:linePitch="100" w:charSpace="0"/>
        </w:sectPr>
      </w:pPr>
    </w:p>
    <w:tbl>
      <w:tblPr>
        <w:tblStyle w:val="13"/>
        <w:tblW w:w="15417" w:type="dxa"/>
        <w:tblInd w:w="44" w:type="dxa"/>
        <w:tblLayout w:type="fixed"/>
        <w:tblCellMar>
          <w:top w:w="55" w:type="dxa"/>
          <w:left w:w="55" w:type="dxa"/>
          <w:bottom w:w="55" w:type="dxa"/>
          <w:right w:w="55" w:type="dxa"/>
        </w:tblCellMar>
      </w:tblPr>
      <w:tblGrid>
        <w:gridCol w:w="1278"/>
        <w:gridCol w:w="5022"/>
        <w:gridCol w:w="3184"/>
        <w:gridCol w:w="2778"/>
        <w:gridCol w:w="3155"/>
      </w:tblGrid>
      <w:tr>
        <w:tblPrEx>
          <w:tblLayout w:type="fixed"/>
          <w:tblCellMar>
            <w:top w:w="55" w:type="dxa"/>
            <w:left w:w="55" w:type="dxa"/>
            <w:bottom w:w="55" w:type="dxa"/>
            <w:right w:w="55" w:type="dxa"/>
          </w:tblCellMar>
        </w:tblPrEx>
        <w:trPr>
          <w:trHeight w:val="321" w:hRule="atLeast"/>
        </w:trPr>
        <w:tc>
          <w:tcPr>
            <w:tcW w:w="15417" w:type="dxa"/>
            <w:gridSpan w:val="5"/>
            <w:vAlign w:val="center"/>
          </w:tcPr>
          <w:p>
            <w:pPr>
              <w:pStyle w:val="22"/>
              <w:jc w:val="center"/>
              <w:rPr>
                <w:rFonts w:ascii="仿宋" w:hAnsi="仿宋" w:eastAsia="仿宋" w:cs="仿宋"/>
                <w:b/>
                <w:bCs/>
                <w:sz w:val="44"/>
                <w:szCs w:val="44"/>
              </w:rPr>
            </w:pPr>
            <w:r>
              <w:rPr>
                <w:rFonts w:hint="eastAsia"/>
                <w:b/>
                <w:bCs/>
                <w:color w:val="000000"/>
                <w:sz w:val="36"/>
                <w:szCs w:val="36"/>
                <w:lang w:eastAsia="ar-SA"/>
              </w:rPr>
              <w:t>财政拨款支出决算表（功能科目）</w:t>
            </w:r>
          </w:p>
        </w:tc>
      </w:tr>
      <w:tr>
        <w:tblPrEx>
          <w:tblLayout w:type="fixed"/>
          <w:tblCellMar>
            <w:top w:w="55" w:type="dxa"/>
            <w:left w:w="55" w:type="dxa"/>
            <w:bottom w:w="55" w:type="dxa"/>
            <w:right w:w="55" w:type="dxa"/>
          </w:tblCellMar>
        </w:tblPrEx>
        <w:trPr>
          <w:trHeight w:val="321" w:hRule="atLeast"/>
        </w:trPr>
        <w:tc>
          <w:tcPr>
            <w:tcW w:w="6300" w:type="dxa"/>
            <w:gridSpan w:val="2"/>
          </w:tcPr>
          <w:p>
            <w:pPr>
              <w:pStyle w:val="22"/>
              <w:rPr>
                <w:rFonts w:ascii="仿宋" w:hAnsi="仿宋" w:eastAsia="仿宋" w:cs="仿宋"/>
                <w:sz w:val="20"/>
              </w:rPr>
            </w:pPr>
          </w:p>
        </w:tc>
        <w:tc>
          <w:tcPr>
            <w:tcW w:w="3184" w:type="dxa"/>
          </w:tcPr>
          <w:p>
            <w:pPr>
              <w:pStyle w:val="22"/>
              <w:rPr>
                <w:rFonts w:ascii="仿宋" w:hAnsi="仿宋" w:eastAsia="仿宋" w:cs="仿宋"/>
                <w:sz w:val="27"/>
              </w:rPr>
            </w:pPr>
          </w:p>
        </w:tc>
        <w:tc>
          <w:tcPr>
            <w:tcW w:w="5933" w:type="dxa"/>
            <w:gridSpan w:val="2"/>
            <w:vAlign w:val="center"/>
          </w:tcPr>
          <w:p>
            <w:pPr>
              <w:pStyle w:val="22"/>
              <w:jc w:val="right"/>
              <w:rPr>
                <w:rFonts w:ascii="仿宋" w:hAnsi="仿宋" w:eastAsia="仿宋" w:cs="仿宋"/>
                <w:sz w:val="27"/>
              </w:rPr>
            </w:pPr>
            <w:r>
              <w:rPr>
                <w:rFonts w:hint="eastAsia" w:ascii="仿宋" w:hAnsi="仿宋" w:eastAsia="仿宋" w:cs="仿宋"/>
              </w:rPr>
              <w:t>公开05表</w:t>
            </w:r>
          </w:p>
        </w:tc>
      </w:tr>
      <w:tr>
        <w:tblPrEx>
          <w:tblLayout w:type="fixed"/>
          <w:tblCellMar>
            <w:top w:w="55" w:type="dxa"/>
            <w:left w:w="55" w:type="dxa"/>
            <w:bottom w:w="55" w:type="dxa"/>
            <w:right w:w="55" w:type="dxa"/>
          </w:tblCellMar>
        </w:tblPrEx>
        <w:trPr>
          <w:trHeight w:val="288" w:hRule="atLeast"/>
        </w:trPr>
        <w:tc>
          <w:tcPr>
            <w:tcW w:w="6300" w:type="dxa"/>
            <w:gridSpan w:val="2"/>
          </w:tcPr>
          <w:p>
            <w:pPr>
              <w:pStyle w:val="22"/>
              <w:rPr>
                <w:rFonts w:ascii="仿宋" w:hAnsi="仿宋" w:eastAsia="仿宋" w:cs="仿宋"/>
                <w:sz w:val="20"/>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江苏省立新农场</w:t>
            </w:r>
          </w:p>
        </w:tc>
        <w:tc>
          <w:tcPr>
            <w:tcW w:w="3184" w:type="dxa"/>
          </w:tcPr>
          <w:p>
            <w:pPr>
              <w:pStyle w:val="22"/>
              <w:rPr>
                <w:rFonts w:ascii="仿宋" w:hAnsi="仿宋" w:eastAsia="仿宋" w:cs="仿宋"/>
                <w:sz w:val="27"/>
              </w:rPr>
            </w:pPr>
          </w:p>
        </w:tc>
        <w:tc>
          <w:tcPr>
            <w:tcW w:w="2778" w:type="dxa"/>
            <w:vAlign w:val="center"/>
          </w:tcPr>
          <w:p>
            <w:pPr>
              <w:pStyle w:val="22"/>
              <w:jc w:val="right"/>
              <w:rPr>
                <w:rFonts w:ascii="仿宋" w:hAnsi="仿宋" w:eastAsia="仿宋" w:cs="仿宋"/>
                <w:sz w:val="27"/>
              </w:rPr>
            </w:pPr>
          </w:p>
        </w:tc>
        <w:tc>
          <w:tcPr>
            <w:tcW w:w="3155" w:type="dxa"/>
            <w:vAlign w:val="center"/>
          </w:tcPr>
          <w:p>
            <w:pPr>
              <w:pStyle w:val="22"/>
              <w:jc w:val="right"/>
              <w:rPr>
                <w:rFonts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19" w:hRule="atLeast"/>
        </w:trPr>
        <w:tc>
          <w:tcPr>
            <w:tcW w:w="6300" w:type="dxa"/>
            <w:gridSpan w:val="2"/>
            <w:tcBorders>
              <w:top w:val="single" w:color="000000" w:sz="6" w:space="0"/>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3184" w:type="dxa"/>
            <w:vMerge w:val="restart"/>
            <w:tcBorders>
              <w:top w:val="single" w:color="000000" w:sz="6" w:space="0"/>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本年支出合计</w:t>
            </w:r>
          </w:p>
        </w:tc>
        <w:tc>
          <w:tcPr>
            <w:tcW w:w="2778" w:type="dxa"/>
            <w:vMerge w:val="restart"/>
            <w:tcBorders>
              <w:top w:val="single" w:color="000000" w:sz="6" w:space="0"/>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基本支出</w:t>
            </w:r>
          </w:p>
        </w:tc>
        <w:tc>
          <w:tcPr>
            <w:tcW w:w="3155" w:type="dxa"/>
            <w:vMerge w:val="restart"/>
            <w:tcBorders>
              <w:top w:val="single" w:color="000000" w:sz="6" w:space="0"/>
              <w:left w:val="single" w:color="000000" w:sz="6" w:space="0"/>
              <w:bottom w:val="single" w:color="000000" w:sz="6" w:space="0"/>
              <w:right w:val="single" w:color="000000" w:sz="6" w:space="0"/>
            </w:tcBorders>
            <w:vAlign w:val="center"/>
          </w:tcPr>
          <w:p>
            <w:pPr>
              <w:pStyle w:val="22"/>
              <w:jc w:val="center"/>
              <w:rPr>
                <w:rFonts w:ascii="仿宋" w:hAnsi="仿宋" w:eastAsia="仿宋" w:cs="仿宋"/>
              </w:rPr>
            </w:pPr>
            <w:r>
              <w:rPr>
                <w:rFonts w:hint="eastAsia" w:ascii="仿宋" w:hAnsi="仿宋" w:eastAsia="仿宋" w:cs="仿宋"/>
              </w:rPr>
              <w:t>项目支出</w:t>
            </w:r>
          </w:p>
        </w:tc>
      </w:tr>
      <w:tr>
        <w:tblPrEx>
          <w:tblLayout w:type="fixed"/>
          <w:tblCellMar>
            <w:top w:w="55" w:type="dxa"/>
            <w:left w:w="55" w:type="dxa"/>
            <w:bottom w:w="55" w:type="dxa"/>
            <w:right w:w="55" w:type="dxa"/>
          </w:tblCellMar>
        </w:tblPrEx>
        <w:trPr>
          <w:trHeight w:val="341" w:hRule="atLeast"/>
        </w:trPr>
        <w:tc>
          <w:tcPr>
            <w:tcW w:w="1278" w:type="dxa"/>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功能分类</w:t>
            </w:r>
          </w:p>
          <w:p>
            <w:pPr>
              <w:pStyle w:val="22"/>
              <w:jc w:val="center"/>
              <w:rPr>
                <w:rFonts w:ascii="仿宋" w:hAnsi="仿宋" w:eastAsia="仿宋" w:cs="仿宋"/>
              </w:rPr>
            </w:pPr>
            <w:r>
              <w:rPr>
                <w:rFonts w:hint="eastAsia" w:ascii="仿宋" w:hAnsi="仿宋" w:eastAsia="仿宋" w:cs="仿宋"/>
              </w:rPr>
              <w:t>科目编码</w:t>
            </w:r>
          </w:p>
        </w:tc>
        <w:tc>
          <w:tcPr>
            <w:tcW w:w="5022" w:type="dxa"/>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科目名称</w:t>
            </w:r>
          </w:p>
        </w:tc>
        <w:tc>
          <w:tcPr>
            <w:tcW w:w="3184" w:type="dxa"/>
            <w:vMerge w:val="continue"/>
            <w:tcBorders>
              <w:left w:val="single" w:color="000000" w:sz="6" w:space="0"/>
              <w:bottom w:val="single" w:color="000000" w:sz="6" w:space="0"/>
            </w:tcBorders>
          </w:tcPr>
          <w:p>
            <w:pPr>
              <w:rPr>
                <w:rFonts w:ascii="仿宋" w:hAnsi="仿宋" w:eastAsia="仿宋" w:cs="仿宋"/>
              </w:rPr>
            </w:pPr>
          </w:p>
        </w:tc>
        <w:tc>
          <w:tcPr>
            <w:tcW w:w="2778" w:type="dxa"/>
            <w:vMerge w:val="continue"/>
            <w:tcBorders>
              <w:left w:val="single" w:color="000000" w:sz="6" w:space="0"/>
              <w:bottom w:val="single" w:color="000000" w:sz="6" w:space="0"/>
            </w:tcBorders>
          </w:tcPr>
          <w:p>
            <w:pPr>
              <w:rPr>
                <w:rFonts w:ascii="仿宋" w:hAnsi="仿宋" w:eastAsia="仿宋" w:cs="仿宋"/>
              </w:rPr>
            </w:pPr>
          </w:p>
        </w:tc>
        <w:tc>
          <w:tcPr>
            <w:tcW w:w="3155" w:type="dxa"/>
            <w:vMerge w:val="continue"/>
            <w:tcBorders>
              <w:left w:val="single" w:color="000000" w:sz="6" w:space="0"/>
              <w:bottom w:val="single" w:color="000000" w:sz="6" w:space="0"/>
              <w:right w:val="single" w:color="000000" w:sz="6" w:space="0"/>
            </w:tcBorders>
          </w:tcPr>
          <w:p>
            <w:pPr>
              <w:rPr>
                <w:rFonts w:ascii="仿宋" w:hAnsi="仿宋" w:eastAsia="仿宋" w:cs="仿宋"/>
              </w:rPr>
            </w:pPr>
          </w:p>
        </w:tc>
      </w:tr>
      <w:tr>
        <w:tblPrEx>
          <w:tblLayout w:type="fixed"/>
          <w:tblCellMar>
            <w:top w:w="55" w:type="dxa"/>
            <w:left w:w="55" w:type="dxa"/>
            <w:bottom w:w="55" w:type="dxa"/>
            <w:right w:w="55" w:type="dxa"/>
          </w:tblCellMar>
        </w:tblPrEx>
        <w:trPr>
          <w:trHeight w:val="275" w:hRule="atLeast"/>
        </w:trPr>
        <w:tc>
          <w:tcPr>
            <w:tcW w:w="6300" w:type="dxa"/>
            <w:gridSpan w:val="2"/>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栏次</w:t>
            </w:r>
          </w:p>
        </w:tc>
        <w:tc>
          <w:tcPr>
            <w:tcW w:w="3184" w:type="dxa"/>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1</w:t>
            </w:r>
          </w:p>
        </w:tc>
        <w:tc>
          <w:tcPr>
            <w:tcW w:w="2778" w:type="dxa"/>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2</w:t>
            </w:r>
          </w:p>
        </w:tc>
        <w:tc>
          <w:tcPr>
            <w:tcW w:w="3155" w:type="dxa"/>
            <w:tcBorders>
              <w:left w:val="single" w:color="000000" w:sz="6" w:space="0"/>
              <w:bottom w:val="single" w:color="000000" w:sz="6" w:space="0"/>
              <w:right w:val="single" w:color="000000" w:sz="6" w:space="0"/>
            </w:tcBorders>
            <w:vAlign w:val="center"/>
          </w:tcPr>
          <w:p>
            <w:pPr>
              <w:pStyle w:val="22"/>
              <w:jc w:val="center"/>
              <w:rPr>
                <w:rFonts w:ascii="仿宋" w:hAnsi="仿宋" w:eastAsia="仿宋" w:cs="仿宋"/>
              </w:rPr>
            </w:pPr>
            <w:r>
              <w:rPr>
                <w:rFonts w:hint="eastAsia" w:ascii="仿宋" w:hAnsi="仿宋" w:eastAsia="仿宋" w:cs="仿宋"/>
              </w:rPr>
              <w:t>3</w:t>
            </w:r>
          </w:p>
        </w:tc>
      </w:tr>
      <w:tr>
        <w:tblPrEx>
          <w:tblLayout w:type="fixed"/>
          <w:tblCellMar>
            <w:top w:w="55" w:type="dxa"/>
            <w:left w:w="55" w:type="dxa"/>
            <w:bottom w:w="55" w:type="dxa"/>
            <w:right w:w="55" w:type="dxa"/>
          </w:tblCellMar>
        </w:tblPrEx>
        <w:trPr>
          <w:trHeight w:val="374" w:hRule="exact"/>
        </w:trPr>
        <w:tc>
          <w:tcPr>
            <w:tcW w:w="6300" w:type="dxa"/>
            <w:gridSpan w:val="2"/>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合计</w:t>
            </w:r>
          </w:p>
        </w:tc>
        <w:tc>
          <w:tcPr>
            <w:tcW w:w="3184" w:type="dxa"/>
            <w:tcBorders>
              <w:left w:val="single" w:color="000000" w:sz="6" w:space="0"/>
              <w:bottom w:val="single" w:color="000000" w:sz="6" w:space="0"/>
            </w:tcBorders>
          </w:tcPr>
          <w:p>
            <w:pPr>
              <w:pStyle w:val="22"/>
              <w:jc w:val="right"/>
              <w:rPr>
                <w:rFonts w:ascii="仿宋" w:hAnsi="仿宋" w:eastAsia="仿宋" w:cs="仿宋"/>
              </w:rPr>
            </w:pPr>
            <w:r>
              <w:rPr>
                <w:rFonts w:hint="eastAsia" w:ascii="仿宋" w:hAnsi="仿宋" w:eastAsia="仿宋" w:cs="仿宋"/>
              </w:rPr>
              <w:t>1,591.75</w:t>
            </w:r>
          </w:p>
        </w:tc>
        <w:tc>
          <w:tcPr>
            <w:tcW w:w="2778" w:type="dxa"/>
            <w:tcBorders>
              <w:left w:val="single" w:color="000000" w:sz="6" w:space="0"/>
              <w:bottom w:val="single" w:color="000000" w:sz="6" w:space="0"/>
            </w:tcBorders>
          </w:tcPr>
          <w:p>
            <w:pPr>
              <w:pStyle w:val="22"/>
              <w:jc w:val="right"/>
              <w:rPr>
                <w:rFonts w:ascii="仿宋" w:hAnsi="仿宋" w:eastAsia="仿宋" w:cs="仿宋"/>
              </w:rPr>
            </w:pPr>
            <w:r>
              <w:rPr>
                <w:rFonts w:hint="eastAsia" w:ascii="仿宋" w:hAnsi="仿宋" w:eastAsia="仿宋" w:cs="仿宋"/>
              </w:rPr>
              <w:t>1,538.76</w:t>
            </w:r>
          </w:p>
        </w:tc>
        <w:tc>
          <w:tcPr>
            <w:tcW w:w="3155" w:type="dxa"/>
            <w:tcBorders>
              <w:left w:val="single" w:color="000000" w:sz="6" w:space="0"/>
              <w:bottom w:val="single" w:color="000000" w:sz="6" w:space="0"/>
              <w:right w:val="single" w:color="000000" w:sz="6" w:space="0"/>
            </w:tcBorders>
          </w:tcPr>
          <w:p>
            <w:pPr>
              <w:pStyle w:val="22"/>
              <w:jc w:val="right"/>
              <w:rPr>
                <w:rFonts w:ascii="仿宋" w:hAnsi="仿宋" w:eastAsia="仿宋" w:cs="仿宋"/>
              </w:rPr>
            </w:pPr>
            <w:r>
              <w:rPr>
                <w:rFonts w:hint="eastAsia" w:ascii="仿宋" w:hAnsi="仿宋" w:eastAsia="仿宋" w:cs="仿宋"/>
              </w:rPr>
              <w:t>52.99</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208</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社会保障和就业支出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1,309.47</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1,256.48</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52.99</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20805</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行政事业单位养老支出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91.74</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91.74</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2080505</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机关事业单位基本养老保险缴费支出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61.16</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61.16</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2080506</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机关事业单位职业年金缴费支出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30.58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30.58</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20810</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社会福利</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1,217.73</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1,164.74</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52.99</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2081005</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社会福利事业单位</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1,217.73</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1,164.74</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52.99</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221</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住房保障支出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282.28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282.28</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22102</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住房改革支出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282.28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282.28</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2210202</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提租补贴</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282.28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282.28</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p>
        </w:tc>
      </w:tr>
    </w:tbl>
    <w:p>
      <w:pPr>
        <w:tabs>
          <w:tab w:val="left" w:pos="0"/>
        </w:tabs>
        <w:jc w:val="both"/>
        <w:rPr>
          <w:rFonts w:ascii="仿宋" w:hAnsi="仿宋" w:eastAsia="仿宋" w:cs="仿宋"/>
        </w:rPr>
      </w:pPr>
      <w:r>
        <w:rPr>
          <w:rFonts w:hint="eastAsia" w:ascii="仿宋" w:hAnsi="仿宋" w:eastAsia="仿宋" w:cs="仿宋"/>
        </w:rPr>
        <w:t>注：本表反映本年度一般公共预算财政拨款、政府性基金预算财政拨款和国有资本经营预算财政拨款支出情况。本表金额单位转换时可能存在尾数误差。</w:t>
      </w:r>
    </w:p>
    <w:p>
      <w:pPr>
        <w:tabs>
          <w:tab w:val="left" w:pos="55"/>
        </w:tabs>
        <w:jc w:val="both"/>
        <w:rPr>
          <w:rFonts w:ascii="仿宋" w:hAnsi="仿宋" w:eastAsia="仿宋" w:cs="仿宋"/>
        </w:rPr>
        <w:sectPr>
          <w:footerReference r:id="rId11" w:type="default"/>
          <w:pgSz w:w="16838" w:h="11906" w:orient="landscape"/>
          <w:pgMar w:top="720" w:right="720" w:bottom="720" w:left="720" w:header="170" w:footer="280" w:gutter="0"/>
          <w:pgNumType w:fmt="numberInDash"/>
          <w:cols w:space="720" w:num="1"/>
          <w:formProt w:val="0"/>
          <w:docGrid w:linePitch="100" w:charSpace="0"/>
        </w:sectPr>
      </w:pPr>
    </w:p>
    <w:tbl>
      <w:tblPr>
        <w:tblStyle w:val="13"/>
        <w:tblW w:w="10515" w:type="dxa"/>
        <w:tblInd w:w="38" w:type="dxa"/>
        <w:tblLayout w:type="fixed"/>
        <w:tblCellMar>
          <w:top w:w="55" w:type="dxa"/>
          <w:left w:w="55" w:type="dxa"/>
          <w:bottom w:w="55" w:type="dxa"/>
          <w:right w:w="55" w:type="dxa"/>
        </w:tblCellMar>
      </w:tblPr>
      <w:tblGrid>
        <w:gridCol w:w="990"/>
        <w:gridCol w:w="3542"/>
        <w:gridCol w:w="2047"/>
        <w:gridCol w:w="2040"/>
        <w:gridCol w:w="1896"/>
      </w:tblGrid>
      <w:tr>
        <w:tblPrEx>
          <w:tblLayout w:type="fixed"/>
          <w:tblCellMar>
            <w:top w:w="55" w:type="dxa"/>
            <w:left w:w="55" w:type="dxa"/>
            <w:bottom w:w="55" w:type="dxa"/>
            <w:right w:w="55" w:type="dxa"/>
          </w:tblCellMar>
        </w:tblPrEx>
        <w:trPr>
          <w:trHeight w:val="319" w:hRule="atLeast"/>
        </w:trPr>
        <w:tc>
          <w:tcPr>
            <w:tcW w:w="10515" w:type="dxa"/>
            <w:gridSpan w:val="5"/>
            <w:vAlign w:val="center"/>
          </w:tcPr>
          <w:p>
            <w:pPr>
              <w:pStyle w:val="22"/>
              <w:jc w:val="center"/>
              <w:rPr>
                <w:rFonts w:ascii="仿宋" w:hAnsi="仿宋" w:eastAsia="仿宋" w:cs="仿宋"/>
                <w:b/>
                <w:bCs/>
                <w:sz w:val="44"/>
                <w:szCs w:val="44"/>
              </w:rPr>
            </w:pPr>
            <w:r>
              <w:rPr>
                <w:rFonts w:hint="eastAsia"/>
                <w:b/>
                <w:bCs/>
                <w:color w:val="000000"/>
                <w:sz w:val="36"/>
                <w:szCs w:val="36"/>
                <w:lang w:eastAsia="ar-SA"/>
              </w:rPr>
              <w:t>财政拨款基本支出决算表（经济科目）</w:t>
            </w:r>
          </w:p>
        </w:tc>
      </w:tr>
      <w:tr>
        <w:tblPrEx>
          <w:tblLayout w:type="fixed"/>
          <w:tblCellMar>
            <w:top w:w="55" w:type="dxa"/>
            <w:left w:w="55" w:type="dxa"/>
            <w:bottom w:w="55" w:type="dxa"/>
            <w:right w:w="55" w:type="dxa"/>
          </w:tblCellMar>
        </w:tblPrEx>
        <w:trPr>
          <w:trHeight w:val="319" w:hRule="atLeast"/>
        </w:trPr>
        <w:tc>
          <w:tcPr>
            <w:tcW w:w="4532" w:type="dxa"/>
            <w:gridSpan w:val="2"/>
          </w:tcPr>
          <w:p>
            <w:pPr>
              <w:pStyle w:val="22"/>
              <w:rPr>
                <w:rFonts w:ascii="仿宋" w:hAnsi="仿宋" w:eastAsia="仿宋" w:cs="仿宋"/>
                <w:sz w:val="20"/>
              </w:rPr>
            </w:pPr>
          </w:p>
        </w:tc>
        <w:tc>
          <w:tcPr>
            <w:tcW w:w="2047" w:type="dxa"/>
          </w:tcPr>
          <w:p>
            <w:pPr>
              <w:pStyle w:val="22"/>
              <w:rPr>
                <w:rFonts w:ascii="仿宋" w:hAnsi="仿宋" w:eastAsia="仿宋" w:cs="仿宋"/>
                <w:sz w:val="20"/>
              </w:rPr>
            </w:pPr>
          </w:p>
        </w:tc>
        <w:tc>
          <w:tcPr>
            <w:tcW w:w="2040" w:type="dxa"/>
          </w:tcPr>
          <w:p>
            <w:pPr>
              <w:pStyle w:val="22"/>
              <w:rPr>
                <w:rFonts w:ascii="仿宋" w:hAnsi="仿宋" w:eastAsia="仿宋" w:cs="仿宋"/>
                <w:sz w:val="20"/>
              </w:rPr>
            </w:pPr>
          </w:p>
        </w:tc>
        <w:tc>
          <w:tcPr>
            <w:tcW w:w="1896" w:type="dxa"/>
            <w:vAlign w:val="center"/>
          </w:tcPr>
          <w:p>
            <w:pPr>
              <w:pStyle w:val="22"/>
              <w:jc w:val="right"/>
              <w:rPr>
                <w:rFonts w:ascii="仿宋" w:hAnsi="仿宋" w:eastAsia="仿宋" w:cs="仿宋"/>
                <w:sz w:val="20"/>
              </w:rPr>
            </w:pPr>
            <w:r>
              <w:rPr>
                <w:rFonts w:hint="eastAsia" w:ascii="仿宋" w:hAnsi="仿宋" w:eastAsia="仿宋" w:cs="仿宋"/>
              </w:rPr>
              <w:t>公开06表</w:t>
            </w:r>
          </w:p>
        </w:tc>
      </w:tr>
      <w:tr>
        <w:tblPrEx>
          <w:tblLayout w:type="fixed"/>
          <w:tblCellMar>
            <w:top w:w="55" w:type="dxa"/>
            <w:left w:w="55" w:type="dxa"/>
            <w:bottom w:w="55" w:type="dxa"/>
            <w:right w:w="55" w:type="dxa"/>
          </w:tblCellMar>
        </w:tblPrEx>
        <w:trPr>
          <w:trHeight w:val="319" w:hRule="atLeast"/>
        </w:trPr>
        <w:tc>
          <w:tcPr>
            <w:tcW w:w="8619" w:type="dxa"/>
            <w:gridSpan w:val="4"/>
          </w:tcPr>
          <w:p>
            <w:pPr>
              <w:pStyle w:val="22"/>
              <w:rPr>
                <w:rFonts w:ascii="仿宋" w:hAnsi="仿宋" w:eastAsia="仿宋" w:cs="仿宋"/>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江苏省立新农场</w:t>
            </w:r>
          </w:p>
        </w:tc>
        <w:tc>
          <w:tcPr>
            <w:tcW w:w="1896" w:type="dxa"/>
            <w:vAlign w:val="center"/>
          </w:tcPr>
          <w:p>
            <w:pPr>
              <w:pStyle w:val="22"/>
              <w:jc w:val="right"/>
              <w:rPr>
                <w:rFonts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43" w:hRule="atLeast"/>
        </w:trPr>
        <w:tc>
          <w:tcPr>
            <w:tcW w:w="4532" w:type="dxa"/>
            <w:gridSpan w:val="2"/>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5983" w:type="dxa"/>
            <w:gridSpan w:val="3"/>
            <w:tcBorders>
              <w:top w:val="single" w:color="000000" w:sz="4" w:space="0"/>
              <w:left w:val="single" w:color="000000" w:sz="4" w:space="0"/>
              <w:bottom w:val="single" w:color="000000" w:sz="4" w:space="0"/>
              <w:right w:val="single" w:color="000000" w:sz="4" w:space="0"/>
            </w:tcBorders>
            <w:vAlign w:val="center"/>
          </w:tcPr>
          <w:p>
            <w:pPr>
              <w:pStyle w:val="22"/>
              <w:jc w:val="center"/>
              <w:rPr>
                <w:rFonts w:ascii="仿宋" w:hAnsi="仿宋" w:eastAsia="仿宋" w:cs="仿宋"/>
                <w:sz w:val="20"/>
              </w:rPr>
            </w:pPr>
            <w:r>
              <w:rPr>
                <w:rFonts w:hint="eastAsia" w:ascii="仿宋" w:hAnsi="仿宋" w:eastAsia="仿宋" w:cs="仿宋"/>
              </w:rPr>
              <w:t>财政拨款基本支出</w:t>
            </w:r>
          </w:p>
        </w:tc>
      </w:tr>
      <w:tr>
        <w:tblPrEx>
          <w:tblLayout w:type="fixed"/>
          <w:tblCellMar>
            <w:top w:w="55" w:type="dxa"/>
            <w:left w:w="55" w:type="dxa"/>
            <w:bottom w:w="55" w:type="dxa"/>
            <w:right w:w="55" w:type="dxa"/>
          </w:tblCellMar>
        </w:tblPrEx>
        <w:trPr>
          <w:trHeight w:val="483" w:hRule="atLeast"/>
        </w:trPr>
        <w:tc>
          <w:tcPr>
            <w:tcW w:w="990"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经济分类科目编码</w:t>
            </w:r>
          </w:p>
        </w:tc>
        <w:tc>
          <w:tcPr>
            <w:tcW w:w="3542"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人员经费</w:t>
            </w:r>
          </w:p>
        </w:tc>
        <w:tc>
          <w:tcPr>
            <w:tcW w:w="1896" w:type="dxa"/>
            <w:tcBorders>
              <w:left w:val="single" w:color="000000" w:sz="4" w:space="0"/>
              <w:bottom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公用经费</w:t>
            </w:r>
          </w:p>
        </w:tc>
      </w:tr>
      <w:tr>
        <w:tblPrEx>
          <w:tblLayout w:type="fixed"/>
          <w:tblCellMar>
            <w:top w:w="55" w:type="dxa"/>
            <w:left w:w="55" w:type="dxa"/>
            <w:bottom w:w="55" w:type="dxa"/>
            <w:right w:w="55" w:type="dxa"/>
          </w:tblCellMar>
        </w:tblPrEx>
        <w:trPr>
          <w:trHeight w:val="409" w:hRule="exact"/>
        </w:trPr>
        <w:tc>
          <w:tcPr>
            <w:tcW w:w="4532" w:type="dxa"/>
            <w:gridSpan w:val="2"/>
            <w:tcBorders>
              <w:left w:val="single" w:color="000000" w:sz="4" w:space="0"/>
              <w:bottom w:val="single" w:color="000000" w:sz="4" w:space="0"/>
            </w:tcBorders>
            <w:vAlign w:val="center"/>
          </w:tcPr>
          <w:p>
            <w:pPr>
              <w:pStyle w:val="22"/>
              <w:jc w:val="center"/>
              <w:rPr>
                <w:rFonts w:ascii="仿宋" w:hAnsi="仿宋" w:eastAsia="仿宋" w:cs="仿宋"/>
              </w:rPr>
            </w:pPr>
            <w:r>
              <w:rPr>
                <w:rFonts w:ascii="仿宋" w:hAnsi="仿宋" w:eastAsia="仿宋" w:cs="仿宋"/>
              </w:rPr>
              <w:t>合计</w:t>
            </w:r>
          </w:p>
        </w:tc>
        <w:tc>
          <w:tcPr>
            <w:tcW w:w="2047" w:type="dxa"/>
            <w:tcBorders>
              <w:left w:val="single" w:color="000000" w:sz="4" w:space="0"/>
              <w:bottom w:val="single" w:color="000000" w:sz="4" w:space="0"/>
            </w:tcBorders>
            <w:vAlign w:val="center"/>
          </w:tcPr>
          <w:p>
            <w:pPr>
              <w:pStyle w:val="22"/>
              <w:jc w:val="right"/>
              <w:rPr>
                <w:rFonts w:ascii="仿宋" w:hAnsi="仿宋" w:eastAsia="仿宋" w:cs="仿宋"/>
              </w:rPr>
            </w:pPr>
            <w:r>
              <w:rPr>
                <w:rFonts w:hint="eastAsia" w:ascii="仿宋" w:hAnsi="仿宋" w:eastAsia="仿宋" w:cs="仿宋"/>
              </w:rPr>
              <w:t>1,538.76</w:t>
            </w:r>
          </w:p>
        </w:tc>
        <w:tc>
          <w:tcPr>
            <w:tcW w:w="2040" w:type="dxa"/>
            <w:tcBorders>
              <w:left w:val="single" w:color="000000" w:sz="4" w:space="0"/>
              <w:bottom w:val="single" w:color="000000" w:sz="4" w:space="0"/>
            </w:tcBorders>
            <w:vAlign w:val="center"/>
          </w:tcPr>
          <w:p>
            <w:pPr>
              <w:pStyle w:val="22"/>
              <w:jc w:val="right"/>
              <w:rPr>
                <w:rFonts w:ascii="仿宋" w:hAnsi="仿宋" w:eastAsia="仿宋" w:cs="仿宋"/>
              </w:rPr>
            </w:pPr>
            <w:r>
              <w:rPr>
                <w:rFonts w:hint="eastAsia" w:ascii="仿宋" w:hAnsi="仿宋" w:eastAsia="仿宋" w:cs="仿宋"/>
              </w:rPr>
              <w:t>1,411.46</w:t>
            </w:r>
          </w:p>
        </w:tc>
        <w:tc>
          <w:tcPr>
            <w:tcW w:w="1896"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127.30</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678.06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678.06</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164.10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164.10</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29.03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29.03</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奖金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伙食补助费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331.27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331.27</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58.97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58.97</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29.43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29.43</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6.54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6.54</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公务员医疗补助缴费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医疗费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55.38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55.38</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3.34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3.34</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127.30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127.30</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办公费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2.93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2.93</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印刷费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0.41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0.41</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咨询费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手续费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0.06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0.06</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1.30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1.30</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16.98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16.98</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邮电费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6.33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6.33</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取暖费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物业管理费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11.47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11.47</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差旅费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3.44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3.44</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因公出国（境）费用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9.76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9.76</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租赁费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会议费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培训费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被装购置费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专用燃料费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劳务费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0.40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0.40</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委托业务费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13.70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13.70</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50.03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50.03</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福利费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30231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30239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30240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税金及附加费用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0.38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0.38</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10.11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10.11</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733.40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733.40</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离休费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退休费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282.28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282.28</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退职（役）费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抚恤金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救济费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医疗费补助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450.12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450.12</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助学金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奖励金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1.00</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个人农业生产补贴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代缴社会保险费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债务利息及费用支出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30701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国内债务付息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30702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国外债务付息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30703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国内债务发行费用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30704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国外债务发行费用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房屋建筑物购建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办公设备购置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专用设备购置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基础设施建设</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大型修缮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信息网络及软件购置更新</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物资储备</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土地补偿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安置补助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地上附着物和青苗补偿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拆迁补偿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公务用车购置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其他交通工具购置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31021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文物和陈列品购置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31022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无形资产购置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资本金注入</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政府投资基金股权投资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费用补贴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利息补贴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39906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赠与</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39907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国家赔偿费用支出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39908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对民间非营利组织和群众性自治组织补贴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39999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bl>
    <w:p>
      <w:pPr>
        <w:tabs>
          <w:tab w:val="left" w:pos="660"/>
          <w:tab w:val="left" w:pos="10780"/>
        </w:tabs>
        <w:spacing w:before="25" w:line="290" w:lineRule="auto"/>
        <w:jc w:val="both"/>
        <w:rPr>
          <w:rFonts w:ascii="仿宋" w:hAnsi="仿宋" w:eastAsia="仿宋" w:cs="仿宋"/>
        </w:rPr>
      </w:pPr>
      <w:r>
        <w:rPr>
          <w:rFonts w:hint="eastAsia" w:ascii="仿宋" w:hAnsi="仿宋" w:eastAsia="仿宋" w:cs="仿宋"/>
        </w:rPr>
        <w:t>注：本表反映本年度一般公共预算财政拨款、政府性基金预算财政拨款和国有资本经营预算财政拨款基本支出情况。本表金额单位转换时可能存在尾数误差。</w:t>
      </w:r>
    </w:p>
    <w:p>
      <w:pPr>
        <w:spacing w:line="255" w:lineRule="exact"/>
        <w:jc w:val="both"/>
        <w:rPr>
          <w:rFonts w:ascii="仿宋" w:hAnsi="仿宋" w:eastAsia="仿宋" w:cs="仿宋"/>
        </w:rPr>
        <w:sectPr>
          <w:footerReference r:id="rId12" w:type="default"/>
          <w:pgSz w:w="11906" w:h="16838"/>
          <w:pgMar w:top="720" w:right="720" w:bottom="720" w:left="720" w:header="170" w:footer="280" w:gutter="0"/>
          <w:pgNumType w:fmt="numberInDash"/>
          <w:cols w:space="720" w:num="1"/>
          <w:formProt w:val="0"/>
          <w:docGrid w:linePitch="100" w:charSpace="0"/>
        </w:sectPr>
      </w:pPr>
    </w:p>
    <w:tbl>
      <w:tblPr>
        <w:tblStyle w:val="13"/>
        <w:tblW w:w="10446" w:type="dxa"/>
        <w:tblInd w:w="78" w:type="dxa"/>
        <w:tblLayout w:type="fixed"/>
        <w:tblCellMar>
          <w:top w:w="55" w:type="dxa"/>
          <w:left w:w="55" w:type="dxa"/>
          <w:bottom w:w="55" w:type="dxa"/>
          <w:right w:w="55" w:type="dxa"/>
        </w:tblCellMar>
      </w:tblPr>
      <w:tblGrid>
        <w:gridCol w:w="1134"/>
        <w:gridCol w:w="4332"/>
        <w:gridCol w:w="1969"/>
        <w:gridCol w:w="1499"/>
        <w:gridCol w:w="1512"/>
      </w:tblGrid>
      <w:tr>
        <w:tblPrEx>
          <w:tblLayout w:type="fixed"/>
          <w:tblCellMar>
            <w:top w:w="55" w:type="dxa"/>
            <w:left w:w="55" w:type="dxa"/>
            <w:bottom w:w="55" w:type="dxa"/>
            <w:right w:w="55" w:type="dxa"/>
          </w:tblCellMar>
        </w:tblPrEx>
        <w:trPr>
          <w:trHeight w:val="560" w:hRule="atLeast"/>
        </w:trPr>
        <w:tc>
          <w:tcPr>
            <w:tcW w:w="10446" w:type="dxa"/>
            <w:gridSpan w:val="5"/>
            <w:vAlign w:val="center"/>
          </w:tcPr>
          <w:p>
            <w:pPr>
              <w:pStyle w:val="22"/>
              <w:jc w:val="center"/>
              <w:rPr>
                <w:rFonts w:ascii="仿宋" w:hAnsi="仿宋" w:eastAsia="仿宋" w:cs="仿宋"/>
                <w:b/>
                <w:bCs/>
                <w:sz w:val="44"/>
                <w:szCs w:val="44"/>
              </w:rPr>
            </w:pPr>
            <w:r>
              <w:rPr>
                <w:rFonts w:hint="eastAsia"/>
                <w:b/>
                <w:bCs/>
                <w:color w:val="000000"/>
                <w:sz w:val="36"/>
                <w:szCs w:val="36"/>
                <w:lang w:eastAsia="ar-SA"/>
              </w:rPr>
              <w:t>一般公共预算支出决算表（功能科目）</w:t>
            </w:r>
          </w:p>
        </w:tc>
      </w:tr>
      <w:tr>
        <w:tblPrEx>
          <w:tblLayout w:type="fixed"/>
          <w:tblCellMar>
            <w:top w:w="55" w:type="dxa"/>
            <w:left w:w="55" w:type="dxa"/>
            <w:bottom w:w="55" w:type="dxa"/>
            <w:right w:w="55" w:type="dxa"/>
          </w:tblCellMar>
        </w:tblPrEx>
        <w:trPr>
          <w:trHeight w:val="147" w:hRule="atLeast"/>
        </w:trPr>
        <w:tc>
          <w:tcPr>
            <w:tcW w:w="5466" w:type="dxa"/>
            <w:gridSpan w:val="2"/>
          </w:tcPr>
          <w:p>
            <w:pPr>
              <w:pStyle w:val="22"/>
              <w:rPr>
                <w:rFonts w:ascii="仿宋" w:hAnsi="仿宋" w:eastAsia="仿宋" w:cs="仿宋"/>
                <w:sz w:val="20"/>
              </w:rPr>
            </w:pPr>
          </w:p>
        </w:tc>
        <w:tc>
          <w:tcPr>
            <w:tcW w:w="1969" w:type="dxa"/>
          </w:tcPr>
          <w:p>
            <w:pPr>
              <w:pStyle w:val="22"/>
              <w:rPr>
                <w:rFonts w:ascii="仿宋" w:hAnsi="仿宋" w:eastAsia="仿宋" w:cs="仿宋"/>
                <w:sz w:val="20"/>
              </w:rPr>
            </w:pPr>
          </w:p>
        </w:tc>
        <w:tc>
          <w:tcPr>
            <w:tcW w:w="1499" w:type="dxa"/>
          </w:tcPr>
          <w:p>
            <w:pPr>
              <w:pStyle w:val="22"/>
              <w:rPr>
                <w:rFonts w:ascii="仿宋" w:hAnsi="仿宋" w:eastAsia="仿宋" w:cs="仿宋"/>
                <w:sz w:val="20"/>
              </w:rPr>
            </w:pPr>
          </w:p>
        </w:tc>
        <w:tc>
          <w:tcPr>
            <w:tcW w:w="1512" w:type="dxa"/>
            <w:vAlign w:val="center"/>
          </w:tcPr>
          <w:p>
            <w:pPr>
              <w:pStyle w:val="22"/>
              <w:jc w:val="right"/>
              <w:rPr>
                <w:rFonts w:ascii="仿宋" w:hAnsi="仿宋" w:eastAsia="仿宋" w:cs="仿宋"/>
                <w:sz w:val="20"/>
              </w:rPr>
            </w:pPr>
            <w:r>
              <w:rPr>
                <w:rFonts w:hint="eastAsia" w:ascii="仿宋" w:hAnsi="仿宋" w:eastAsia="仿宋" w:cs="仿宋"/>
              </w:rPr>
              <w:t>公开07表</w:t>
            </w:r>
          </w:p>
        </w:tc>
      </w:tr>
      <w:tr>
        <w:tblPrEx>
          <w:tblLayout w:type="fixed"/>
          <w:tblCellMar>
            <w:top w:w="55" w:type="dxa"/>
            <w:left w:w="55" w:type="dxa"/>
            <w:bottom w:w="55" w:type="dxa"/>
            <w:right w:w="55" w:type="dxa"/>
          </w:tblCellMar>
        </w:tblPrEx>
        <w:trPr>
          <w:trHeight w:val="303" w:hRule="atLeast"/>
        </w:trPr>
        <w:tc>
          <w:tcPr>
            <w:tcW w:w="7435" w:type="dxa"/>
            <w:gridSpan w:val="3"/>
          </w:tcPr>
          <w:p>
            <w:pPr>
              <w:pStyle w:val="22"/>
              <w:rPr>
                <w:rFonts w:ascii="仿宋" w:hAnsi="仿宋" w:eastAsia="仿宋" w:cs="仿宋"/>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江苏省立新农场</w:t>
            </w:r>
          </w:p>
        </w:tc>
        <w:tc>
          <w:tcPr>
            <w:tcW w:w="3011" w:type="dxa"/>
            <w:gridSpan w:val="2"/>
          </w:tcPr>
          <w:p>
            <w:pPr>
              <w:pStyle w:val="22"/>
              <w:jc w:val="right"/>
              <w:rPr>
                <w:rFonts w:ascii="仿宋" w:hAnsi="仿宋" w:eastAsia="仿宋" w:cs="仿宋"/>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58" w:hRule="atLeast"/>
        </w:trPr>
        <w:tc>
          <w:tcPr>
            <w:tcW w:w="5466" w:type="dxa"/>
            <w:gridSpan w:val="2"/>
            <w:tcBorders>
              <w:top w:val="single" w:color="000000" w:sz="6" w:space="0"/>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1969" w:type="dxa"/>
            <w:vMerge w:val="restart"/>
            <w:tcBorders>
              <w:top w:val="single" w:color="000000" w:sz="6" w:space="0"/>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本年支出合计</w:t>
            </w:r>
          </w:p>
        </w:tc>
        <w:tc>
          <w:tcPr>
            <w:tcW w:w="1499" w:type="dxa"/>
            <w:vMerge w:val="restart"/>
            <w:tcBorders>
              <w:top w:val="single" w:color="000000" w:sz="6" w:space="0"/>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基本支出</w:t>
            </w:r>
          </w:p>
        </w:tc>
        <w:tc>
          <w:tcPr>
            <w:tcW w:w="1512" w:type="dxa"/>
            <w:vMerge w:val="restart"/>
            <w:tcBorders>
              <w:top w:val="single" w:color="000000" w:sz="6" w:space="0"/>
              <w:left w:val="single" w:color="000000" w:sz="6" w:space="0"/>
              <w:bottom w:val="single" w:color="000000" w:sz="6" w:space="0"/>
              <w:right w:val="single" w:color="000000" w:sz="6" w:space="0"/>
            </w:tcBorders>
            <w:vAlign w:val="center"/>
          </w:tcPr>
          <w:p>
            <w:pPr>
              <w:pStyle w:val="22"/>
              <w:jc w:val="center"/>
              <w:rPr>
                <w:rFonts w:ascii="仿宋" w:hAnsi="仿宋" w:eastAsia="仿宋" w:cs="仿宋"/>
              </w:rPr>
            </w:pPr>
            <w:r>
              <w:rPr>
                <w:rFonts w:hint="eastAsia" w:ascii="仿宋" w:hAnsi="仿宋" w:eastAsia="仿宋" w:cs="仿宋"/>
              </w:rPr>
              <w:t>项目支出</w:t>
            </w:r>
          </w:p>
        </w:tc>
      </w:tr>
      <w:tr>
        <w:tblPrEx>
          <w:tblLayout w:type="fixed"/>
          <w:tblCellMar>
            <w:top w:w="55" w:type="dxa"/>
            <w:left w:w="55" w:type="dxa"/>
            <w:bottom w:w="55" w:type="dxa"/>
            <w:right w:w="55" w:type="dxa"/>
          </w:tblCellMar>
        </w:tblPrEx>
        <w:trPr>
          <w:trHeight w:val="561" w:hRule="atLeast"/>
        </w:trPr>
        <w:tc>
          <w:tcPr>
            <w:tcW w:w="1134" w:type="dxa"/>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功能分类科目编码</w:t>
            </w:r>
          </w:p>
        </w:tc>
        <w:tc>
          <w:tcPr>
            <w:tcW w:w="4332" w:type="dxa"/>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科目名称</w:t>
            </w:r>
          </w:p>
        </w:tc>
        <w:tc>
          <w:tcPr>
            <w:tcW w:w="1969" w:type="dxa"/>
            <w:vMerge w:val="continue"/>
            <w:tcBorders>
              <w:left w:val="single" w:color="000000" w:sz="6" w:space="0"/>
              <w:bottom w:val="single" w:color="000000" w:sz="6" w:space="0"/>
            </w:tcBorders>
          </w:tcPr>
          <w:p>
            <w:pPr>
              <w:rPr>
                <w:rFonts w:ascii="仿宋" w:hAnsi="仿宋" w:eastAsia="仿宋" w:cs="仿宋"/>
                <w:sz w:val="2"/>
                <w:szCs w:val="2"/>
              </w:rPr>
            </w:pPr>
          </w:p>
        </w:tc>
        <w:tc>
          <w:tcPr>
            <w:tcW w:w="1499" w:type="dxa"/>
            <w:vMerge w:val="continue"/>
            <w:tcBorders>
              <w:left w:val="single" w:color="000000" w:sz="6" w:space="0"/>
              <w:bottom w:val="single" w:color="000000" w:sz="6" w:space="0"/>
            </w:tcBorders>
          </w:tcPr>
          <w:p>
            <w:pPr>
              <w:rPr>
                <w:rFonts w:ascii="仿宋" w:hAnsi="仿宋" w:eastAsia="仿宋" w:cs="仿宋"/>
                <w:sz w:val="2"/>
                <w:szCs w:val="2"/>
              </w:rPr>
            </w:pPr>
          </w:p>
        </w:tc>
        <w:tc>
          <w:tcPr>
            <w:tcW w:w="1512" w:type="dxa"/>
            <w:vMerge w:val="continue"/>
            <w:tcBorders>
              <w:left w:val="single" w:color="000000" w:sz="6" w:space="0"/>
              <w:bottom w:val="single" w:color="000000" w:sz="6" w:space="0"/>
              <w:right w:val="single" w:color="000000" w:sz="6" w:space="0"/>
            </w:tcBorders>
          </w:tcPr>
          <w:p>
            <w:pPr>
              <w:rPr>
                <w:rFonts w:ascii="仿宋" w:hAnsi="仿宋" w:eastAsia="仿宋" w:cs="仿宋"/>
                <w:sz w:val="2"/>
                <w:szCs w:val="2"/>
              </w:rPr>
            </w:pPr>
          </w:p>
        </w:tc>
      </w:tr>
      <w:tr>
        <w:tblPrEx>
          <w:tblLayout w:type="fixed"/>
          <w:tblCellMar>
            <w:top w:w="55" w:type="dxa"/>
            <w:left w:w="55" w:type="dxa"/>
            <w:bottom w:w="55" w:type="dxa"/>
            <w:right w:w="55" w:type="dxa"/>
          </w:tblCellMar>
        </w:tblPrEx>
        <w:trPr>
          <w:trHeight w:val="152" w:hRule="atLeast"/>
        </w:trPr>
        <w:tc>
          <w:tcPr>
            <w:tcW w:w="5466" w:type="dxa"/>
            <w:gridSpan w:val="2"/>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栏次</w:t>
            </w:r>
          </w:p>
        </w:tc>
        <w:tc>
          <w:tcPr>
            <w:tcW w:w="1969" w:type="dxa"/>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1</w:t>
            </w:r>
          </w:p>
        </w:tc>
        <w:tc>
          <w:tcPr>
            <w:tcW w:w="1499" w:type="dxa"/>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2</w:t>
            </w:r>
          </w:p>
        </w:tc>
        <w:tc>
          <w:tcPr>
            <w:tcW w:w="1512" w:type="dxa"/>
            <w:tcBorders>
              <w:left w:val="single" w:color="000000" w:sz="6" w:space="0"/>
              <w:bottom w:val="single" w:color="000000" w:sz="6" w:space="0"/>
              <w:right w:val="single" w:color="000000" w:sz="6" w:space="0"/>
            </w:tcBorders>
            <w:vAlign w:val="center"/>
          </w:tcPr>
          <w:p>
            <w:pPr>
              <w:pStyle w:val="22"/>
              <w:jc w:val="center"/>
              <w:rPr>
                <w:rFonts w:ascii="仿宋" w:hAnsi="仿宋" w:eastAsia="仿宋" w:cs="仿宋"/>
              </w:rPr>
            </w:pPr>
            <w:r>
              <w:rPr>
                <w:rFonts w:hint="eastAsia" w:ascii="仿宋" w:hAnsi="仿宋" w:eastAsia="仿宋" w:cs="仿宋"/>
              </w:rPr>
              <w:t>3</w:t>
            </w:r>
          </w:p>
        </w:tc>
      </w:tr>
      <w:tr>
        <w:tblPrEx>
          <w:tblLayout w:type="fixed"/>
          <w:tblCellMar>
            <w:top w:w="55" w:type="dxa"/>
            <w:left w:w="55" w:type="dxa"/>
            <w:bottom w:w="55" w:type="dxa"/>
            <w:right w:w="55" w:type="dxa"/>
          </w:tblCellMar>
        </w:tblPrEx>
        <w:trPr>
          <w:trHeight w:val="298" w:hRule="exact"/>
        </w:trPr>
        <w:tc>
          <w:tcPr>
            <w:tcW w:w="5466" w:type="dxa"/>
            <w:gridSpan w:val="2"/>
            <w:tcBorders>
              <w:left w:val="single" w:color="000000" w:sz="6" w:space="0"/>
              <w:bottom w:val="single" w:color="000000" w:sz="6" w:space="0"/>
            </w:tcBorders>
            <w:vAlign w:val="center"/>
          </w:tcPr>
          <w:p>
            <w:pPr>
              <w:pStyle w:val="22"/>
              <w:jc w:val="center"/>
              <w:rPr>
                <w:rFonts w:ascii="仿宋" w:hAnsi="仿宋" w:eastAsia="仿宋" w:cs="仿宋"/>
                <w:sz w:val="20"/>
              </w:rPr>
            </w:pPr>
            <w:r>
              <w:rPr>
                <w:rFonts w:hint="eastAsia" w:ascii="仿宋" w:hAnsi="仿宋" w:eastAsia="仿宋" w:cs="仿宋"/>
              </w:rPr>
              <w:t>合计</w:t>
            </w:r>
          </w:p>
        </w:tc>
        <w:tc>
          <w:tcPr>
            <w:tcW w:w="1969" w:type="dxa"/>
            <w:tcBorders>
              <w:left w:val="single" w:color="000000" w:sz="6" w:space="0"/>
              <w:bottom w:val="single" w:color="000000" w:sz="6" w:space="0"/>
            </w:tcBorders>
            <w:vAlign w:val="center"/>
          </w:tcPr>
          <w:p>
            <w:pPr>
              <w:pStyle w:val="22"/>
              <w:jc w:val="right"/>
              <w:rPr>
                <w:rFonts w:ascii="仿宋" w:hAnsi="仿宋" w:eastAsia="仿宋" w:cs="仿宋"/>
              </w:rPr>
            </w:pPr>
            <w:r>
              <w:rPr>
                <w:rFonts w:hint="eastAsia" w:ascii="仿宋" w:hAnsi="仿宋" w:eastAsia="仿宋" w:cs="仿宋"/>
              </w:rPr>
              <w:t>1,591.75</w:t>
            </w:r>
          </w:p>
        </w:tc>
        <w:tc>
          <w:tcPr>
            <w:tcW w:w="1499" w:type="dxa"/>
            <w:tcBorders>
              <w:left w:val="single" w:color="000000" w:sz="6" w:space="0"/>
              <w:bottom w:val="single" w:color="000000" w:sz="6" w:space="0"/>
            </w:tcBorders>
            <w:vAlign w:val="center"/>
          </w:tcPr>
          <w:p>
            <w:pPr>
              <w:pStyle w:val="22"/>
              <w:jc w:val="right"/>
              <w:rPr>
                <w:rFonts w:ascii="仿宋" w:hAnsi="仿宋" w:eastAsia="仿宋" w:cs="仿宋"/>
              </w:rPr>
            </w:pPr>
            <w:r>
              <w:rPr>
                <w:rFonts w:hint="eastAsia" w:ascii="仿宋" w:hAnsi="仿宋" w:eastAsia="仿宋" w:cs="仿宋"/>
              </w:rPr>
              <w:t>1,538.76</w:t>
            </w:r>
          </w:p>
        </w:tc>
        <w:tc>
          <w:tcPr>
            <w:tcW w:w="1512" w:type="dxa"/>
            <w:tcBorders>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52.99</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208</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社会保障和就业支出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1,309.47</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1,256.48</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52.99</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20805</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 xml:space="preserve">  行政事业单位养老支出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91.74</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91.74</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2080505</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 xml:space="preserve">    机关事业单位基本养老保险缴费支出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61.16</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61.16</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2080506</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 xml:space="preserve">    机关事业单位职业年金缴费支出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30.58</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30.58</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20810</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 xml:space="preserve">  社会福利</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1,217.73</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1,164.74</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52.99</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2081005</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 xml:space="preserve">    社会福利事业单位</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1,217.73</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1,164.74</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52.99</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221</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住房保障支出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282.28</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282.28</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22102</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 xml:space="preserve">  住房改革支出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282.28</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282.28</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2210202</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 xml:space="preserve">    提租补贴</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282.28</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282.28</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p>
        </w:tc>
      </w:tr>
    </w:tbl>
    <w:p>
      <w:pPr>
        <w:tabs>
          <w:tab w:val="left" w:pos="0"/>
        </w:tabs>
        <w:spacing w:before="25"/>
        <w:jc w:val="both"/>
        <w:rPr>
          <w:rFonts w:ascii="仿宋" w:hAnsi="仿宋" w:eastAsia="仿宋" w:cs="仿宋"/>
        </w:rPr>
      </w:pPr>
      <w:r>
        <w:rPr>
          <w:rFonts w:hint="eastAsia" w:ascii="仿宋" w:hAnsi="仿宋" w:eastAsia="仿宋" w:cs="仿宋"/>
        </w:rPr>
        <w:t>注：本表反映本年度一般公共预算财政拨款支出情况。本表金额单位转换时可能存在尾数误差。</w:t>
      </w:r>
    </w:p>
    <w:p>
      <w:pPr>
        <w:spacing w:before="25"/>
        <w:jc w:val="both"/>
        <w:rPr>
          <w:rFonts w:ascii="仿宋" w:hAnsi="仿宋" w:eastAsia="仿宋" w:cs="仿宋"/>
        </w:rPr>
        <w:sectPr>
          <w:footerReference r:id="rId13" w:type="default"/>
          <w:pgSz w:w="11906" w:h="16838"/>
          <w:pgMar w:top="720" w:right="720" w:bottom="720" w:left="720" w:header="170" w:footer="280" w:gutter="0"/>
          <w:pgNumType w:fmt="numberInDash"/>
          <w:cols w:space="720" w:num="1"/>
          <w:formProt w:val="0"/>
          <w:docGrid w:linePitch="100" w:charSpace="0"/>
        </w:sectPr>
      </w:pPr>
    </w:p>
    <w:tbl>
      <w:tblPr>
        <w:tblStyle w:val="13"/>
        <w:tblW w:w="10473" w:type="dxa"/>
        <w:tblInd w:w="65" w:type="dxa"/>
        <w:tblLayout w:type="fixed"/>
        <w:tblCellMar>
          <w:top w:w="55" w:type="dxa"/>
          <w:left w:w="55" w:type="dxa"/>
          <w:bottom w:w="55" w:type="dxa"/>
          <w:right w:w="55" w:type="dxa"/>
        </w:tblCellMar>
      </w:tblPr>
      <w:tblGrid>
        <w:gridCol w:w="1121"/>
        <w:gridCol w:w="3566"/>
        <w:gridCol w:w="2200"/>
        <w:gridCol w:w="1708"/>
        <w:gridCol w:w="1878"/>
      </w:tblGrid>
      <w:tr>
        <w:tblPrEx>
          <w:tblLayout w:type="fixed"/>
          <w:tblCellMar>
            <w:top w:w="55" w:type="dxa"/>
            <w:left w:w="55" w:type="dxa"/>
            <w:bottom w:w="55" w:type="dxa"/>
            <w:right w:w="55" w:type="dxa"/>
          </w:tblCellMar>
        </w:tblPrEx>
        <w:trPr>
          <w:trHeight w:val="319" w:hRule="atLeast"/>
        </w:trPr>
        <w:tc>
          <w:tcPr>
            <w:tcW w:w="10473" w:type="dxa"/>
            <w:gridSpan w:val="5"/>
          </w:tcPr>
          <w:p>
            <w:pPr>
              <w:pStyle w:val="22"/>
              <w:jc w:val="center"/>
              <w:rPr>
                <w:rFonts w:ascii="仿宋" w:hAnsi="仿宋" w:eastAsia="仿宋" w:cs="仿宋"/>
                <w:b/>
                <w:bCs/>
                <w:sz w:val="44"/>
                <w:szCs w:val="44"/>
              </w:rPr>
            </w:pPr>
            <w:r>
              <w:rPr>
                <w:rFonts w:hint="eastAsia"/>
                <w:b/>
                <w:bCs/>
                <w:color w:val="000000"/>
                <w:sz w:val="36"/>
                <w:szCs w:val="36"/>
                <w:lang w:eastAsia="ar-SA"/>
              </w:rPr>
              <w:t>一般公共预算基本支出决算表（经济科目）</w:t>
            </w:r>
          </w:p>
        </w:tc>
      </w:tr>
      <w:tr>
        <w:tblPrEx>
          <w:tblLayout w:type="fixed"/>
          <w:tblCellMar>
            <w:top w:w="55" w:type="dxa"/>
            <w:left w:w="55" w:type="dxa"/>
            <w:bottom w:w="55" w:type="dxa"/>
            <w:right w:w="55" w:type="dxa"/>
          </w:tblCellMar>
        </w:tblPrEx>
        <w:trPr>
          <w:trHeight w:val="199" w:hRule="atLeast"/>
        </w:trPr>
        <w:tc>
          <w:tcPr>
            <w:tcW w:w="8595" w:type="dxa"/>
            <w:gridSpan w:val="4"/>
            <w:vAlign w:val="center"/>
          </w:tcPr>
          <w:p>
            <w:pPr>
              <w:pStyle w:val="22"/>
              <w:jc w:val="right"/>
              <w:rPr>
                <w:rFonts w:ascii="仿宋" w:hAnsi="仿宋" w:eastAsia="仿宋" w:cs="仿宋"/>
                <w:color w:val="000000"/>
              </w:rPr>
            </w:pPr>
          </w:p>
        </w:tc>
        <w:tc>
          <w:tcPr>
            <w:tcW w:w="1878" w:type="dxa"/>
            <w:vAlign w:val="center"/>
          </w:tcPr>
          <w:p>
            <w:pPr>
              <w:pStyle w:val="22"/>
              <w:jc w:val="right"/>
              <w:rPr>
                <w:rFonts w:ascii="仿宋" w:hAnsi="仿宋" w:eastAsia="仿宋" w:cs="仿宋"/>
              </w:rPr>
            </w:pPr>
            <w:r>
              <w:rPr>
                <w:rFonts w:hint="eastAsia" w:ascii="仿宋" w:hAnsi="仿宋" w:eastAsia="仿宋" w:cs="仿宋"/>
              </w:rPr>
              <w:t>公开08表</w:t>
            </w:r>
          </w:p>
        </w:tc>
      </w:tr>
      <w:tr>
        <w:tblPrEx>
          <w:tblLayout w:type="fixed"/>
          <w:tblCellMar>
            <w:top w:w="55" w:type="dxa"/>
            <w:left w:w="55" w:type="dxa"/>
            <w:bottom w:w="55" w:type="dxa"/>
            <w:right w:w="55" w:type="dxa"/>
          </w:tblCellMar>
        </w:tblPrEx>
        <w:trPr>
          <w:trHeight w:val="320" w:hRule="atLeast"/>
        </w:trPr>
        <w:tc>
          <w:tcPr>
            <w:tcW w:w="8595" w:type="dxa"/>
            <w:gridSpan w:val="4"/>
            <w:vAlign w:val="center"/>
          </w:tcPr>
          <w:p>
            <w:pPr>
              <w:pStyle w:val="22"/>
              <w:rPr>
                <w:rFonts w:ascii="仿宋" w:hAnsi="仿宋" w:eastAsia="仿宋" w:cs="仿宋"/>
                <w:sz w:val="20"/>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江苏省立新农场</w:t>
            </w:r>
          </w:p>
        </w:tc>
        <w:tc>
          <w:tcPr>
            <w:tcW w:w="1878" w:type="dxa"/>
            <w:vAlign w:val="center"/>
          </w:tcPr>
          <w:p>
            <w:pPr>
              <w:pStyle w:val="22"/>
              <w:jc w:val="right"/>
              <w:rPr>
                <w:rFonts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80" w:hRule="atLeast"/>
        </w:trPr>
        <w:tc>
          <w:tcPr>
            <w:tcW w:w="4687" w:type="dxa"/>
            <w:gridSpan w:val="2"/>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5786" w:type="dxa"/>
            <w:gridSpan w:val="3"/>
            <w:tcBorders>
              <w:top w:val="single" w:color="000000" w:sz="4" w:space="0"/>
              <w:left w:val="single" w:color="000000" w:sz="4" w:space="0"/>
              <w:bottom w:val="single" w:color="000000" w:sz="4" w:space="0"/>
              <w:right w:val="single" w:color="000000" w:sz="4" w:space="0"/>
            </w:tcBorders>
            <w:vAlign w:val="center"/>
          </w:tcPr>
          <w:p>
            <w:pPr>
              <w:pStyle w:val="22"/>
              <w:jc w:val="center"/>
              <w:rPr>
                <w:rFonts w:ascii="仿宋" w:hAnsi="仿宋" w:eastAsia="仿宋" w:cs="仿宋"/>
                <w:sz w:val="20"/>
              </w:rPr>
            </w:pPr>
            <w:r>
              <w:rPr>
                <w:rFonts w:hint="eastAsia" w:ascii="仿宋" w:hAnsi="仿宋" w:eastAsia="仿宋" w:cs="仿宋"/>
              </w:rPr>
              <w:t>一般公共预算财政拨款基本支出</w:t>
            </w:r>
          </w:p>
        </w:tc>
      </w:tr>
      <w:tr>
        <w:tblPrEx>
          <w:tblLayout w:type="fixed"/>
          <w:tblCellMar>
            <w:top w:w="55" w:type="dxa"/>
            <w:left w:w="55" w:type="dxa"/>
            <w:bottom w:w="55" w:type="dxa"/>
            <w:right w:w="55" w:type="dxa"/>
          </w:tblCellMar>
        </w:tblPrEx>
        <w:trPr>
          <w:trHeight w:val="474" w:hRule="atLeast"/>
        </w:trPr>
        <w:tc>
          <w:tcPr>
            <w:tcW w:w="1121"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经济分类科目编码</w:t>
            </w:r>
          </w:p>
        </w:tc>
        <w:tc>
          <w:tcPr>
            <w:tcW w:w="3566"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科目名称</w:t>
            </w:r>
          </w:p>
        </w:tc>
        <w:tc>
          <w:tcPr>
            <w:tcW w:w="2200"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合计</w:t>
            </w:r>
          </w:p>
        </w:tc>
        <w:tc>
          <w:tcPr>
            <w:tcW w:w="1708"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人员经费</w:t>
            </w:r>
          </w:p>
        </w:tc>
        <w:tc>
          <w:tcPr>
            <w:tcW w:w="1878" w:type="dxa"/>
            <w:tcBorders>
              <w:left w:val="single" w:color="000000" w:sz="4" w:space="0"/>
              <w:bottom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公用经费</w:t>
            </w:r>
          </w:p>
        </w:tc>
      </w:tr>
      <w:tr>
        <w:tblPrEx>
          <w:tblLayout w:type="fixed"/>
          <w:tblCellMar>
            <w:top w:w="55" w:type="dxa"/>
            <w:left w:w="55" w:type="dxa"/>
            <w:bottom w:w="55" w:type="dxa"/>
            <w:right w:w="55" w:type="dxa"/>
          </w:tblCellMar>
        </w:tblPrEx>
        <w:trPr>
          <w:trHeight w:val="394" w:hRule="exact"/>
        </w:trPr>
        <w:tc>
          <w:tcPr>
            <w:tcW w:w="4687" w:type="dxa"/>
            <w:gridSpan w:val="2"/>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合计</w:t>
            </w:r>
          </w:p>
        </w:tc>
        <w:tc>
          <w:tcPr>
            <w:tcW w:w="2200" w:type="dxa"/>
            <w:tcBorders>
              <w:left w:val="single" w:color="000000" w:sz="4" w:space="0"/>
              <w:bottom w:val="single" w:color="000000" w:sz="4" w:space="0"/>
            </w:tcBorders>
            <w:vAlign w:val="center"/>
          </w:tcPr>
          <w:p>
            <w:pPr>
              <w:pStyle w:val="22"/>
              <w:jc w:val="right"/>
              <w:rPr>
                <w:rFonts w:ascii="仿宋" w:hAnsi="仿宋" w:eastAsia="仿宋" w:cs="仿宋"/>
              </w:rPr>
            </w:pPr>
            <w:r>
              <w:rPr>
                <w:rFonts w:hint="eastAsia" w:ascii="仿宋" w:hAnsi="仿宋" w:eastAsia="仿宋" w:cs="仿宋"/>
              </w:rPr>
              <w:t>1,538.76</w:t>
            </w:r>
          </w:p>
        </w:tc>
        <w:tc>
          <w:tcPr>
            <w:tcW w:w="1708" w:type="dxa"/>
            <w:tcBorders>
              <w:left w:val="single" w:color="000000" w:sz="4" w:space="0"/>
              <w:bottom w:val="single" w:color="000000" w:sz="4" w:space="0"/>
            </w:tcBorders>
            <w:vAlign w:val="center"/>
          </w:tcPr>
          <w:p>
            <w:pPr>
              <w:pStyle w:val="22"/>
              <w:jc w:val="right"/>
              <w:rPr>
                <w:rFonts w:ascii="仿宋" w:hAnsi="仿宋" w:eastAsia="仿宋" w:cs="仿宋"/>
              </w:rPr>
            </w:pPr>
            <w:r>
              <w:rPr>
                <w:rFonts w:hint="eastAsia" w:ascii="仿宋" w:hAnsi="仿宋" w:eastAsia="仿宋" w:cs="仿宋"/>
              </w:rPr>
              <w:t>1,411.46</w:t>
            </w:r>
          </w:p>
        </w:tc>
        <w:tc>
          <w:tcPr>
            <w:tcW w:w="1878"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127.30</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工资福利支出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678.06</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678.06</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基本工资</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164.10</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164.10</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津贴补贴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29.03</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29.03</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奖金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伙食补助费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绩效工资</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331.27</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331.27</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机关事业单位基本养老保险缴费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58.97</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58.97</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职业年金缴费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29.43</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29.43</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职工基本医疗保险缴费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6.54</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6.54</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公务员医疗补助缴费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其他社会保障缴费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30113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住房公积金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30114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医疗费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55.38</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55.38</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其他工资福利支出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3.34</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3.34</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商品和服务支出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127.30</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127.30</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办公费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2.93</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2.93</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印刷费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0.41</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0.41</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咨询费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手续费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0.06</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0.06</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1.30</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1.30</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电费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16.98</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16.98</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邮电费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6.33</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6.33</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取暖费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物业管理费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11.47</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11.47</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差旅费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3.44</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3.44</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因公出国（境）费用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维修（护）费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9.76</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9.76</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租赁费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会议费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培训费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公务接待费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专用材料费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被装购置费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专用燃料费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劳务费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0.40</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0.40</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委托业务费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13.70</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13.70</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工会经费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50.03</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50.03</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福利费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30231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公务用车运行维护费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30239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其他交通费用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30240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税金及附加费用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0.38</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0.38</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其他商品和服务支出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10.11</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10.11</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对个人和家庭的补助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733.40</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733.40</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离休费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退休费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282.28</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282.28</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退职（役）费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抚恤金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生活补助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救济费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医疗费补助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450.12</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450.12</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助学金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奖励金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1.00</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1.00</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个人农业生产补贴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代缴社会保险费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其他对个人和家庭的补助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债务利息及费用支出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30701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国内债务付息</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30702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国外债务付息</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30703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国内债务发行费用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30704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国外债务发行费用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资本性支出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房屋建筑物购建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办公设备购置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专用设备购置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基础设施建设</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大型修缮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信息网络及软件购置更新</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物资储备</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土地补偿</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安置补助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地上附着物和青苗补偿</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拆迁补偿</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公务用车购置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其他交通工具购置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31021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文物和陈列品购置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31022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无形资产购置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其他资本性支出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对企业补助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31201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资本金注入</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31203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政府投资基金股权投资</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31204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费用补贴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31205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利息补贴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31299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其他对企业补助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其他支出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39906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赠与</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39907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国家赔偿费用支出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39908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对民间非营利组织和群众性自治组织补贴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39999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bl>
    <w:p>
      <w:pPr>
        <w:spacing w:before="25"/>
        <w:ind w:right="-92" w:rightChars="-42"/>
        <w:jc w:val="both"/>
        <w:rPr>
          <w:rFonts w:ascii="仿宋" w:hAnsi="仿宋" w:eastAsia="仿宋" w:cs="仿宋"/>
        </w:rPr>
      </w:pPr>
      <w:r>
        <w:rPr>
          <w:rFonts w:hint="eastAsia" w:ascii="仿宋" w:hAnsi="仿宋" w:eastAsia="仿宋" w:cs="仿宋"/>
        </w:rPr>
        <w:t>注：本表反映本年度一般公共预算财政拨款基本支出情况。本表金额单位转换时可能存在尾数误差。</w:t>
      </w:r>
    </w:p>
    <w:p>
      <w:pPr>
        <w:spacing w:before="25"/>
        <w:jc w:val="both"/>
        <w:rPr>
          <w:rFonts w:ascii="仿宋" w:hAnsi="仿宋" w:eastAsia="仿宋" w:cs="仿宋"/>
        </w:rPr>
        <w:sectPr>
          <w:footerReference r:id="rId14" w:type="default"/>
          <w:pgSz w:w="11906" w:h="16838"/>
          <w:pgMar w:top="720" w:right="720" w:bottom="720" w:left="720" w:header="170" w:footer="280" w:gutter="0"/>
          <w:pgNumType w:fmt="numberInDash"/>
          <w:cols w:space="720" w:num="1"/>
          <w:formProt w:val="0"/>
          <w:docGrid w:linePitch="100" w:charSpace="0"/>
        </w:sectPr>
      </w:pPr>
    </w:p>
    <w:tbl>
      <w:tblPr>
        <w:tblStyle w:val="13"/>
        <w:tblW w:w="16486" w:type="dxa"/>
        <w:tblInd w:w="62" w:type="dxa"/>
        <w:tblLayout w:type="fixed"/>
        <w:tblCellMar>
          <w:top w:w="55" w:type="dxa"/>
          <w:left w:w="55" w:type="dxa"/>
          <w:bottom w:w="55" w:type="dxa"/>
          <w:right w:w="55" w:type="dxa"/>
        </w:tblCellMar>
      </w:tblPr>
      <w:tblGrid>
        <w:gridCol w:w="1044"/>
        <w:gridCol w:w="1042"/>
        <w:gridCol w:w="1020"/>
        <w:gridCol w:w="1029"/>
        <w:gridCol w:w="998"/>
        <w:gridCol w:w="1026"/>
        <w:gridCol w:w="1043"/>
        <w:gridCol w:w="1010"/>
        <w:gridCol w:w="1058"/>
        <w:gridCol w:w="1010"/>
        <w:gridCol w:w="948"/>
        <w:gridCol w:w="1089"/>
        <w:gridCol w:w="1042"/>
        <w:gridCol w:w="1043"/>
        <w:gridCol w:w="1057"/>
        <w:gridCol w:w="1027"/>
      </w:tblGrid>
      <w:tr>
        <w:tblPrEx>
          <w:tblLayout w:type="fixed"/>
          <w:tblCellMar>
            <w:top w:w="55" w:type="dxa"/>
            <w:left w:w="55" w:type="dxa"/>
            <w:bottom w:w="55" w:type="dxa"/>
            <w:right w:w="55" w:type="dxa"/>
          </w:tblCellMar>
        </w:tblPrEx>
        <w:trPr>
          <w:trHeight w:val="321" w:hRule="atLeast"/>
        </w:trPr>
        <w:tc>
          <w:tcPr>
            <w:tcW w:w="16486" w:type="dxa"/>
            <w:gridSpan w:val="16"/>
          </w:tcPr>
          <w:p>
            <w:pPr>
              <w:pStyle w:val="22"/>
              <w:jc w:val="center"/>
              <w:rPr>
                <w:rFonts w:ascii="仿宋" w:hAnsi="仿宋" w:eastAsia="仿宋" w:cs="仿宋"/>
                <w:b/>
                <w:bCs/>
                <w:sz w:val="44"/>
                <w:szCs w:val="44"/>
              </w:rPr>
            </w:pPr>
            <w:r>
              <w:rPr>
                <w:rFonts w:hint="eastAsia"/>
                <w:b/>
                <w:bCs/>
                <w:color w:val="000000"/>
                <w:sz w:val="36"/>
                <w:szCs w:val="36"/>
                <w:lang w:eastAsia="ar-SA"/>
              </w:rPr>
              <w:t>一般公共预算“三公”经费、会议费、培训费支出决算表</w:t>
            </w:r>
          </w:p>
        </w:tc>
      </w:tr>
      <w:tr>
        <w:tblPrEx>
          <w:tblLayout w:type="fixed"/>
          <w:tblCellMar>
            <w:top w:w="55" w:type="dxa"/>
            <w:left w:w="55" w:type="dxa"/>
            <w:bottom w:w="55" w:type="dxa"/>
            <w:right w:w="55" w:type="dxa"/>
          </w:tblCellMar>
        </w:tblPrEx>
        <w:trPr>
          <w:trHeight w:val="207" w:hRule="atLeast"/>
        </w:trPr>
        <w:tc>
          <w:tcPr>
            <w:tcW w:w="16486" w:type="dxa"/>
            <w:gridSpan w:val="16"/>
          </w:tcPr>
          <w:p>
            <w:pPr>
              <w:pStyle w:val="22"/>
              <w:jc w:val="right"/>
              <w:rPr>
                <w:rFonts w:ascii="仿宋" w:hAnsi="仿宋" w:eastAsia="仿宋" w:cs="仿宋"/>
                <w:sz w:val="20"/>
              </w:rPr>
            </w:pPr>
            <w:r>
              <w:rPr>
                <w:rFonts w:hint="eastAsia" w:ascii="仿宋" w:hAnsi="仿宋" w:eastAsia="仿宋" w:cs="仿宋"/>
              </w:rPr>
              <w:t>公开09表</w:t>
            </w:r>
          </w:p>
        </w:tc>
      </w:tr>
      <w:tr>
        <w:tblPrEx>
          <w:tblLayout w:type="fixed"/>
          <w:tblCellMar>
            <w:top w:w="55" w:type="dxa"/>
            <w:left w:w="55" w:type="dxa"/>
            <w:bottom w:w="55" w:type="dxa"/>
            <w:right w:w="55" w:type="dxa"/>
          </w:tblCellMar>
        </w:tblPrEx>
        <w:trPr>
          <w:trHeight w:val="103" w:hRule="atLeast"/>
        </w:trPr>
        <w:tc>
          <w:tcPr>
            <w:tcW w:w="8212" w:type="dxa"/>
            <w:gridSpan w:val="8"/>
            <w:tcBorders>
              <w:bottom w:val="single" w:color="auto" w:sz="4" w:space="0"/>
            </w:tcBorders>
          </w:tcPr>
          <w:p>
            <w:pPr>
              <w:pStyle w:val="22"/>
              <w:rPr>
                <w:rFonts w:ascii="仿宋" w:hAnsi="仿宋" w:eastAsia="仿宋" w:cs="仿宋"/>
                <w:sz w:val="20"/>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江苏省立新农场</w:t>
            </w:r>
          </w:p>
        </w:tc>
        <w:tc>
          <w:tcPr>
            <w:tcW w:w="8274" w:type="dxa"/>
            <w:gridSpan w:val="8"/>
            <w:tcBorders>
              <w:bottom w:val="single" w:color="auto" w:sz="4" w:space="0"/>
            </w:tcBorders>
          </w:tcPr>
          <w:p>
            <w:pPr>
              <w:pStyle w:val="22"/>
              <w:jc w:val="right"/>
              <w:rPr>
                <w:rFonts w:ascii="仿宋" w:hAnsi="仿宋" w:eastAsia="仿宋" w:cs="仿宋"/>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71" w:hRule="atLeast"/>
        </w:trPr>
        <w:tc>
          <w:tcPr>
            <w:tcW w:w="8212" w:type="dxa"/>
            <w:gridSpan w:val="8"/>
            <w:tcBorders>
              <w:top w:val="single" w:color="auto" w:sz="4" w:space="0"/>
              <w:left w:val="single" w:color="auto" w:sz="4" w:space="0"/>
              <w:bottom w:val="single" w:color="auto" w:sz="4" w:space="0"/>
              <w:right w:val="single" w:color="auto" w:sz="4" w:space="0"/>
            </w:tcBorders>
          </w:tcPr>
          <w:p>
            <w:pPr>
              <w:pStyle w:val="22"/>
              <w:jc w:val="center"/>
              <w:rPr>
                <w:rFonts w:ascii="仿宋" w:hAnsi="仿宋" w:eastAsia="仿宋" w:cs="仿宋"/>
              </w:rPr>
            </w:pPr>
            <w:r>
              <w:rPr>
                <w:rFonts w:hint="eastAsia" w:ascii="仿宋" w:hAnsi="仿宋" w:eastAsia="仿宋" w:cs="仿宋"/>
                <w:lang w:val="en-US"/>
              </w:rPr>
              <w:t>预算数</w:t>
            </w:r>
          </w:p>
        </w:tc>
        <w:tc>
          <w:tcPr>
            <w:tcW w:w="8274" w:type="dxa"/>
            <w:gridSpan w:val="8"/>
            <w:tcBorders>
              <w:top w:val="single" w:color="auto" w:sz="4" w:space="0"/>
              <w:left w:val="single" w:color="auto" w:sz="4" w:space="0"/>
              <w:bottom w:val="single" w:color="auto" w:sz="4" w:space="0"/>
              <w:right w:val="single" w:color="auto" w:sz="4" w:space="0"/>
            </w:tcBorders>
          </w:tcPr>
          <w:p>
            <w:pPr>
              <w:pStyle w:val="22"/>
              <w:jc w:val="center"/>
              <w:rPr>
                <w:rFonts w:ascii="仿宋" w:hAnsi="仿宋" w:eastAsia="仿宋" w:cs="仿宋"/>
                <w:lang w:val="en-US"/>
              </w:rPr>
            </w:pPr>
            <w:r>
              <w:rPr>
                <w:rFonts w:hint="eastAsia" w:ascii="仿宋" w:hAnsi="仿宋" w:eastAsia="仿宋" w:cs="仿宋"/>
                <w:lang w:val="en-US"/>
              </w:rPr>
              <w:t>决算数</w:t>
            </w:r>
          </w:p>
        </w:tc>
      </w:tr>
      <w:tr>
        <w:tblPrEx>
          <w:tblLayout w:type="fixed"/>
          <w:tblCellMar>
            <w:top w:w="55" w:type="dxa"/>
            <w:left w:w="55" w:type="dxa"/>
            <w:bottom w:w="55" w:type="dxa"/>
            <w:right w:w="55" w:type="dxa"/>
          </w:tblCellMar>
        </w:tblPrEx>
        <w:trPr>
          <w:trHeight w:val="179" w:hRule="atLeast"/>
        </w:trPr>
        <w:tc>
          <w:tcPr>
            <w:tcW w:w="6159" w:type="dxa"/>
            <w:gridSpan w:val="6"/>
            <w:tcBorders>
              <w:top w:val="single" w:color="auto"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“三公”经费</w:t>
            </w:r>
          </w:p>
        </w:tc>
        <w:tc>
          <w:tcPr>
            <w:tcW w:w="1043" w:type="dxa"/>
            <w:vMerge w:val="restart"/>
            <w:tcBorders>
              <w:top w:val="single" w:color="auto"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会议费</w:t>
            </w:r>
          </w:p>
        </w:tc>
        <w:tc>
          <w:tcPr>
            <w:tcW w:w="1010" w:type="dxa"/>
            <w:vMerge w:val="restart"/>
            <w:tcBorders>
              <w:top w:val="single" w:color="auto" w:sz="4" w:space="0"/>
              <w:left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培训费</w:t>
            </w:r>
          </w:p>
        </w:tc>
        <w:tc>
          <w:tcPr>
            <w:tcW w:w="6190" w:type="dxa"/>
            <w:gridSpan w:val="6"/>
            <w:tcBorders>
              <w:top w:val="single" w:color="auto" w:sz="4" w:space="0"/>
              <w:left w:val="single" w:color="000000" w:sz="4" w:space="0"/>
              <w:bottom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“三公”经费</w:t>
            </w:r>
          </w:p>
        </w:tc>
        <w:tc>
          <w:tcPr>
            <w:tcW w:w="1057" w:type="dxa"/>
            <w:vMerge w:val="restart"/>
            <w:tcBorders>
              <w:top w:val="single" w:color="auto" w:sz="4" w:space="0"/>
              <w:left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会议费</w:t>
            </w:r>
          </w:p>
        </w:tc>
        <w:tc>
          <w:tcPr>
            <w:tcW w:w="1027" w:type="dxa"/>
            <w:vMerge w:val="restart"/>
            <w:tcBorders>
              <w:top w:val="single" w:color="auto" w:sz="4" w:space="0"/>
              <w:left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培训费</w:t>
            </w:r>
          </w:p>
        </w:tc>
      </w:tr>
      <w:tr>
        <w:tblPrEx>
          <w:tblLayout w:type="fixed"/>
          <w:tblCellMar>
            <w:top w:w="55" w:type="dxa"/>
            <w:left w:w="55" w:type="dxa"/>
            <w:bottom w:w="55" w:type="dxa"/>
            <w:right w:w="55" w:type="dxa"/>
          </w:tblCellMar>
        </w:tblPrEx>
        <w:trPr>
          <w:trHeight w:val="297" w:hRule="atLeast"/>
        </w:trPr>
        <w:tc>
          <w:tcPr>
            <w:tcW w:w="1044" w:type="dxa"/>
            <w:vMerge w:val="restart"/>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“三公”经费合计</w:t>
            </w:r>
          </w:p>
        </w:tc>
        <w:tc>
          <w:tcPr>
            <w:tcW w:w="1042" w:type="dxa"/>
            <w:vMerge w:val="restart"/>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因公出国（境）费</w:t>
            </w:r>
          </w:p>
        </w:tc>
        <w:tc>
          <w:tcPr>
            <w:tcW w:w="3047" w:type="dxa"/>
            <w:gridSpan w:val="3"/>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公务用车购置及运行费</w:t>
            </w:r>
          </w:p>
        </w:tc>
        <w:tc>
          <w:tcPr>
            <w:tcW w:w="1026" w:type="dxa"/>
            <w:vMerge w:val="restart"/>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公务</w:t>
            </w:r>
          </w:p>
          <w:p>
            <w:pPr>
              <w:pStyle w:val="22"/>
              <w:jc w:val="center"/>
              <w:rPr>
                <w:rFonts w:ascii="仿宋" w:hAnsi="仿宋" w:eastAsia="仿宋" w:cs="仿宋"/>
              </w:rPr>
            </w:pPr>
            <w:r>
              <w:rPr>
                <w:rFonts w:hint="eastAsia" w:ascii="仿宋" w:hAnsi="仿宋" w:eastAsia="仿宋" w:cs="仿宋"/>
              </w:rPr>
              <w:t>接待费</w:t>
            </w:r>
          </w:p>
        </w:tc>
        <w:tc>
          <w:tcPr>
            <w:tcW w:w="1043" w:type="dxa"/>
            <w:vMerge w:val="continue"/>
            <w:tcBorders>
              <w:left w:val="single" w:color="000000" w:sz="4" w:space="0"/>
              <w:bottom w:val="single" w:color="000000" w:sz="4" w:space="0"/>
            </w:tcBorders>
            <w:vAlign w:val="center"/>
          </w:tcPr>
          <w:p>
            <w:pPr>
              <w:jc w:val="center"/>
              <w:rPr>
                <w:rFonts w:ascii="仿宋" w:hAnsi="仿宋" w:eastAsia="仿宋" w:cs="仿宋"/>
                <w:sz w:val="20"/>
              </w:rPr>
            </w:pPr>
          </w:p>
        </w:tc>
        <w:tc>
          <w:tcPr>
            <w:tcW w:w="1010" w:type="dxa"/>
            <w:vMerge w:val="continue"/>
            <w:tcBorders>
              <w:left w:val="single" w:color="000000" w:sz="4" w:space="0"/>
              <w:right w:val="single" w:color="000000" w:sz="4" w:space="0"/>
            </w:tcBorders>
            <w:vAlign w:val="center"/>
          </w:tcPr>
          <w:p>
            <w:pPr>
              <w:jc w:val="center"/>
              <w:rPr>
                <w:rFonts w:ascii="仿宋" w:hAnsi="仿宋" w:eastAsia="仿宋" w:cs="仿宋"/>
                <w:sz w:val="20"/>
              </w:rPr>
            </w:pPr>
          </w:p>
        </w:tc>
        <w:tc>
          <w:tcPr>
            <w:tcW w:w="1058" w:type="dxa"/>
            <w:vMerge w:val="restart"/>
            <w:tcBorders>
              <w:left w:val="single" w:color="000000" w:sz="4" w:space="0"/>
              <w:right w:val="single" w:color="000000" w:sz="4" w:space="0"/>
            </w:tcBorders>
            <w:vAlign w:val="center"/>
          </w:tcPr>
          <w:p>
            <w:pPr>
              <w:pStyle w:val="22"/>
              <w:jc w:val="center"/>
              <w:rPr>
                <w:rFonts w:ascii="仿宋" w:hAnsi="仿宋" w:eastAsia="仿宋" w:cs="仿宋"/>
                <w:sz w:val="20"/>
              </w:rPr>
            </w:pPr>
            <w:r>
              <w:rPr>
                <w:rFonts w:hint="eastAsia" w:ascii="仿宋" w:hAnsi="仿宋" w:eastAsia="仿宋" w:cs="仿宋"/>
              </w:rPr>
              <w:t>“三公”经费合计</w:t>
            </w:r>
          </w:p>
        </w:tc>
        <w:tc>
          <w:tcPr>
            <w:tcW w:w="1010" w:type="dxa"/>
            <w:vMerge w:val="restart"/>
            <w:tcBorders>
              <w:left w:val="single" w:color="000000" w:sz="4" w:space="0"/>
              <w:right w:val="single" w:color="000000" w:sz="4" w:space="0"/>
            </w:tcBorders>
            <w:vAlign w:val="center"/>
          </w:tcPr>
          <w:p>
            <w:pPr>
              <w:pStyle w:val="22"/>
              <w:jc w:val="center"/>
              <w:rPr>
                <w:rFonts w:ascii="仿宋" w:hAnsi="仿宋" w:eastAsia="仿宋" w:cs="仿宋"/>
                <w:sz w:val="20"/>
              </w:rPr>
            </w:pPr>
            <w:r>
              <w:rPr>
                <w:rFonts w:hint="eastAsia" w:ascii="仿宋" w:hAnsi="仿宋" w:eastAsia="仿宋" w:cs="仿宋"/>
              </w:rPr>
              <w:t>因公出国（境）费</w:t>
            </w:r>
          </w:p>
        </w:tc>
        <w:tc>
          <w:tcPr>
            <w:tcW w:w="3079" w:type="dxa"/>
            <w:gridSpan w:val="3"/>
            <w:tcBorders>
              <w:left w:val="single" w:color="000000" w:sz="4" w:space="0"/>
              <w:bottom w:val="single" w:color="000000" w:sz="4" w:space="0"/>
              <w:right w:val="single" w:color="000000" w:sz="4" w:space="0"/>
            </w:tcBorders>
            <w:vAlign w:val="center"/>
          </w:tcPr>
          <w:p>
            <w:pPr>
              <w:pStyle w:val="22"/>
              <w:jc w:val="center"/>
              <w:rPr>
                <w:rFonts w:ascii="仿宋" w:hAnsi="仿宋" w:eastAsia="仿宋" w:cs="仿宋"/>
                <w:sz w:val="20"/>
              </w:rPr>
            </w:pPr>
            <w:r>
              <w:rPr>
                <w:rFonts w:hint="eastAsia" w:ascii="仿宋" w:hAnsi="仿宋" w:eastAsia="仿宋" w:cs="仿宋"/>
              </w:rPr>
              <w:t>公务用车购置及运行费</w:t>
            </w:r>
          </w:p>
        </w:tc>
        <w:tc>
          <w:tcPr>
            <w:tcW w:w="1043" w:type="dxa"/>
            <w:vMerge w:val="restart"/>
            <w:tcBorders>
              <w:left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公务</w:t>
            </w:r>
          </w:p>
          <w:p>
            <w:pPr>
              <w:pStyle w:val="22"/>
              <w:jc w:val="center"/>
              <w:rPr>
                <w:rFonts w:ascii="仿宋" w:hAnsi="仿宋" w:eastAsia="仿宋" w:cs="仿宋"/>
                <w:sz w:val="20"/>
              </w:rPr>
            </w:pPr>
            <w:r>
              <w:rPr>
                <w:rFonts w:hint="eastAsia" w:ascii="仿宋" w:hAnsi="仿宋" w:eastAsia="仿宋" w:cs="仿宋"/>
              </w:rPr>
              <w:t>接待费</w:t>
            </w:r>
          </w:p>
        </w:tc>
        <w:tc>
          <w:tcPr>
            <w:tcW w:w="1057" w:type="dxa"/>
            <w:vMerge w:val="continue"/>
            <w:tcBorders>
              <w:left w:val="single" w:color="000000" w:sz="4" w:space="0"/>
              <w:right w:val="single" w:color="000000" w:sz="4" w:space="0"/>
            </w:tcBorders>
            <w:vAlign w:val="center"/>
          </w:tcPr>
          <w:p>
            <w:pPr>
              <w:jc w:val="center"/>
              <w:rPr>
                <w:rFonts w:ascii="仿宋" w:hAnsi="仿宋" w:eastAsia="仿宋" w:cs="仿宋"/>
                <w:sz w:val="20"/>
              </w:rPr>
            </w:pPr>
          </w:p>
        </w:tc>
        <w:tc>
          <w:tcPr>
            <w:tcW w:w="1027" w:type="dxa"/>
            <w:vMerge w:val="continue"/>
            <w:tcBorders>
              <w:left w:val="single" w:color="000000" w:sz="4" w:space="0"/>
              <w:right w:val="single" w:color="000000" w:sz="4" w:space="0"/>
            </w:tcBorders>
            <w:vAlign w:val="center"/>
          </w:tcPr>
          <w:p>
            <w:pPr>
              <w:jc w:val="center"/>
              <w:rPr>
                <w:rFonts w:ascii="仿宋" w:hAnsi="仿宋" w:eastAsia="仿宋" w:cs="仿宋"/>
                <w:sz w:val="20"/>
              </w:rPr>
            </w:pPr>
          </w:p>
        </w:tc>
      </w:tr>
      <w:tr>
        <w:tblPrEx>
          <w:tblLayout w:type="fixed"/>
          <w:tblCellMar>
            <w:top w:w="55" w:type="dxa"/>
            <w:left w:w="55" w:type="dxa"/>
            <w:bottom w:w="55" w:type="dxa"/>
            <w:right w:w="55" w:type="dxa"/>
          </w:tblCellMar>
        </w:tblPrEx>
        <w:trPr>
          <w:trHeight w:val="621" w:hRule="exact"/>
        </w:trPr>
        <w:tc>
          <w:tcPr>
            <w:tcW w:w="1044" w:type="dxa"/>
            <w:vMerge w:val="continue"/>
            <w:tcBorders>
              <w:left w:val="single" w:color="000000" w:sz="4" w:space="0"/>
              <w:bottom w:val="single" w:color="000000" w:sz="4" w:space="0"/>
            </w:tcBorders>
          </w:tcPr>
          <w:p>
            <w:pPr>
              <w:rPr>
                <w:rFonts w:ascii="仿宋" w:hAnsi="仿宋" w:eastAsia="仿宋" w:cs="仿宋"/>
                <w:sz w:val="2"/>
                <w:szCs w:val="2"/>
              </w:rPr>
            </w:pPr>
          </w:p>
        </w:tc>
        <w:tc>
          <w:tcPr>
            <w:tcW w:w="1042" w:type="dxa"/>
            <w:vMerge w:val="continue"/>
            <w:tcBorders>
              <w:left w:val="single" w:color="000000" w:sz="4" w:space="0"/>
              <w:bottom w:val="single" w:color="000000" w:sz="4" w:space="0"/>
            </w:tcBorders>
          </w:tcPr>
          <w:p>
            <w:pPr>
              <w:rPr>
                <w:rFonts w:ascii="仿宋" w:hAnsi="仿宋" w:eastAsia="仿宋" w:cs="仿宋"/>
                <w:sz w:val="2"/>
                <w:szCs w:val="2"/>
              </w:rPr>
            </w:pPr>
          </w:p>
        </w:tc>
        <w:tc>
          <w:tcPr>
            <w:tcW w:w="1020" w:type="dxa"/>
            <w:tcBorders>
              <w:left w:val="single" w:color="000000" w:sz="4" w:space="0"/>
              <w:bottom w:val="single" w:color="000000" w:sz="4" w:space="0"/>
            </w:tcBorders>
            <w:vAlign w:val="center"/>
          </w:tcPr>
          <w:p>
            <w:pPr>
              <w:pStyle w:val="22"/>
              <w:jc w:val="center"/>
              <w:rPr>
                <w:rFonts w:ascii="仿宋" w:hAnsi="仿宋" w:eastAsia="仿宋" w:cs="仿宋"/>
              </w:rPr>
            </w:pPr>
            <w:r>
              <w:rPr>
                <w:rFonts w:ascii="仿宋" w:hAnsi="仿宋" w:eastAsia="仿宋" w:cs="仿宋"/>
              </w:rPr>
              <w:t>小计</w:t>
            </w:r>
          </w:p>
        </w:tc>
        <w:tc>
          <w:tcPr>
            <w:tcW w:w="1029"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公务用车购置费</w:t>
            </w:r>
          </w:p>
        </w:tc>
        <w:tc>
          <w:tcPr>
            <w:tcW w:w="998"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公务用车运行费</w:t>
            </w:r>
          </w:p>
        </w:tc>
        <w:tc>
          <w:tcPr>
            <w:tcW w:w="1026" w:type="dxa"/>
            <w:vMerge w:val="continue"/>
            <w:tcBorders>
              <w:left w:val="single" w:color="000000" w:sz="4" w:space="0"/>
              <w:bottom w:val="single" w:color="000000" w:sz="4" w:space="0"/>
            </w:tcBorders>
          </w:tcPr>
          <w:p>
            <w:pPr>
              <w:rPr>
                <w:rFonts w:ascii="仿宋" w:hAnsi="仿宋" w:eastAsia="仿宋" w:cs="仿宋"/>
                <w:sz w:val="2"/>
                <w:szCs w:val="2"/>
              </w:rPr>
            </w:pPr>
          </w:p>
        </w:tc>
        <w:tc>
          <w:tcPr>
            <w:tcW w:w="1043" w:type="dxa"/>
            <w:vMerge w:val="continue"/>
            <w:tcBorders>
              <w:left w:val="single" w:color="000000" w:sz="4" w:space="0"/>
              <w:bottom w:val="single" w:color="000000" w:sz="4" w:space="0"/>
            </w:tcBorders>
          </w:tcPr>
          <w:p>
            <w:pPr>
              <w:rPr>
                <w:rFonts w:ascii="仿宋" w:hAnsi="仿宋" w:eastAsia="仿宋" w:cs="仿宋"/>
                <w:sz w:val="2"/>
                <w:szCs w:val="2"/>
              </w:rPr>
            </w:pPr>
          </w:p>
        </w:tc>
        <w:tc>
          <w:tcPr>
            <w:tcW w:w="1010" w:type="dxa"/>
            <w:vMerge w:val="continue"/>
            <w:tcBorders>
              <w:left w:val="single" w:color="000000" w:sz="4" w:space="0"/>
              <w:bottom w:val="single" w:color="000000" w:sz="4" w:space="0"/>
              <w:right w:val="single" w:color="000000" w:sz="4" w:space="0"/>
            </w:tcBorders>
          </w:tcPr>
          <w:p>
            <w:pPr>
              <w:rPr>
                <w:rFonts w:ascii="仿宋" w:hAnsi="仿宋" w:eastAsia="仿宋" w:cs="仿宋"/>
                <w:sz w:val="2"/>
                <w:szCs w:val="2"/>
              </w:rPr>
            </w:pPr>
          </w:p>
        </w:tc>
        <w:tc>
          <w:tcPr>
            <w:tcW w:w="1058" w:type="dxa"/>
            <w:vMerge w:val="continue"/>
            <w:tcBorders>
              <w:left w:val="single" w:color="000000" w:sz="4" w:space="0"/>
              <w:bottom w:val="single" w:color="000000" w:sz="4" w:space="0"/>
              <w:right w:val="single" w:color="000000" w:sz="4" w:space="0"/>
            </w:tcBorders>
          </w:tcPr>
          <w:p>
            <w:pPr>
              <w:rPr>
                <w:rFonts w:ascii="仿宋" w:hAnsi="仿宋" w:eastAsia="仿宋" w:cs="仿宋"/>
                <w:sz w:val="2"/>
                <w:szCs w:val="2"/>
              </w:rPr>
            </w:pPr>
          </w:p>
        </w:tc>
        <w:tc>
          <w:tcPr>
            <w:tcW w:w="1010" w:type="dxa"/>
            <w:vMerge w:val="continue"/>
            <w:tcBorders>
              <w:left w:val="single" w:color="000000" w:sz="4" w:space="0"/>
              <w:bottom w:val="single" w:color="000000" w:sz="4" w:space="0"/>
              <w:right w:val="single" w:color="000000" w:sz="4" w:space="0"/>
            </w:tcBorders>
          </w:tcPr>
          <w:p>
            <w:pPr>
              <w:rPr>
                <w:rFonts w:ascii="仿宋" w:hAnsi="仿宋" w:eastAsia="仿宋" w:cs="仿宋"/>
                <w:sz w:val="2"/>
                <w:szCs w:val="2"/>
              </w:rPr>
            </w:pPr>
          </w:p>
        </w:tc>
        <w:tc>
          <w:tcPr>
            <w:tcW w:w="948" w:type="dxa"/>
            <w:tcBorders>
              <w:left w:val="single" w:color="000000" w:sz="4" w:space="0"/>
              <w:bottom w:val="single" w:color="000000" w:sz="4" w:space="0"/>
              <w:right w:val="single" w:color="000000" w:sz="4" w:space="0"/>
            </w:tcBorders>
            <w:vAlign w:val="center"/>
          </w:tcPr>
          <w:p>
            <w:pPr>
              <w:pStyle w:val="22"/>
              <w:jc w:val="center"/>
              <w:rPr>
                <w:rFonts w:ascii="仿宋" w:hAnsi="仿宋" w:eastAsia="仿宋" w:cs="仿宋"/>
                <w:sz w:val="2"/>
                <w:szCs w:val="2"/>
              </w:rPr>
            </w:pPr>
            <w:r>
              <w:rPr>
                <w:rFonts w:ascii="仿宋" w:hAnsi="仿宋" w:eastAsia="仿宋" w:cs="仿宋"/>
              </w:rPr>
              <w:t>小计</w:t>
            </w:r>
          </w:p>
        </w:tc>
        <w:tc>
          <w:tcPr>
            <w:tcW w:w="1089" w:type="dxa"/>
            <w:tcBorders>
              <w:left w:val="single" w:color="000000" w:sz="4" w:space="0"/>
              <w:bottom w:val="single" w:color="000000" w:sz="4" w:space="0"/>
              <w:right w:val="single" w:color="000000" w:sz="4" w:space="0"/>
            </w:tcBorders>
            <w:vAlign w:val="center"/>
          </w:tcPr>
          <w:p>
            <w:pPr>
              <w:pStyle w:val="22"/>
              <w:jc w:val="center"/>
              <w:rPr>
                <w:rFonts w:ascii="仿宋" w:hAnsi="仿宋" w:eastAsia="仿宋" w:cs="仿宋"/>
                <w:sz w:val="2"/>
                <w:szCs w:val="2"/>
              </w:rPr>
            </w:pPr>
            <w:r>
              <w:rPr>
                <w:rFonts w:hint="eastAsia" w:ascii="仿宋" w:hAnsi="仿宋" w:eastAsia="仿宋" w:cs="仿宋"/>
              </w:rPr>
              <w:t>公务用车购置费</w:t>
            </w:r>
          </w:p>
        </w:tc>
        <w:tc>
          <w:tcPr>
            <w:tcW w:w="1042" w:type="dxa"/>
            <w:tcBorders>
              <w:left w:val="single" w:color="000000" w:sz="4" w:space="0"/>
              <w:bottom w:val="single" w:color="000000" w:sz="4" w:space="0"/>
              <w:right w:val="single" w:color="000000" w:sz="4" w:space="0"/>
            </w:tcBorders>
            <w:vAlign w:val="center"/>
          </w:tcPr>
          <w:p>
            <w:pPr>
              <w:pStyle w:val="22"/>
              <w:jc w:val="center"/>
              <w:rPr>
                <w:rFonts w:ascii="仿宋" w:hAnsi="仿宋" w:eastAsia="仿宋" w:cs="仿宋"/>
                <w:sz w:val="2"/>
                <w:szCs w:val="2"/>
              </w:rPr>
            </w:pPr>
            <w:r>
              <w:rPr>
                <w:rFonts w:hint="eastAsia" w:ascii="仿宋" w:hAnsi="仿宋" w:eastAsia="仿宋" w:cs="仿宋"/>
              </w:rPr>
              <w:t>公务用车运行费</w:t>
            </w:r>
          </w:p>
        </w:tc>
        <w:tc>
          <w:tcPr>
            <w:tcW w:w="1043" w:type="dxa"/>
            <w:vMerge w:val="continue"/>
            <w:tcBorders>
              <w:left w:val="single" w:color="000000" w:sz="4" w:space="0"/>
              <w:bottom w:val="single" w:color="000000" w:sz="4" w:space="0"/>
              <w:right w:val="single" w:color="000000" w:sz="4" w:space="0"/>
            </w:tcBorders>
          </w:tcPr>
          <w:p>
            <w:pPr>
              <w:rPr>
                <w:rFonts w:ascii="仿宋" w:hAnsi="仿宋" w:eastAsia="仿宋" w:cs="仿宋"/>
                <w:sz w:val="2"/>
                <w:szCs w:val="2"/>
              </w:rPr>
            </w:pPr>
          </w:p>
        </w:tc>
        <w:tc>
          <w:tcPr>
            <w:tcW w:w="1057" w:type="dxa"/>
            <w:vMerge w:val="continue"/>
            <w:tcBorders>
              <w:left w:val="single" w:color="000000" w:sz="4" w:space="0"/>
              <w:bottom w:val="single" w:color="000000" w:sz="4" w:space="0"/>
              <w:right w:val="single" w:color="000000" w:sz="4" w:space="0"/>
            </w:tcBorders>
          </w:tcPr>
          <w:p>
            <w:pPr>
              <w:rPr>
                <w:rFonts w:ascii="仿宋" w:hAnsi="仿宋" w:eastAsia="仿宋" w:cs="仿宋"/>
                <w:sz w:val="2"/>
                <w:szCs w:val="2"/>
              </w:rPr>
            </w:pPr>
          </w:p>
        </w:tc>
        <w:tc>
          <w:tcPr>
            <w:tcW w:w="1027" w:type="dxa"/>
            <w:vMerge w:val="continue"/>
            <w:tcBorders>
              <w:left w:val="single" w:color="000000" w:sz="4" w:space="0"/>
              <w:bottom w:val="single" w:color="000000" w:sz="4" w:space="0"/>
              <w:right w:val="single" w:color="000000" w:sz="4" w:space="0"/>
            </w:tcBorders>
          </w:tcPr>
          <w:p>
            <w:pPr>
              <w:rPr>
                <w:rFonts w:ascii="仿宋" w:hAnsi="仿宋" w:eastAsia="仿宋" w:cs="仿宋"/>
                <w:sz w:val="2"/>
                <w:szCs w:val="2"/>
              </w:rPr>
            </w:pPr>
          </w:p>
        </w:tc>
      </w:tr>
      <w:tr>
        <w:tblPrEx>
          <w:tblLayout w:type="fixed"/>
          <w:tblCellMar>
            <w:top w:w="55" w:type="dxa"/>
            <w:left w:w="55" w:type="dxa"/>
            <w:bottom w:w="55" w:type="dxa"/>
            <w:right w:w="55" w:type="dxa"/>
          </w:tblCellMar>
        </w:tblPrEx>
        <w:trPr>
          <w:cantSplit/>
          <w:trHeight w:val="380" w:hRule="atLeast"/>
        </w:trPr>
        <w:tc>
          <w:tcPr>
            <w:tcW w:w="1044" w:type="dxa"/>
            <w:tcBorders>
              <w:left w:val="single" w:color="000000" w:sz="4" w:space="0"/>
              <w:bottom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42" w:type="dxa"/>
            <w:tcBorders>
              <w:left w:val="single" w:color="000000" w:sz="4" w:space="0"/>
              <w:bottom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20" w:type="dxa"/>
            <w:tcBorders>
              <w:left w:val="single" w:color="000000" w:sz="4" w:space="0"/>
              <w:bottom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29" w:type="dxa"/>
            <w:tcBorders>
              <w:left w:val="single" w:color="000000" w:sz="4" w:space="0"/>
              <w:bottom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998" w:type="dxa"/>
            <w:tcBorders>
              <w:left w:val="single" w:color="000000" w:sz="4" w:space="0"/>
              <w:bottom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26" w:type="dxa"/>
            <w:tcBorders>
              <w:left w:val="single" w:color="000000" w:sz="4" w:space="0"/>
              <w:bottom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43" w:type="dxa"/>
            <w:tcBorders>
              <w:left w:val="single" w:color="000000" w:sz="4" w:space="0"/>
              <w:bottom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10"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58"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10"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948"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89"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42"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43"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57"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27"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r>
    </w:tbl>
    <w:p>
      <w:pPr>
        <w:spacing w:before="30" w:after="33"/>
        <w:ind w:left="220" w:leftChars="100"/>
        <w:rPr>
          <w:rFonts w:ascii="仿宋" w:hAnsi="仿宋" w:eastAsia="仿宋" w:cs="仿宋"/>
        </w:rPr>
      </w:pPr>
      <w:r>
        <w:rPr>
          <w:rFonts w:hint="eastAsia" w:ascii="仿宋" w:hAnsi="仿宋" w:eastAsia="仿宋" w:cs="仿宋"/>
        </w:rPr>
        <w:t>相关统计数：</w:t>
      </w:r>
    </w:p>
    <w:tbl>
      <w:tblPr>
        <w:tblStyle w:val="13"/>
        <w:tblW w:w="11798" w:type="dxa"/>
        <w:tblInd w:w="62" w:type="dxa"/>
        <w:tblLayout w:type="fixed"/>
        <w:tblCellMar>
          <w:top w:w="55" w:type="dxa"/>
          <w:left w:w="55" w:type="dxa"/>
          <w:bottom w:w="55" w:type="dxa"/>
          <w:right w:w="55" w:type="dxa"/>
        </w:tblCellMar>
      </w:tblPr>
      <w:tblGrid>
        <w:gridCol w:w="4028"/>
        <w:gridCol w:w="1976"/>
        <w:gridCol w:w="3908"/>
        <w:gridCol w:w="1886"/>
      </w:tblGrid>
      <w:tr>
        <w:tblPrEx>
          <w:tblLayout w:type="fixed"/>
          <w:tblCellMar>
            <w:top w:w="55" w:type="dxa"/>
            <w:left w:w="55" w:type="dxa"/>
            <w:bottom w:w="55" w:type="dxa"/>
            <w:right w:w="55" w:type="dxa"/>
          </w:tblCellMar>
        </w:tblPrEx>
        <w:trPr>
          <w:cantSplit/>
          <w:trHeight w:val="214" w:hRule="atLeast"/>
        </w:trPr>
        <w:tc>
          <w:tcPr>
            <w:tcW w:w="4028" w:type="dxa"/>
            <w:tcBorders>
              <w:top w:val="single" w:color="auto" w:sz="4" w:space="0"/>
              <w:left w:val="single" w:color="auto" w:sz="4" w:space="0"/>
              <w:bottom w:val="single" w:color="auto" w:sz="4" w:space="0"/>
            </w:tcBorders>
            <w:vAlign w:val="center"/>
          </w:tcPr>
          <w:p>
            <w:pPr>
              <w:pStyle w:val="22"/>
              <w:jc w:val="center"/>
              <w:rPr>
                <w:rFonts w:ascii="仿宋" w:hAnsi="仿宋" w:eastAsia="仿宋" w:cs="仿宋"/>
              </w:rPr>
            </w:pPr>
            <w:r>
              <w:rPr>
                <w:rFonts w:ascii="仿宋" w:hAnsi="仿宋" w:eastAsia="仿宋" w:cs="仿宋"/>
              </w:rPr>
              <w:t>项目</w:t>
            </w:r>
          </w:p>
        </w:tc>
        <w:tc>
          <w:tcPr>
            <w:tcW w:w="1976"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统计数</w:t>
            </w:r>
          </w:p>
        </w:tc>
        <w:tc>
          <w:tcPr>
            <w:tcW w:w="3908"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项目</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jc w:val="center"/>
              <w:rPr>
                <w:rFonts w:ascii="仿宋" w:hAnsi="仿宋" w:eastAsia="仿宋" w:cs="仿宋"/>
              </w:rPr>
            </w:pPr>
            <w:r>
              <w:rPr>
                <w:rFonts w:hint="eastAsia" w:ascii="仿宋" w:hAnsi="仿宋" w:eastAsia="仿宋" w:cs="仿宋"/>
              </w:rPr>
              <w:t>统计数</w:t>
            </w:r>
          </w:p>
        </w:tc>
      </w:tr>
      <w:tr>
        <w:tblPrEx>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因公出国（境）团组数(个)</w:t>
            </w:r>
          </w:p>
        </w:tc>
        <w:tc>
          <w:tcPr>
            <w:tcW w:w="1976"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因公出国（境）人次数(人)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jc w:val="center"/>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公务用车购置数(辆)</w:t>
            </w:r>
          </w:p>
        </w:tc>
        <w:tc>
          <w:tcPr>
            <w:tcW w:w="1976"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公务用车保有量(辆)</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jc w:val="center"/>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国内公务接待批次(个)</w:t>
            </w:r>
          </w:p>
        </w:tc>
        <w:tc>
          <w:tcPr>
            <w:tcW w:w="1976"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国内公务接待人次(人)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jc w:val="center"/>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国（境）外公务接待批次(个)</w:t>
            </w:r>
          </w:p>
        </w:tc>
        <w:tc>
          <w:tcPr>
            <w:tcW w:w="1976"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国（境）外公务接待人次(人)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jc w:val="center"/>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召开会议次数(个)</w:t>
            </w:r>
          </w:p>
        </w:tc>
        <w:tc>
          <w:tcPr>
            <w:tcW w:w="1976"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参加会议人次(人)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jc w:val="center"/>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组织培训次数(个)</w:t>
            </w:r>
          </w:p>
        </w:tc>
        <w:tc>
          <w:tcPr>
            <w:tcW w:w="1976"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参加培训人次(人)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jc w:val="center"/>
              <w:rPr>
                <w:rFonts w:ascii="仿宋" w:hAnsi="仿宋" w:eastAsia="仿宋" w:cs="仿宋"/>
              </w:rPr>
            </w:pPr>
          </w:p>
        </w:tc>
      </w:tr>
    </w:tbl>
    <w:p>
      <w:pPr>
        <w:ind w:right="-2"/>
        <w:jc w:val="both"/>
        <w:rPr>
          <w:rFonts w:ascii="仿宋" w:hAnsi="仿宋" w:eastAsia="仿宋" w:cs="仿宋"/>
        </w:rPr>
      </w:pPr>
      <w:r>
        <w:rPr>
          <w:rFonts w:hint="eastAsia" w:ascii="仿宋" w:hAnsi="仿宋" w:eastAsia="仿宋" w:cs="仿宋"/>
        </w:rPr>
        <w:t>注：</w:t>
      </w:r>
      <w:r>
        <w:rPr>
          <w:rFonts w:hint="eastAsia" w:ascii="仿宋" w:hAnsi="仿宋" w:eastAsia="仿宋" w:cs="仿宋"/>
          <w:lang w:val="en-US"/>
        </w:rPr>
        <w:t>本表反映本年度一般公共预算“三公”经费、会议费和培训费支出情况。其中，预算数为全年预算数，反映按规定程序调整后的预算数；决算数是包括当年一般公共预算财政拨款和以前年度结转资金安排的实际支出。</w:t>
      </w:r>
    </w:p>
    <w:p>
      <w:pPr>
        <w:ind w:left="440" w:leftChars="200"/>
        <w:jc w:val="both"/>
        <w:rPr>
          <w:rFonts w:ascii="仿宋" w:hAnsi="仿宋" w:eastAsia="仿宋" w:cs="仿宋"/>
        </w:rPr>
      </w:pPr>
      <w:r>
        <w:rPr>
          <w:rFonts w:hint="eastAsia" w:ascii="仿宋" w:hAnsi="仿宋" w:eastAsia="仿宋" w:cs="仿宋"/>
        </w:rPr>
        <w:t>本</w:t>
      </w:r>
      <w:r>
        <w:rPr>
          <w:rFonts w:ascii="仿宋" w:hAnsi="仿宋" w:eastAsia="仿宋" w:cs="仿宋"/>
        </w:rPr>
        <w:t>单位</w:t>
      </w:r>
      <w:r>
        <w:rPr>
          <w:rFonts w:hint="eastAsia" w:ascii="仿宋" w:hAnsi="仿宋" w:eastAsia="仿宋" w:cs="仿宋"/>
        </w:rPr>
        <w:t>无一般公共预算“三公”经费、会议费、培训费支出决算，故本表为空。</w:t>
      </w:r>
    </w:p>
    <w:p>
      <w:pPr>
        <w:ind w:left="227" w:firstLine="220" w:firstLineChars="100"/>
        <w:jc w:val="both"/>
        <w:rPr>
          <w:rFonts w:ascii="仿宋" w:hAnsi="仿宋" w:eastAsia="仿宋" w:cs="仿宋"/>
        </w:rPr>
        <w:sectPr>
          <w:footerReference r:id="rId15" w:type="default"/>
          <w:pgSz w:w="16838" w:h="11906" w:orient="landscape"/>
          <w:pgMar w:top="720" w:right="153" w:bottom="720" w:left="153" w:header="170" w:footer="280" w:gutter="0"/>
          <w:pgNumType w:fmt="numberInDash"/>
          <w:cols w:space="720" w:num="1"/>
          <w:formProt w:val="0"/>
          <w:docGrid w:linePitch="100" w:charSpace="0"/>
        </w:sectPr>
      </w:pPr>
    </w:p>
    <w:tbl>
      <w:tblPr>
        <w:tblStyle w:val="13"/>
        <w:tblW w:w="15400" w:type="dxa"/>
        <w:tblInd w:w="62" w:type="dxa"/>
        <w:tblLayout w:type="fixed"/>
        <w:tblCellMar>
          <w:top w:w="55" w:type="dxa"/>
          <w:left w:w="55" w:type="dxa"/>
          <w:bottom w:w="55" w:type="dxa"/>
          <w:right w:w="55" w:type="dxa"/>
        </w:tblCellMar>
      </w:tblPr>
      <w:tblGrid>
        <w:gridCol w:w="1431"/>
        <w:gridCol w:w="6995"/>
        <w:gridCol w:w="2684"/>
        <w:gridCol w:w="2432"/>
        <w:gridCol w:w="1858"/>
      </w:tblGrid>
      <w:tr>
        <w:tblPrEx>
          <w:tblLayout w:type="fixed"/>
          <w:tblCellMar>
            <w:top w:w="55" w:type="dxa"/>
            <w:left w:w="55" w:type="dxa"/>
            <w:bottom w:w="55" w:type="dxa"/>
            <w:right w:w="55" w:type="dxa"/>
          </w:tblCellMar>
        </w:tblPrEx>
        <w:trPr>
          <w:trHeight w:val="395" w:hRule="atLeast"/>
        </w:trPr>
        <w:tc>
          <w:tcPr>
            <w:tcW w:w="15400" w:type="dxa"/>
            <w:gridSpan w:val="5"/>
            <w:vAlign w:val="center"/>
          </w:tcPr>
          <w:p>
            <w:pPr>
              <w:pStyle w:val="22"/>
              <w:jc w:val="center"/>
              <w:rPr>
                <w:rFonts w:ascii="仿宋" w:hAnsi="仿宋" w:eastAsia="仿宋" w:cs="仿宋"/>
                <w:b/>
                <w:bCs/>
                <w:sz w:val="44"/>
                <w:szCs w:val="44"/>
              </w:rPr>
            </w:pPr>
            <w:r>
              <w:rPr>
                <w:rFonts w:hint="eastAsia"/>
                <w:b/>
                <w:bCs/>
                <w:color w:val="000000"/>
                <w:sz w:val="36"/>
                <w:szCs w:val="36"/>
                <w:lang w:eastAsia="ar-SA"/>
              </w:rPr>
              <w:t>政府性基金预算支出决算表</w:t>
            </w:r>
          </w:p>
        </w:tc>
      </w:tr>
      <w:tr>
        <w:tblPrEx>
          <w:tblLayout w:type="fixed"/>
          <w:tblCellMar>
            <w:top w:w="55" w:type="dxa"/>
            <w:left w:w="55" w:type="dxa"/>
            <w:bottom w:w="55" w:type="dxa"/>
            <w:right w:w="55" w:type="dxa"/>
          </w:tblCellMar>
        </w:tblPrEx>
        <w:trPr>
          <w:trHeight w:val="323" w:hRule="atLeast"/>
        </w:trPr>
        <w:tc>
          <w:tcPr>
            <w:tcW w:w="8426" w:type="dxa"/>
            <w:gridSpan w:val="2"/>
          </w:tcPr>
          <w:p>
            <w:pPr>
              <w:pStyle w:val="22"/>
              <w:rPr>
                <w:rFonts w:ascii="仿宋" w:hAnsi="仿宋" w:eastAsia="仿宋" w:cs="仿宋"/>
                <w:sz w:val="20"/>
              </w:rPr>
            </w:pPr>
          </w:p>
        </w:tc>
        <w:tc>
          <w:tcPr>
            <w:tcW w:w="2684" w:type="dxa"/>
          </w:tcPr>
          <w:p>
            <w:pPr>
              <w:pStyle w:val="22"/>
              <w:rPr>
                <w:rFonts w:ascii="仿宋" w:hAnsi="仿宋" w:eastAsia="仿宋" w:cs="仿宋"/>
                <w:sz w:val="27"/>
              </w:rPr>
            </w:pPr>
          </w:p>
        </w:tc>
        <w:tc>
          <w:tcPr>
            <w:tcW w:w="2432" w:type="dxa"/>
          </w:tcPr>
          <w:p>
            <w:pPr>
              <w:pStyle w:val="22"/>
              <w:rPr>
                <w:rFonts w:ascii="仿宋" w:hAnsi="仿宋" w:eastAsia="仿宋" w:cs="仿宋"/>
                <w:sz w:val="20"/>
              </w:rPr>
            </w:pPr>
          </w:p>
        </w:tc>
        <w:tc>
          <w:tcPr>
            <w:tcW w:w="1858" w:type="dxa"/>
            <w:vAlign w:val="center"/>
          </w:tcPr>
          <w:p>
            <w:pPr>
              <w:pStyle w:val="22"/>
              <w:jc w:val="right"/>
              <w:rPr>
                <w:rFonts w:ascii="仿宋" w:hAnsi="仿宋" w:eastAsia="仿宋" w:cs="仿宋"/>
                <w:sz w:val="27"/>
              </w:rPr>
            </w:pPr>
            <w:r>
              <w:rPr>
                <w:rFonts w:hint="eastAsia" w:ascii="仿宋" w:hAnsi="仿宋" w:eastAsia="仿宋" w:cs="仿宋"/>
              </w:rPr>
              <w:t>公开10表</w:t>
            </w:r>
          </w:p>
        </w:tc>
      </w:tr>
      <w:tr>
        <w:tblPrEx>
          <w:tblLayout w:type="fixed"/>
          <w:tblCellMar>
            <w:top w:w="55" w:type="dxa"/>
            <w:left w:w="55" w:type="dxa"/>
            <w:bottom w:w="55" w:type="dxa"/>
            <w:right w:w="55" w:type="dxa"/>
          </w:tblCellMar>
        </w:tblPrEx>
        <w:trPr>
          <w:trHeight w:val="152" w:hRule="atLeast"/>
        </w:trPr>
        <w:tc>
          <w:tcPr>
            <w:tcW w:w="13542" w:type="dxa"/>
            <w:gridSpan w:val="4"/>
            <w:vAlign w:val="center"/>
          </w:tcPr>
          <w:p>
            <w:pPr>
              <w:pStyle w:val="22"/>
              <w:rPr>
                <w:rFonts w:ascii="仿宋" w:hAnsi="仿宋" w:eastAsia="仿宋" w:cs="仿宋"/>
                <w:sz w:val="20"/>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江苏省立新农场</w:t>
            </w:r>
          </w:p>
        </w:tc>
        <w:tc>
          <w:tcPr>
            <w:tcW w:w="1858" w:type="dxa"/>
            <w:vAlign w:val="center"/>
          </w:tcPr>
          <w:p>
            <w:pPr>
              <w:pStyle w:val="22"/>
              <w:jc w:val="right"/>
              <w:rPr>
                <w:rFonts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67" w:hRule="atLeast"/>
        </w:trPr>
        <w:tc>
          <w:tcPr>
            <w:tcW w:w="8426" w:type="dxa"/>
            <w:gridSpan w:val="2"/>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684" w:type="dxa"/>
            <w:vMerge w:val="restart"/>
            <w:tcBorders>
              <w:top w:val="single" w:color="000000" w:sz="4" w:space="0"/>
              <w:left w:val="single" w:color="000000" w:sz="4" w:space="0"/>
            </w:tcBorders>
            <w:vAlign w:val="center"/>
          </w:tcPr>
          <w:p>
            <w:pPr>
              <w:pStyle w:val="22"/>
              <w:jc w:val="center"/>
              <w:rPr>
                <w:rFonts w:ascii="仿宋" w:hAnsi="仿宋" w:eastAsia="仿宋" w:cs="仿宋"/>
              </w:rPr>
            </w:pPr>
            <w:r>
              <w:rPr>
                <w:rFonts w:hint="eastAsia" w:ascii="仿宋" w:hAnsi="仿宋" w:eastAsia="仿宋" w:cs="仿宋"/>
              </w:rPr>
              <w:t>本年支出合计</w:t>
            </w:r>
          </w:p>
        </w:tc>
        <w:tc>
          <w:tcPr>
            <w:tcW w:w="2432" w:type="dxa"/>
            <w:vMerge w:val="restart"/>
            <w:tcBorders>
              <w:top w:val="single" w:color="000000" w:sz="4" w:space="0"/>
              <w:left w:val="single" w:color="000000" w:sz="4" w:space="0"/>
            </w:tcBorders>
            <w:vAlign w:val="center"/>
          </w:tcPr>
          <w:p>
            <w:pPr>
              <w:pStyle w:val="22"/>
              <w:jc w:val="center"/>
              <w:rPr>
                <w:rFonts w:ascii="仿宋" w:hAnsi="仿宋" w:eastAsia="仿宋" w:cs="仿宋"/>
              </w:rPr>
            </w:pPr>
            <w:r>
              <w:rPr>
                <w:rFonts w:hint="eastAsia" w:ascii="仿宋" w:hAnsi="仿宋" w:eastAsia="仿宋" w:cs="仿宋"/>
              </w:rPr>
              <w:t>基本支出</w:t>
            </w:r>
          </w:p>
        </w:tc>
        <w:tc>
          <w:tcPr>
            <w:tcW w:w="1858" w:type="dxa"/>
            <w:vMerge w:val="restart"/>
            <w:tcBorders>
              <w:top w:val="single" w:color="000000" w:sz="4" w:space="0"/>
              <w:left w:val="single" w:color="000000" w:sz="4" w:space="0"/>
              <w:bottom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项目支出</w:t>
            </w:r>
          </w:p>
        </w:tc>
      </w:tr>
      <w:tr>
        <w:tblPrEx>
          <w:tblLayout w:type="fixed"/>
          <w:tblCellMar>
            <w:top w:w="55" w:type="dxa"/>
            <w:left w:w="55" w:type="dxa"/>
            <w:bottom w:w="55" w:type="dxa"/>
            <w:right w:w="55" w:type="dxa"/>
          </w:tblCellMar>
        </w:tblPrEx>
        <w:trPr>
          <w:trHeight w:val="427" w:hRule="atLeast"/>
        </w:trPr>
        <w:tc>
          <w:tcPr>
            <w:tcW w:w="1431"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功能分类</w:t>
            </w:r>
          </w:p>
          <w:p>
            <w:pPr>
              <w:pStyle w:val="22"/>
              <w:jc w:val="center"/>
              <w:rPr>
                <w:rFonts w:ascii="仿宋" w:hAnsi="仿宋" w:eastAsia="仿宋" w:cs="仿宋"/>
              </w:rPr>
            </w:pPr>
            <w:r>
              <w:rPr>
                <w:rFonts w:hint="eastAsia" w:ascii="仿宋" w:hAnsi="仿宋" w:eastAsia="仿宋" w:cs="仿宋"/>
              </w:rPr>
              <w:t>科目编码</w:t>
            </w:r>
          </w:p>
        </w:tc>
        <w:tc>
          <w:tcPr>
            <w:tcW w:w="6995"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科目名称</w:t>
            </w:r>
          </w:p>
        </w:tc>
        <w:tc>
          <w:tcPr>
            <w:tcW w:w="2684" w:type="dxa"/>
            <w:vMerge w:val="continue"/>
            <w:tcBorders>
              <w:left w:val="single" w:color="000000" w:sz="4" w:space="0"/>
              <w:bottom w:val="single" w:color="000000" w:sz="4" w:space="0"/>
            </w:tcBorders>
          </w:tcPr>
          <w:p>
            <w:pPr>
              <w:rPr>
                <w:rFonts w:ascii="仿宋" w:hAnsi="仿宋" w:eastAsia="仿宋" w:cs="仿宋"/>
              </w:rPr>
            </w:pPr>
          </w:p>
        </w:tc>
        <w:tc>
          <w:tcPr>
            <w:tcW w:w="2432" w:type="dxa"/>
            <w:vMerge w:val="continue"/>
            <w:tcBorders>
              <w:left w:val="single" w:color="000000" w:sz="4" w:space="0"/>
              <w:bottom w:val="single" w:color="000000" w:sz="4" w:space="0"/>
            </w:tcBorders>
            <w:vAlign w:val="center"/>
          </w:tcPr>
          <w:p>
            <w:pPr>
              <w:pStyle w:val="22"/>
              <w:jc w:val="center"/>
              <w:rPr>
                <w:rFonts w:ascii="仿宋" w:hAnsi="仿宋" w:eastAsia="仿宋" w:cs="仿宋"/>
              </w:rPr>
            </w:pPr>
          </w:p>
        </w:tc>
        <w:tc>
          <w:tcPr>
            <w:tcW w:w="1858" w:type="dxa"/>
            <w:vMerge w:val="continue"/>
            <w:tcBorders>
              <w:left w:val="single" w:color="000000" w:sz="4" w:space="0"/>
              <w:bottom w:val="single" w:color="000000" w:sz="4" w:space="0"/>
              <w:right w:val="single" w:color="000000" w:sz="4" w:space="0"/>
            </w:tcBorders>
          </w:tcPr>
          <w:p>
            <w:pPr>
              <w:rPr>
                <w:rFonts w:ascii="仿宋" w:hAnsi="仿宋" w:eastAsia="仿宋" w:cs="仿宋"/>
              </w:rPr>
            </w:pPr>
          </w:p>
        </w:tc>
      </w:tr>
      <w:tr>
        <w:tblPrEx>
          <w:tblLayout w:type="fixed"/>
          <w:tblCellMar>
            <w:top w:w="55" w:type="dxa"/>
            <w:left w:w="55" w:type="dxa"/>
            <w:bottom w:w="55" w:type="dxa"/>
            <w:right w:w="55" w:type="dxa"/>
          </w:tblCellMar>
        </w:tblPrEx>
        <w:trPr>
          <w:trHeight w:val="275" w:hRule="atLeast"/>
        </w:trPr>
        <w:tc>
          <w:tcPr>
            <w:tcW w:w="8426" w:type="dxa"/>
            <w:gridSpan w:val="2"/>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栏次</w:t>
            </w:r>
          </w:p>
        </w:tc>
        <w:tc>
          <w:tcPr>
            <w:tcW w:w="2684" w:type="dxa"/>
            <w:tcBorders>
              <w:left w:val="single" w:color="000000" w:sz="4" w:space="0"/>
              <w:bottom w:val="single" w:color="000000" w:sz="4" w:space="0"/>
            </w:tcBorders>
            <w:vAlign w:val="center"/>
          </w:tcPr>
          <w:p>
            <w:pPr>
              <w:pStyle w:val="22"/>
              <w:jc w:val="center"/>
              <w:rPr>
                <w:rFonts w:ascii="仿宋" w:hAnsi="仿宋" w:eastAsia="仿宋" w:cs="仿宋"/>
                <w:lang w:val="en-US"/>
              </w:rPr>
            </w:pPr>
            <w:r>
              <w:rPr>
                <w:rFonts w:hint="eastAsia" w:ascii="仿宋" w:hAnsi="仿宋" w:eastAsia="仿宋" w:cs="仿宋"/>
                <w:lang w:val="en-US"/>
              </w:rPr>
              <w:t>1</w:t>
            </w:r>
          </w:p>
        </w:tc>
        <w:tc>
          <w:tcPr>
            <w:tcW w:w="2432"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2</w:t>
            </w:r>
          </w:p>
        </w:tc>
        <w:tc>
          <w:tcPr>
            <w:tcW w:w="1858" w:type="dxa"/>
            <w:tcBorders>
              <w:left w:val="single" w:color="000000" w:sz="4" w:space="0"/>
              <w:bottom w:val="single" w:color="000000" w:sz="4" w:space="0"/>
              <w:right w:val="single" w:color="000000" w:sz="4" w:space="0"/>
            </w:tcBorders>
            <w:vAlign w:val="center"/>
          </w:tcPr>
          <w:p>
            <w:pPr>
              <w:pStyle w:val="22"/>
              <w:jc w:val="center"/>
              <w:rPr>
                <w:rFonts w:ascii="仿宋" w:hAnsi="仿宋" w:eastAsia="仿宋" w:cs="仿宋"/>
                <w:lang w:val="en-US"/>
              </w:rPr>
            </w:pPr>
            <w:r>
              <w:rPr>
                <w:rFonts w:hint="eastAsia" w:ascii="仿宋" w:hAnsi="仿宋" w:eastAsia="仿宋" w:cs="仿宋"/>
                <w:lang w:val="en-US"/>
              </w:rPr>
              <w:t>2</w:t>
            </w:r>
          </w:p>
        </w:tc>
      </w:tr>
      <w:tr>
        <w:tblPrEx>
          <w:tblLayout w:type="fixed"/>
          <w:tblCellMar>
            <w:top w:w="55" w:type="dxa"/>
            <w:left w:w="55" w:type="dxa"/>
            <w:bottom w:w="55" w:type="dxa"/>
            <w:right w:w="55" w:type="dxa"/>
          </w:tblCellMar>
        </w:tblPrEx>
        <w:trPr>
          <w:trHeight w:val="389" w:hRule="exact"/>
        </w:trPr>
        <w:tc>
          <w:tcPr>
            <w:tcW w:w="8426" w:type="dxa"/>
            <w:gridSpan w:val="2"/>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合计</w:t>
            </w:r>
          </w:p>
        </w:tc>
        <w:tc>
          <w:tcPr>
            <w:tcW w:w="2684"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2432"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1858"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699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268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c>
          <w:tcPr>
            <w:tcW w:w="24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699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268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c>
          <w:tcPr>
            <w:tcW w:w="24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bl>
    <w:p>
      <w:pPr>
        <w:spacing w:before="25"/>
        <w:jc w:val="both"/>
        <w:rPr>
          <w:rFonts w:ascii="仿宋" w:hAnsi="仿宋" w:eastAsia="仿宋" w:cs="仿宋"/>
        </w:rPr>
      </w:pPr>
      <w:r>
        <w:rPr>
          <w:rFonts w:hint="eastAsia" w:ascii="仿宋" w:hAnsi="仿宋" w:eastAsia="仿宋" w:cs="仿宋"/>
        </w:rPr>
        <w:t>注：本表反映本年度政府性基金预算财政拨款支出情况。</w:t>
      </w:r>
    </w:p>
    <w:p>
      <w:pPr>
        <w:spacing w:before="25"/>
        <w:ind w:left="440" w:leftChars="200"/>
        <w:jc w:val="both"/>
        <w:rPr>
          <w:rFonts w:ascii="仿宋" w:hAnsi="仿宋" w:eastAsia="仿宋" w:cs="仿宋"/>
          <w:lang w:val="en-US"/>
        </w:rPr>
      </w:pPr>
      <w:r>
        <w:rPr>
          <w:rFonts w:ascii="仿宋" w:hAnsi="仿宋" w:eastAsia="仿宋" w:cs="仿宋"/>
        </w:rPr>
        <w:t>本单位无政府性基金预算收入支出决算，故本表为空。</w:t>
      </w:r>
    </w:p>
    <w:p>
      <w:pPr>
        <w:spacing w:before="25"/>
        <w:jc w:val="both"/>
        <w:rPr>
          <w:rFonts w:ascii="仿宋" w:hAnsi="仿宋" w:eastAsia="仿宋" w:cs="仿宋"/>
          <w:lang w:val="en-US"/>
        </w:rPr>
        <w:sectPr>
          <w:footerReference r:id="rId16" w:type="default"/>
          <w:pgSz w:w="16838" w:h="11906" w:orient="landscape"/>
          <w:pgMar w:top="720" w:right="720" w:bottom="720" w:left="720" w:header="170" w:footer="280" w:gutter="0"/>
          <w:pgNumType w:fmt="numberInDash"/>
          <w:cols w:space="720" w:num="1"/>
          <w:formProt w:val="0"/>
          <w:docGrid w:linePitch="100" w:charSpace="0"/>
        </w:sectPr>
      </w:pPr>
    </w:p>
    <w:tbl>
      <w:tblPr>
        <w:tblStyle w:val="13"/>
        <w:tblW w:w="15400" w:type="dxa"/>
        <w:tblInd w:w="47" w:type="dxa"/>
        <w:tblLayout w:type="fixed"/>
        <w:tblCellMar>
          <w:top w:w="55" w:type="dxa"/>
          <w:left w:w="55" w:type="dxa"/>
          <w:bottom w:w="55" w:type="dxa"/>
          <w:right w:w="55" w:type="dxa"/>
        </w:tblCellMar>
      </w:tblPr>
      <w:tblGrid>
        <w:gridCol w:w="1462"/>
        <w:gridCol w:w="7058"/>
        <w:gridCol w:w="2510"/>
        <w:gridCol w:w="2309"/>
        <w:gridCol w:w="2061"/>
      </w:tblGrid>
      <w:tr>
        <w:tblPrEx>
          <w:tblLayout w:type="fixed"/>
          <w:tblCellMar>
            <w:top w:w="55" w:type="dxa"/>
            <w:left w:w="55" w:type="dxa"/>
            <w:bottom w:w="55" w:type="dxa"/>
            <w:right w:w="55" w:type="dxa"/>
          </w:tblCellMar>
        </w:tblPrEx>
        <w:trPr>
          <w:trHeight w:val="395" w:hRule="atLeast"/>
        </w:trPr>
        <w:tc>
          <w:tcPr>
            <w:tcW w:w="15400" w:type="dxa"/>
            <w:gridSpan w:val="5"/>
            <w:vAlign w:val="center"/>
          </w:tcPr>
          <w:p>
            <w:pPr>
              <w:pStyle w:val="22"/>
              <w:jc w:val="center"/>
              <w:rPr>
                <w:rFonts w:ascii="仿宋" w:hAnsi="仿宋" w:eastAsia="仿宋" w:cs="仿宋"/>
                <w:b/>
                <w:bCs/>
                <w:sz w:val="44"/>
                <w:szCs w:val="44"/>
              </w:rPr>
            </w:pPr>
            <w:r>
              <w:rPr>
                <w:rFonts w:hint="eastAsia"/>
                <w:b/>
                <w:bCs/>
                <w:color w:val="000000"/>
                <w:sz w:val="36"/>
                <w:szCs w:val="36"/>
                <w:lang w:eastAsia="ar-SA"/>
              </w:rPr>
              <w:t>国有资本经营预算支出决算表</w:t>
            </w:r>
          </w:p>
        </w:tc>
      </w:tr>
      <w:tr>
        <w:tblPrEx>
          <w:tblLayout w:type="fixed"/>
          <w:tblCellMar>
            <w:top w:w="55" w:type="dxa"/>
            <w:left w:w="55" w:type="dxa"/>
            <w:bottom w:w="55" w:type="dxa"/>
            <w:right w:w="55" w:type="dxa"/>
          </w:tblCellMar>
        </w:tblPrEx>
        <w:trPr>
          <w:trHeight w:val="323" w:hRule="atLeast"/>
        </w:trPr>
        <w:tc>
          <w:tcPr>
            <w:tcW w:w="8520" w:type="dxa"/>
            <w:gridSpan w:val="2"/>
          </w:tcPr>
          <w:p>
            <w:pPr>
              <w:pStyle w:val="22"/>
              <w:rPr>
                <w:rFonts w:ascii="仿宋" w:hAnsi="仿宋" w:eastAsia="仿宋" w:cs="仿宋"/>
                <w:sz w:val="20"/>
              </w:rPr>
            </w:pPr>
          </w:p>
        </w:tc>
        <w:tc>
          <w:tcPr>
            <w:tcW w:w="2510" w:type="dxa"/>
          </w:tcPr>
          <w:p>
            <w:pPr>
              <w:pStyle w:val="22"/>
              <w:rPr>
                <w:rFonts w:ascii="仿宋" w:hAnsi="仿宋" w:eastAsia="仿宋" w:cs="仿宋"/>
                <w:sz w:val="27"/>
              </w:rPr>
            </w:pPr>
          </w:p>
        </w:tc>
        <w:tc>
          <w:tcPr>
            <w:tcW w:w="2309" w:type="dxa"/>
          </w:tcPr>
          <w:p>
            <w:pPr>
              <w:pStyle w:val="22"/>
              <w:rPr>
                <w:rFonts w:ascii="仿宋" w:hAnsi="仿宋" w:eastAsia="仿宋" w:cs="仿宋"/>
                <w:sz w:val="20"/>
              </w:rPr>
            </w:pPr>
          </w:p>
        </w:tc>
        <w:tc>
          <w:tcPr>
            <w:tcW w:w="2061" w:type="dxa"/>
            <w:vAlign w:val="center"/>
          </w:tcPr>
          <w:p>
            <w:pPr>
              <w:pStyle w:val="22"/>
              <w:jc w:val="right"/>
              <w:rPr>
                <w:rFonts w:ascii="仿宋" w:hAnsi="仿宋" w:eastAsia="仿宋" w:cs="仿宋"/>
                <w:sz w:val="27"/>
              </w:rPr>
            </w:pPr>
            <w:r>
              <w:rPr>
                <w:rFonts w:hint="eastAsia" w:ascii="仿宋" w:hAnsi="仿宋" w:eastAsia="仿宋" w:cs="仿宋"/>
              </w:rPr>
              <w:t>公开1</w:t>
            </w:r>
            <w:r>
              <w:rPr>
                <w:rFonts w:hint="eastAsia" w:ascii="仿宋" w:hAnsi="仿宋" w:eastAsia="仿宋" w:cs="仿宋"/>
                <w:lang w:val="en-US"/>
              </w:rPr>
              <w:t>1</w:t>
            </w:r>
            <w:r>
              <w:rPr>
                <w:rFonts w:hint="eastAsia" w:ascii="仿宋" w:hAnsi="仿宋" w:eastAsia="仿宋" w:cs="仿宋"/>
              </w:rPr>
              <w:t>表</w:t>
            </w:r>
          </w:p>
        </w:tc>
      </w:tr>
      <w:tr>
        <w:tblPrEx>
          <w:tblLayout w:type="fixed"/>
          <w:tblCellMar>
            <w:top w:w="55" w:type="dxa"/>
            <w:left w:w="55" w:type="dxa"/>
            <w:bottom w:w="55" w:type="dxa"/>
            <w:right w:w="55" w:type="dxa"/>
          </w:tblCellMar>
        </w:tblPrEx>
        <w:trPr>
          <w:trHeight w:val="152" w:hRule="atLeast"/>
        </w:trPr>
        <w:tc>
          <w:tcPr>
            <w:tcW w:w="13339" w:type="dxa"/>
            <w:gridSpan w:val="4"/>
            <w:vAlign w:val="center"/>
          </w:tcPr>
          <w:p>
            <w:pPr>
              <w:pStyle w:val="22"/>
              <w:rPr>
                <w:rFonts w:ascii="仿宋" w:hAnsi="仿宋" w:eastAsia="仿宋" w:cs="仿宋"/>
                <w:sz w:val="20"/>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江苏省立新农场</w:t>
            </w:r>
          </w:p>
        </w:tc>
        <w:tc>
          <w:tcPr>
            <w:tcW w:w="2061" w:type="dxa"/>
            <w:vAlign w:val="center"/>
          </w:tcPr>
          <w:p>
            <w:pPr>
              <w:pStyle w:val="22"/>
              <w:jc w:val="right"/>
              <w:rPr>
                <w:rFonts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67" w:hRule="atLeast"/>
        </w:trPr>
        <w:tc>
          <w:tcPr>
            <w:tcW w:w="8520" w:type="dxa"/>
            <w:gridSpan w:val="2"/>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510" w:type="dxa"/>
            <w:vMerge w:val="restart"/>
            <w:tcBorders>
              <w:top w:val="single" w:color="000000" w:sz="4" w:space="0"/>
              <w:left w:val="single" w:color="000000" w:sz="4" w:space="0"/>
            </w:tcBorders>
            <w:vAlign w:val="center"/>
          </w:tcPr>
          <w:p>
            <w:pPr>
              <w:pStyle w:val="22"/>
              <w:jc w:val="center"/>
              <w:rPr>
                <w:rFonts w:ascii="仿宋" w:hAnsi="仿宋" w:eastAsia="仿宋" w:cs="仿宋"/>
              </w:rPr>
            </w:pPr>
            <w:r>
              <w:rPr>
                <w:rFonts w:hint="eastAsia" w:ascii="仿宋" w:hAnsi="仿宋" w:eastAsia="仿宋" w:cs="仿宋"/>
              </w:rPr>
              <w:t>本年支出合计</w:t>
            </w:r>
          </w:p>
        </w:tc>
        <w:tc>
          <w:tcPr>
            <w:tcW w:w="2309" w:type="dxa"/>
            <w:vMerge w:val="restart"/>
            <w:tcBorders>
              <w:top w:val="single" w:color="000000" w:sz="4" w:space="0"/>
              <w:left w:val="single" w:color="000000" w:sz="4" w:space="0"/>
            </w:tcBorders>
            <w:vAlign w:val="center"/>
          </w:tcPr>
          <w:p>
            <w:pPr>
              <w:pStyle w:val="22"/>
              <w:jc w:val="center"/>
              <w:rPr>
                <w:rFonts w:ascii="仿宋" w:hAnsi="仿宋" w:eastAsia="仿宋" w:cs="仿宋"/>
              </w:rPr>
            </w:pPr>
            <w:r>
              <w:rPr>
                <w:rFonts w:hint="eastAsia" w:ascii="仿宋" w:hAnsi="仿宋" w:eastAsia="仿宋" w:cs="仿宋"/>
              </w:rPr>
              <w:t>基本支出</w:t>
            </w:r>
          </w:p>
        </w:tc>
        <w:tc>
          <w:tcPr>
            <w:tcW w:w="2061" w:type="dxa"/>
            <w:vMerge w:val="restart"/>
            <w:tcBorders>
              <w:top w:val="single" w:color="000000" w:sz="4" w:space="0"/>
              <w:left w:val="single" w:color="000000" w:sz="4" w:space="0"/>
              <w:bottom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项目支出</w:t>
            </w:r>
          </w:p>
        </w:tc>
      </w:tr>
      <w:tr>
        <w:tblPrEx>
          <w:tblLayout w:type="fixed"/>
          <w:tblCellMar>
            <w:top w:w="55" w:type="dxa"/>
            <w:left w:w="55" w:type="dxa"/>
            <w:bottom w:w="55" w:type="dxa"/>
            <w:right w:w="55" w:type="dxa"/>
          </w:tblCellMar>
        </w:tblPrEx>
        <w:trPr>
          <w:trHeight w:val="427" w:hRule="atLeast"/>
        </w:trPr>
        <w:tc>
          <w:tcPr>
            <w:tcW w:w="1462"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功能分类</w:t>
            </w:r>
          </w:p>
          <w:p>
            <w:pPr>
              <w:pStyle w:val="22"/>
              <w:jc w:val="center"/>
              <w:rPr>
                <w:rFonts w:ascii="仿宋" w:hAnsi="仿宋" w:eastAsia="仿宋" w:cs="仿宋"/>
              </w:rPr>
            </w:pPr>
            <w:r>
              <w:rPr>
                <w:rFonts w:hint="eastAsia" w:ascii="仿宋" w:hAnsi="仿宋" w:eastAsia="仿宋" w:cs="仿宋"/>
              </w:rPr>
              <w:t>科目编码</w:t>
            </w:r>
          </w:p>
        </w:tc>
        <w:tc>
          <w:tcPr>
            <w:tcW w:w="7058"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科目名称</w:t>
            </w:r>
          </w:p>
        </w:tc>
        <w:tc>
          <w:tcPr>
            <w:tcW w:w="2510" w:type="dxa"/>
            <w:vMerge w:val="continue"/>
            <w:tcBorders>
              <w:left w:val="single" w:color="000000" w:sz="4" w:space="0"/>
              <w:bottom w:val="single" w:color="000000" w:sz="4" w:space="0"/>
            </w:tcBorders>
          </w:tcPr>
          <w:p>
            <w:pPr>
              <w:rPr>
                <w:rFonts w:ascii="仿宋" w:hAnsi="仿宋" w:eastAsia="仿宋" w:cs="仿宋"/>
              </w:rPr>
            </w:pPr>
          </w:p>
        </w:tc>
        <w:tc>
          <w:tcPr>
            <w:tcW w:w="2309" w:type="dxa"/>
            <w:vMerge w:val="continue"/>
            <w:tcBorders>
              <w:left w:val="single" w:color="000000" w:sz="4" w:space="0"/>
              <w:bottom w:val="single" w:color="000000" w:sz="4" w:space="0"/>
            </w:tcBorders>
            <w:vAlign w:val="center"/>
          </w:tcPr>
          <w:p>
            <w:pPr>
              <w:pStyle w:val="22"/>
              <w:jc w:val="center"/>
              <w:rPr>
                <w:rFonts w:ascii="仿宋" w:hAnsi="仿宋" w:eastAsia="仿宋" w:cs="仿宋"/>
              </w:rPr>
            </w:pPr>
          </w:p>
        </w:tc>
        <w:tc>
          <w:tcPr>
            <w:tcW w:w="2061" w:type="dxa"/>
            <w:vMerge w:val="continue"/>
            <w:tcBorders>
              <w:left w:val="single" w:color="000000" w:sz="4" w:space="0"/>
              <w:bottom w:val="single" w:color="000000" w:sz="4" w:space="0"/>
              <w:right w:val="single" w:color="000000" w:sz="4" w:space="0"/>
            </w:tcBorders>
          </w:tcPr>
          <w:p>
            <w:pPr>
              <w:rPr>
                <w:rFonts w:ascii="仿宋" w:hAnsi="仿宋" w:eastAsia="仿宋" w:cs="仿宋"/>
              </w:rPr>
            </w:pPr>
          </w:p>
        </w:tc>
      </w:tr>
      <w:tr>
        <w:tblPrEx>
          <w:tblLayout w:type="fixed"/>
          <w:tblCellMar>
            <w:top w:w="55" w:type="dxa"/>
            <w:left w:w="55" w:type="dxa"/>
            <w:bottom w:w="55" w:type="dxa"/>
            <w:right w:w="55" w:type="dxa"/>
          </w:tblCellMar>
        </w:tblPrEx>
        <w:trPr>
          <w:trHeight w:val="275" w:hRule="atLeast"/>
        </w:trPr>
        <w:tc>
          <w:tcPr>
            <w:tcW w:w="8520" w:type="dxa"/>
            <w:gridSpan w:val="2"/>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栏次</w:t>
            </w:r>
          </w:p>
        </w:tc>
        <w:tc>
          <w:tcPr>
            <w:tcW w:w="2510" w:type="dxa"/>
            <w:tcBorders>
              <w:left w:val="single" w:color="000000" w:sz="4" w:space="0"/>
              <w:bottom w:val="single" w:color="000000" w:sz="4" w:space="0"/>
            </w:tcBorders>
            <w:vAlign w:val="center"/>
          </w:tcPr>
          <w:p>
            <w:pPr>
              <w:pStyle w:val="22"/>
              <w:jc w:val="center"/>
              <w:rPr>
                <w:rFonts w:ascii="仿宋" w:hAnsi="仿宋" w:eastAsia="仿宋" w:cs="仿宋"/>
                <w:lang w:val="en-US"/>
              </w:rPr>
            </w:pPr>
            <w:r>
              <w:rPr>
                <w:rFonts w:hint="eastAsia" w:ascii="仿宋" w:hAnsi="仿宋" w:eastAsia="仿宋" w:cs="仿宋"/>
                <w:lang w:val="en-US"/>
              </w:rPr>
              <w:t>1</w:t>
            </w:r>
          </w:p>
        </w:tc>
        <w:tc>
          <w:tcPr>
            <w:tcW w:w="2309"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2</w:t>
            </w:r>
          </w:p>
        </w:tc>
        <w:tc>
          <w:tcPr>
            <w:tcW w:w="2061" w:type="dxa"/>
            <w:tcBorders>
              <w:left w:val="single" w:color="000000" w:sz="4" w:space="0"/>
              <w:bottom w:val="single" w:color="000000" w:sz="4" w:space="0"/>
              <w:right w:val="single" w:color="000000" w:sz="4" w:space="0"/>
            </w:tcBorders>
            <w:vAlign w:val="center"/>
          </w:tcPr>
          <w:p>
            <w:pPr>
              <w:pStyle w:val="22"/>
              <w:jc w:val="center"/>
              <w:rPr>
                <w:rFonts w:ascii="仿宋" w:hAnsi="仿宋" w:eastAsia="仿宋" w:cs="仿宋"/>
                <w:lang w:val="en-US"/>
              </w:rPr>
            </w:pPr>
            <w:r>
              <w:rPr>
                <w:rFonts w:hint="eastAsia" w:ascii="仿宋" w:hAnsi="仿宋" w:eastAsia="仿宋" w:cs="仿宋"/>
                <w:lang w:val="en-US"/>
              </w:rPr>
              <w:t>2</w:t>
            </w:r>
          </w:p>
        </w:tc>
      </w:tr>
      <w:tr>
        <w:tblPrEx>
          <w:tblLayout w:type="fixed"/>
          <w:tblCellMar>
            <w:top w:w="55" w:type="dxa"/>
            <w:left w:w="55" w:type="dxa"/>
            <w:bottom w:w="55" w:type="dxa"/>
            <w:right w:w="55" w:type="dxa"/>
          </w:tblCellMar>
        </w:tblPrEx>
        <w:trPr>
          <w:trHeight w:val="389" w:hRule="exact"/>
        </w:trPr>
        <w:tc>
          <w:tcPr>
            <w:tcW w:w="8520" w:type="dxa"/>
            <w:gridSpan w:val="2"/>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合计</w:t>
            </w:r>
          </w:p>
        </w:tc>
        <w:tc>
          <w:tcPr>
            <w:tcW w:w="2510"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2309"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2061"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53" w:hRule="atLeast"/>
        </w:trPr>
        <w:tc>
          <w:tcPr>
            <w:tcW w:w="146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7058"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2510"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c>
          <w:tcPr>
            <w:tcW w:w="2309"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c>
          <w:tcPr>
            <w:tcW w:w="2061"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53" w:hRule="atLeast"/>
        </w:trPr>
        <w:tc>
          <w:tcPr>
            <w:tcW w:w="146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7058"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2510"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c>
          <w:tcPr>
            <w:tcW w:w="2309"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c>
          <w:tcPr>
            <w:tcW w:w="2061"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bl>
    <w:p>
      <w:pPr>
        <w:jc w:val="both"/>
        <w:rPr>
          <w:rFonts w:ascii="仿宋" w:hAnsi="仿宋" w:eastAsia="仿宋" w:cs="仿宋"/>
        </w:rPr>
      </w:pPr>
      <w:r>
        <w:rPr>
          <w:rFonts w:hint="eastAsia" w:ascii="仿宋" w:hAnsi="仿宋" w:eastAsia="仿宋" w:cs="仿宋"/>
        </w:rPr>
        <w:t>注：本表反映本年度国有资本经营预算财政拨款支出情况。</w:t>
      </w:r>
    </w:p>
    <w:p>
      <w:pPr>
        <w:ind w:left="440" w:leftChars="200"/>
        <w:jc w:val="both"/>
        <w:rPr>
          <w:rFonts w:ascii="仿宋" w:hAnsi="仿宋" w:eastAsia="仿宋" w:cs="仿宋"/>
          <w:lang w:val="en-US"/>
        </w:rPr>
      </w:pPr>
      <w:r>
        <w:rPr>
          <w:rFonts w:ascii="仿宋" w:hAnsi="仿宋" w:eastAsia="仿宋" w:cs="仿宋"/>
        </w:rPr>
        <w:t>本单位无</w:t>
      </w:r>
      <w:r>
        <w:rPr>
          <w:rFonts w:hint="eastAsia" w:ascii="仿宋" w:hAnsi="仿宋" w:eastAsia="仿宋" w:cs="仿宋"/>
        </w:rPr>
        <w:t>国有资本经营预算支出</w:t>
      </w:r>
      <w:r>
        <w:rPr>
          <w:rFonts w:hint="eastAsia" w:ascii="仿宋" w:hAnsi="仿宋" w:eastAsia="仿宋" w:cs="仿宋"/>
          <w:lang w:val="en-US"/>
        </w:rPr>
        <w:t>决算，故本表为空。</w:t>
      </w:r>
    </w:p>
    <w:p>
      <w:pPr>
        <w:spacing w:before="25"/>
        <w:ind w:left="-220" w:leftChars="-100"/>
        <w:jc w:val="both"/>
        <w:rPr>
          <w:rFonts w:ascii="仿宋" w:hAnsi="仿宋" w:eastAsia="仿宋" w:cs="仿宋"/>
          <w:lang w:val="en-US"/>
        </w:rPr>
        <w:sectPr>
          <w:pgSz w:w="16838" w:h="11906" w:orient="landscape"/>
          <w:pgMar w:top="720" w:right="720" w:bottom="720" w:left="720" w:header="170" w:footer="280" w:gutter="0"/>
          <w:pgNumType w:fmt="numberInDash"/>
          <w:cols w:space="720" w:num="1"/>
          <w:formProt w:val="0"/>
          <w:docGrid w:linePitch="100" w:charSpace="0"/>
        </w:sectPr>
      </w:pPr>
    </w:p>
    <w:tbl>
      <w:tblPr>
        <w:tblStyle w:val="13"/>
        <w:tblW w:w="10466" w:type="dxa"/>
        <w:tblInd w:w="53" w:type="dxa"/>
        <w:tblLayout w:type="fixed"/>
        <w:tblCellMar>
          <w:top w:w="55" w:type="dxa"/>
          <w:left w:w="55" w:type="dxa"/>
          <w:bottom w:w="55" w:type="dxa"/>
          <w:right w:w="55" w:type="dxa"/>
        </w:tblCellMar>
      </w:tblPr>
      <w:tblGrid>
        <w:gridCol w:w="1642"/>
        <w:gridCol w:w="4990"/>
        <w:gridCol w:w="3834"/>
      </w:tblGrid>
      <w:tr>
        <w:tblPrEx>
          <w:tblLayout w:type="fixed"/>
          <w:tblCellMar>
            <w:top w:w="55" w:type="dxa"/>
            <w:left w:w="55" w:type="dxa"/>
            <w:bottom w:w="55" w:type="dxa"/>
            <w:right w:w="55" w:type="dxa"/>
          </w:tblCellMar>
        </w:tblPrEx>
        <w:trPr>
          <w:trHeight w:val="319" w:hRule="atLeast"/>
        </w:trPr>
        <w:tc>
          <w:tcPr>
            <w:tcW w:w="10466" w:type="dxa"/>
            <w:gridSpan w:val="3"/>
          </w:tcPr>
          <w:p>
            <w:pPr>
              <w:pStyle w:val="22"/>
              <w:tabs>
                <w:tab w:val="left" w:pos="610"/>
              </w:tabs>
              <w:spacing w:before="28"/>
              <w:ind w:left="8"/>
              <w:jc w:val="center"/>
              <w:rPr>
                <w:rFonts w:ascii="仿宋" w:hAnsi="仿宋" w:eastAsia="仿宋" w:cs="仿宋"/>
                <w:b/>
                <w:bCs/>
                <w:sz w:val="44"/>
                <w:szCs w:val="44"/>
              </w:rPr>
            </w:pPr>
            <w:r>
              <w:rPr>
                <w:rFonts w:hint="eastAsia"/>
                <w:b/>
                <w:bCs/>
                <w:color w:val="000000"/>
                <w:sz w:val="36"/>
                <w:szCs w:val="36"/>
                <w:lang w:eastAsia="ar-SA"/>
              </w:rPr>
              <w:t>一般公共预算机关运行经费支出决算表</w:t>
            </w:r>
          </w:p>
        </w:tc>
      </w:tr>
      <w:tr>
        <w:tblPrEx>
          <w:tblLayout w:type="fixed"/>
          <w:tblCellMar>
            <w:top w:w="55" w:type="dxa"/>
            <w:left w:w="55" w:type="dxa"/>
            <w:bottom w:w="55" w:type="dxa"/>
            <w:right w:w="55" w:type="dxa"/>
          </w:tblCellMar>
        </w:tblPrEx>
        <w:trPr>
          <w:trHeight w:val="90" w:hRule="atLeast"/>
        </w:trPr>
        <w:tc>
          <w:tcPr>
            <w:tcW w:w="6632" w:type="dxa"/>
            <w:gridSpan w:val="2"/>
          </w:tcPr>
          <w:p>
            <w:pPr>
              <w:pStyle w:val="22"/>
              <w:rPr>
                <w:rFonts w:ascii="仿宋" w:hAnsi="仿宋" w:eastAsia="仿宋" w:cs="仿宋"/>
                <w:sz w:val="20"/>
              </w:rPr>
            </w:pPr>
          </w:p>
        </w:tc>
        <w:tc>
          <w:tcPr>
            <w:tcW w:w="3834" w:type="dxa"/>
            <w:vAlign w:val="center"/>
          </w:tcPr>
          <w:p>
            <w:pPr>
              <w:pStyle w:val="22"/>
              <w:jc w:val="right"/>
              <w:rPr>
                <w:rFonts w:ascii="仿宋" w:hAnsi="仿宋" w:eastAsia="仿宋" w:cs="仿宋"/>
              </w:rPr>
            </w:pPr>
            <w:r>
              <w:rPr>
                <w:rFonts w:hint="eastAsia" w:ascii="仿宋" w:hAnsi="仿宋" w:eastAsia="仿宋" w:cs="仿宋"/>
              </w:rPr>
              <w:t>公开1</w:t>
            </w:r>
            <w:r>
              <w:rPr>
                <w:rFonts w:hint="eastAsia" w:ascii="仿宋" w:hAnsi="仿宋" w:eastAsia="仿宋" w:cs="仿宋"/>
                <w:lang w:val="en-US"/>
              </w:rPr>
              <w:t>2</w:t>
            </w:r>
            <w:r>
              <w:rPr>
                <w:rFonts w:hint="eastAsia" w:ascii="仿宋" w:hAnsi="仿宋" w:eastAsia="仿宋" w:cs="仿宋"/>
              </w:rPr>
              <w:t>表</w:t>
            </w:r>
          </w:p>
        </w:tc>
      </w:tr>
      <w:tr>
        <w:tblPrEx>
          <w:tblLayout w:type="fixed"/>
          <w:tblCellMar>
            <w:top w:w="55" w:type="dxa"/>
            <w:left w:w="55" w:type="dxa"/>
            <w:bottom w:w="55" w:type="dxa"/>
            <w:right w:w="55" w:type="dxa"/>
          </w:tblCellMar>
        </w:tblPrEx>
        <w:trPr>
          <w:trHeight w:val="90" w:hRule="atLeast"/>
        </w:trPr>
        <w:tc>
          <w:tcPr>
            <w:tcW w:w="6632" w:type="dxa"/>
            <w:gridSpan w:val="2"/>
            <w:vAlign w:val="center"/>
          </w:tcPr>
          <w:p>
            <w:pPr>
              <w:pStyle w:val="22"/>
              <w:rPr>
                <w:rFonts w:ascii="仿宋" w:hAnsi="仿宋" w:eastAsia="仿宋" w:cs="仿宋"/>
                <w:sz w:val="20"/>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江苏省立新农场</w:t>
            </w:r>
          </w:p>
        </w:tc>
        <w:tc>
          <w:tcPr>
            <w:tcW w:w="3834" w:type="dxa"/>
            <w:vAlign w:val="center"/>
          </w:tcPr>
          <w:p>
            <w:pPr>
              <w:pStyle w:val="22"/>
              <w:jc w:val="right"/>
              <w:rPr>
                <w:rFonts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19" w:hRule="atLeast"/>
        </w:trPr>
        <w:tc>
          <w:tcPr>
            <w:tcW w:w="6632" w:type="dxa"/>
            <w:gridSpan w:val="2"/>
            <w:tcBorders>
              <w:top w:val="single" w:color="000000" w:sz="4" w:space="0"/>
              <w:left w:val="single" w:color="000000" w:sz="4" w:space="0"/>
              <w:bottom w:val="single" w:color="000000" w:sz="4" w:space="0"/>
            </w:tcBorders>
          </w:tcPr>
          <w:p>
            <w:pPr>
              <w:pStyle w:val="22"/>
              <w:jc w:val="center"/>
              <w:rPr>
                <w:rFonts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3834" w:type="dxa"/>
            <w:vMerge w:val="restart"/>
            <w:tcBorders>
              <w:top w:val="single" w:color="000000" w:sz="4" w:space="0"/>
              <w:left w:val="single" w:color="000000" w:sz="4" w:space="0"/>
              <w:bottom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机关运行经费支出决算</w:t>
            </w:r>
          </w:p>
        </w:tc>
      </w:tr>
      <w:tr>
        <w:tblPrEx>
          <w:tblLayout w:type="fixed"/>
          <w:tblCellMar>
            <w:top w:w="55" w:type="dxa"/>
            <w:left w:w="55" w:type="dxa"/>
            <w:bottom w:w="55" w:type="dxa"/>
            <w:right w:w="55" w:type="dxa"/>
          </w:tblCellMar>
        </w:tblPrEx>
        <w:trPr>
          <w:trHeight w:val="363" w:hRule="atLeast"/>
        </w:trPr>
        <w:tc>
          <w:tcPr>
            <w:tcW w:w="1642"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科目编码</w:t>
            </w:r>
          </w:p>
        </w:tc>
        <w:tc>
          <w:tcPr>
            <w:tcW w:w="4990"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科目名称</w:t>
            </w:r>
          </w:p>
        </w:tc>
        <w:tc>
          <w:tcPr>
            <w:tcW w:w="3834" w:type="dxa"/>
            <w:vMerge w:val="continue"/>
            <w:tcBorders>
              <w:left w:val="single" w:color="000000" w:sz="4" w:space="0"/>
              <w:bottom w:val="single" w:color="000000" w:sz="4" w:space="0"/>
              <w:right w:val="single" w:color="000000" w:sz="4" w:space="0"/>
            </w:tcBorders>
          </w:tcPr>
          <w:p>
            <w:pPr>
              <w:rPr>
                <w:rFonts w:ascii="仿宋" w:hAnsi="仿宋" w:eastAsia="仿宋" w:cs="仿宋"/>
              </w:rPr>
            </w:pPr>
          </w:p>
        </w:tc>
      </w:tr>
      <w:tr>
        <w:tblPrEx>
          <w:tblLayout w:type="fixed"/>
          <w:tblCellMar>
            <w:top w:w="55" w:type="dxa"/>
            <w:left w:w="55" w:type="dxa"/>
            <w:bottom w:w="55" w:type="dxa"/>
            <w:right w:w="55" w:type="dxa"/>
          </w:tblCellMar>
        </w:tblPrEx>
        <w:trPr>
          <w:trHeight w:val="229" w:hRule="atLeast"/>
        </w:trPr>
        <w:tc>
          <w:tcPr>
            <w:tcW w:w="6632" w:type="dxa"/>
            <w:gridSpan w:val="2"/>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合计</w:t>
            </w:r>
          </w:p>
        </w:tc>
        <w:tc>
          <w:tcPr>
            <w:tcW w:w="3834"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302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商品和服务支出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办公费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印刷费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咨询费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30204</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手续费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水费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电费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邮电费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取暖费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物业管理费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差旅费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因公出国（境）费用</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维修（护）费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30214</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租赁费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会议费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培训费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公务接待费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专用材料费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30224</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被装购置费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专用燃料费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劳务费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委托业务费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工会经费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福利费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30231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公务用车运行维护费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30239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其他交通费用</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30240</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税金及附加费用</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30299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其他商品和服务支出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307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债务利息及费用支出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310</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资本性支出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房屋建筑物购建</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办公设备购置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专用设备购置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基础设施建设</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大型修缮</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信息网络及软件购置更新</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物资储备</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土地补偿</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31010</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安置补助</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地上附着物和青苗补偿</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拆迁补偿</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公务用车购置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其他交通工具购置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31021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文物和陈列品购置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31022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无形资产购置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31099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其他资本性支出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312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对企业补助</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399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其他支出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bl>
    <w:p>
      <w:pPr>
        <w:spacing w:before="25"/>
        <w:ind w:right="-92" w:rightChars="-42"/>
        <w:jc w:val="both"/>
        <w:rPr>
          <w:rFonts w:ascii="仿宋" w:hAnsi="仿宋" w:eastAsia="仿宋" w:cs="仿宋"/>
          <w:lang w:val="en-US"/>
        </w:rPr>
      </w:pPr>
      <w:r>
        <w:rPr>
          <w:rFonts w:hint="eastAsia" w:ascii="仿宋" w:hAnsi="仿宋" w:eastAsia="仿宋" w:cs="仿宋"/>
        </w:rPr>
        <w:t>注：“机关运行经费” 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w:t>
      </w:r>
    </w:p>
    <w:p>
      <w:pPr>
        <w:tabs>
          <w:tab w:val="left" w:pos="440"/>
        </w:tabs>
        <w:spacing w:before="25"/>
        <w:ind w:left="440" w:leftChars="200"/>
        <w:jc w:val="both"/>
        <w:rPr>
          <w:rFonts w:ascii="仿宋" w:hAnsi="仿宋" w:eastAsia="仿宋" w:cs="仿宋"/>
        </w:rPr>
      </w:pPr>
      <w:r>
        <w:rPr>
          <w:rFonts w:hint="eastAsia" w:ascii="仿宋" w:hAnsi="仿宋" w:eastAsia="仿宋" w:cs="仿宋"/>
        </w:rPr>
        <w:t>本</w:t>
      </w:r>
      <w:r>
        <w:rPr>
          <w:rFonts w:ascii="仿宋" w:hAnsi="仿宋" w:eastAsia="仿宋" w:cs="仿宋"/>
        </w:rPr>
        <w:t>单位</w:t>
      </w:r>
      <w:r>
        <w:rPr>
          <w:rFonts w:hint="eastAsia" w:ascii="仿宋" w:hAnsi="仿宋" w:eastAsia="仿宋" w:cs="仿宋"/>
        </w:rPr>
        <w:t>无一般公共预算机关运行经费支出决算，故本表为空。</w:t>
      </w:r>
    </w:p>
    <w:p>
      <w:pPr>
        <w:tabs>
          <w:tab w:val="left" w:pos="440"/>
        </w:tabs>
        <w:spacing w:before="25"/>
        <w:ind w:left="440" w:leftChars="200"/>
        <w:jc w:val="both"/>
        <w:rPr>
          <w:rFonts w:ascii="仿宋" w:hAnsi="仿宋" w:eastAsia="仿宋" w:cs="仿宋"/>
          <w:lang w:val="en-US"/>
        </w:rPr>
        <w:sectPr>
          <w:footerReference r:id="rId17" w:type="default"/>
          <w:type w:val="continuous"/>
          <w:pgSz w:w="11906" w:h="16838"/>
          <w:pgMar w:top="720" w:right="720" w:bottom="720" w:left="720" w:header="170" w:footer="280" w:gutter="0"/>
          <w:pgNumType w:fmt="numberInDash"/>
          <w:cols w:space="720" w:num="1"/>
          <w:formProt w:val="0"/>
          <w:docGrid w:linePitch="100" w:charSpace="0"/>
        </w:sectPr>
      </w:pPr>
    </w:p>
    <w:tbl>
      <w:tblPr>
        <w:tblStyle w:val="13"/>
        <w:tblW w:w="10459" w:type="dxa"/>
        <w:tblInd w:w="45" w:type="dxa"/>
        <w:tblLayout w:type="fixed"/>
        <w:tblCellMar>
          <w:top w:w="55" w:type="dxa"/>
          <w:left w:w="55" w:type="dxa"/>
          <w:bottom w:w="55" w:type="dxa"/>
          <w:right w:w="55" w:type="dxa"/>
        </w:tblCellMar>
      </w:tblPr>
      <w:tblGrid>
        <w:gridCol w:w="4472"/>
        <w:gridCol w:w="722"/>
        <w:gridCol w:w="1992"/>
        <w:gridCol w:w="3273"/>
      </w:tblGrid>
      <w:tr>
        <w:tblPrEx>
          <w:tblLayout w:type="fixed"/>
          <w:tblCellMar>
            <w:top w:w="55" w:type="dxa"/>
            <w:left w:w="55" w:type="dxa"/>
            <w:bottom w:w="55" w:type="dxa"/>
            <w:right w:w="55" w:type="dxa"/>
          </w:tblCellMar>
        </w:tblPrEx>
        <w:trPr>
          <w:trHeight w:val="333" w:hRule="atLeast"/>
        </w:trPr>
        <w:tc>
          <w:tcPr>
            <w:tcW w:w="10459" w:type="dxa"/>
            <w:gridSpan w:val="4"/>
            <w:vAlign w:val="center"/>
          </w:tcPr>
          <w:p>
            <w:pPr>
              <w:pStyle w:val="22"/>
              <w:jc w:val="center"/>
              <w:rPr>
                <w:rFonts w:ascii="仿宋" w:hAnsi="仿宋" w:eastAsia="仿宋" w:cs="仿宋"/>
                <w:b/>
                <w:bCs/>
                <w:sz w:val="44"/>
                <w:szCs w:val="44"/>
              </w:rPr>
            </w:pPr>
            <w:r>
              <w:rPr>
                <w:rFonts w:hint="eastAsia"/>
                <w:b/>
                <w:bCs/>
                <w:color w:val="000000"/>
                <w:sz w:val="36"/>
                <w:szCs w:val="36"/>
                <w:lang w:eastAsia="ar-SA"/>
              </w:rPr>
              <w:t>政府采购支出决算表</w:t>
            </w:r>
          </w:p>
        </w:tc>
      </w:tr>
      <w:tr>
        <w:tblPrEx>
          <w:tblLayout w:type="fixed"/>
          <w:tblCellMar>
            <w:top w:w="55" w:type="dxa"/>
            <w:left w:w="55" w:type="dxa"/>
            <w:bottom w:w="55" w:type="dxa"/>
            <w:right w:w="55" w:type="dxa"/>
          </w:tblCellMar>
        </w:tblPrEx>
        <w:trPr>
          <w:trHeight w:val="333" w:hRule="atLeast"/>
        </w:trPr>
        <w:tc>
          <w:tcPr>
            <w:tcW w:w="4472" w:type="dxa"/>
          </w:tcPr>
          <w:p>
            <w:pPr>
              <w:pStyle w:val="22"/>
              <w:rPr>
                <w:rFonts w:ascii="仿宋" w:hAnsi="仿宋" w:eastAsia="仿宋" w:cs="仿宋"/>
              </w:rPr>
            </w:pPr>
          </w:p>
        </w:tc>
        <w:tc>
          <w:tcPr>
            <w:tcW w:w="722" w:type="dxa"/>
          </w:tcPr>
          <w:p>
            <w:pPr>
              <w:pStyle w:val="22"/>
              <w:rPr>
                <w:rFonts w:ascii="仿宋" w:hAnsi="仿宋" w:eastAsia="仿宋" w:cs="仿宋"/>
              </w:rPr>
            </w:pPr>
          </w:p>
        </w:tc>
        <w:tc>
          <w:tcPr>
            <w:tcW w:w="1992" w:type="dxa"/>
          </w:tcPr>
          <w:p>
            <w:pPr>
              <w:pStyle w:val="22"/>
              <w:rPr>
                <w:rFonts w:ascii="仿宋" w:hAnsi="仿宋" w:eastAsia="仿宋" w:cs="仿宋"/>
              </w:rPr>
            </w:pPr>
          </w:p>
        </w:tc>
        <w:tc>
          <w:tcPr>
            <w:tcW w:w="3273" w:type="dxa"/>
            <w:vAlign w:val="center"/>
          </w:tcPr>
          <w:p>
            <w:pPr>
              <w:pStyle w:val="22"/>
              <w:jc w:val="right"/>
              <w:rPr>
                <w:rFonts w:ascii="仿宋" w:hAnsi="仿宋" w:eastAsia="仿宋" w:cs="仿宋"/>
              </w:rPr>
            </w:pPr>
            <w:r>
              <w:rPr>
                <w:rFonts w:hint="eastAsia" w:ascii="仿宋" w:hAnsi="仿宋" w:eastAsia="仿宋" w:cs="仿宋"/>
              </w:rPr>
              <w:t>公开1</w:t>
            </w:r>
            <w:r>
              <w:rPr>
                <w:rFonts w:hint="eastAsia" w:ascii="仿宋" w:hAnsi="仿宋" w:eastAsia="仿宋" w:cs="仿宋"/>
                <w:lang w:val="en-US"/>
              </w:rPr>
              <w:t>3</w:t>
            </w:r>
            <w:r>
              <w:rPr>
                <w:rFonts w:hint="eastAsia" w:ascii="仿宋" w:hAnsi="仿宋" w:eastAsia="仿宋" w:cs="仿宋"/>
              </w:rPr>
              <w:t>表</w:t>
            </w:r>
          </w:p>
        </w:tc>
      </w:tr>
      <w:tr>
        <w:tblPrEx>
          <w:tblLayout w:type="fixed"/>
          <w:tblCellMar>
            <w:top w:w="55" w:type="dxa"/>
            <w:left w:w="55" w:type="dxa"/>
            <w:bottom w:w="55" w:type="dxa"/>
            <w:right w:w="55" w:type="dxa"/>
          </w:tblCellMar>
        </w:tblPrEx>
        <w:trPr>
          <w:trHeight w:val="90" w:hRule="atLeast"/>
        </w:trPr>
        <w:tc>
          <w:tcPr>
            <w:tcW w:w="7186" w:type="dxa"/>
            <w:gridSpan w:val="3"/>
          </w:tcPr>
          <w:p>
            <w:pPr>
              <w:pStyle w:val="22"/>
              <w:rPr>
                <w:rFonts w:ascii="仿宋" w:hAnsi="仿宋" w:eastAsia="仿宋" w:cs="仿宋"/>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江苏省立新农场</w:t>
            </w:r>
          </w:p>
        </w:tc>
        <w:tc>
          <w:tcPr>
            <w:tcW w:w="3273" w:type="dxa"/>
            <w:vAlign w:val="center"/>
          </w:tcPr>
          <w:p>
            <w:pPr>
              <w:pStyle w:val="22"/>
              <w:jc w:val="right"/>
              <w:rPr>
                <w:rFonts w:ascii="仿宋" w:hAnsi="仿宋" w:eastAsia="仿宋" w:cs="仿宋"/>
              </w:rPr>
            </w:pPr>
            <w:r>
              <w:rPr>
                <w:rFonts w:hint="eastAsia" w:ascii="仿宋" w:hAnsi="仿宋" w:eastAsia="仿宋" w:cs="仿宋"/>
              </w:rPr>
              <w:t>单位：万元</w:t>
            </w:r>
          </w:p>
        </w:tc>
      </w:tr>
      <w:tr>
        <w:tblPrEx>
          <w:tblLayout w:type="fixed"/>
          <w:tblCellMar>
            <w:top w:w="55" w:type="dxa"/>
            <w:left w:w="55" w:type="dxa"/>
            <w:bottom w:w="55" w:type="dxa"/>
            <w:right w:w="55" w:type="dxa"/>
          </w:tblCellMar>
        </w:tblPrEx>
        <w:trPr>
          <w:trHeight w:val="244" w:hRule="atLeast"/>
        </w:trPr>
        <w:tc>
          <w:tcPr>
            <w:tcW w:w="4472" w:type="dxa"/>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lang w:val="en-US"/>
              </w:rPr>
            </w:pPr>
            <w:r>
              <w:rPr>
                <w:rFonts w:ascii="仿宋" w:hAnsi="仿宋" w:eastAsia="仿宋" w:cs="仿宋"/>
              </w:rPr>
              <w:t>项目</w:t>
            </w:r>
          </w:p>
        </w:tc>
        <w:tc>
          <w:tcPr>
            <w:tcW w:w="5987" w:type="dxa"/>
            <w:gridSpan w:val="3"/>
            <w:tcBorders>
              <w:top w:val="single" w:color="000000" w:sz="4" w:space="0"/>
              <w:left w:val="single" w:color="000000" w:sz="4" w:space="0"/>
              <w:bottom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金</w:t>
            </w:r>
            <w:r>
              <w:rPr>
                <w:rFonts w:hint="eastAsia" w:ascii="仿宋" w:hAnsi="仿宋" w:eastAsia="仿宋" w:cs="仿宋"/>
              </w:rPr>
              <w:tab/>
            </w:r>
            <w:r>
              <w:rPr>
                <w:rFonts w:hint="eastAsia" w:ascii="仿宋" w:hAnsi="仿宋" w:eastAsia="仿宋" w:cs="仿宋"/>
              </w:rPr>
              <w:t>额</w:t>
            </w:r>
          </w:p>
        </w:tc>
      </w:tr>
      <w:tr>
        <w:tblPrEx>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一、政府采购支出合计</w:t>
            </w:r>
          </w:p>
        </w:tc>
        <w:tc>
          <w:tcPr>
            <w:tcW w:w="5987" w:type="dxa"/>
            <w:gridSpan w:val="3"/>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25.97</w:t>
            </w:r>
          </w:p>
        </w:tc>
      </w:tr>
      <w:tr>
        <w:tblPrEx>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（一）政府采购货物支出</w:t>
            </w:r>
          </w:p>
        </w:tc>
        <w:tc>
          <w:tcPr>
            <w:tcW w:w="5987" w:type="dxa"/>
            <w:gridSpan w:val="3"/>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（二）政府采购工程支出</w:t>
            </w:r>
          </w:p>
        </w:tc>
        <w:tc>
          <w:tcPr>
            <w:tcW w:w="5987" w:type="dxa"/>
            <w:gridSpan w:val="3"/>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25.97</w:t>
            </w:r>
          </w:p>
        </w:tc>
      </w:tr>
      <w:tr>
        <w:tblPrEx>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（三）政府采购服务支出</w:t>
            </w:r>
          </w:p>
        </w:tc>
        <w:tc>
          <w:tcPr>
            <w:tcW w:w="5987" w:type="dxa"/>
            <w:gridSpan w:val="3"/>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二、政府采购授予中小企业合同金额</w:t>
            </w:r>
          </w:p>
        </w:tc>
        <w:tc>
          <w:tcPr>
            <w:tcW w:w="5987" w:type="dxa"/>
            <w:gridSpan w:val="3"/>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21.67</w:t>
            </w:r>
          </w:p>
        </w:tc>
      </w:tr>
      <w:tr>
        <w:tblPrEx>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其中：授予小微企业合同金额</w:t>
            </w:r>
          </w:p>
        </w:tc>
        <w:tc>
          <w:tcPr>
            <w:tcW w:w="5987" w:type="dxa"/>
            <w:gridSpan w:val="3"/>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21.67</w:t>
            </w:r>
          </w:p>
        </w:tc>
      </w:tr>
    </w:tbl>
    <w:p>
      <w:pPr>
        <w:jc w:val="both"/>
        <w:rPr>
          <w:rFonts w:ascii="仿宋" w:hAnsi="仿宋" w:eastAsia="仿宋" w:cs="仿宋"/>
          <w:lang w:val="en-US"/>
        </w:rPr>
      </w:pPr>
      <w:r>
        <w:rPr>
          <w:rFonts w:hint="eastAsia" w:ascii="仿宋" w:hAnsi="仿宋" w:eastAsia="仿宋" w:cs="仿宋"/>
        </w:rPr>
        <w:t>注：</w:t>
      </w:r>
      <w:r>
        <w:rPr>
          <w:rFonts w:hint="eastAsia" w:ascii="仿宋" w:hAnsi="仿宋" w:eastAsia="仿宋" w:cs="仿宋"/>
          <w:lang w:val="en-US"/>
        </w:rPr>
        <w:t>政府采购支出信息为单位纳入部门预算范围的各项政府采购支出情况。本表金额单位转换时可能存在尾数误差</w:t>
      </w:r>
      <w:r>
        <w:rPr>
          <w:rFonts w:hint="eastAsia" w:ascii="仿宋" w:hAnsi="仿宋" w:eastAsia="仿宋" w:cs="仿宋"/>
        </w:rPr>
        <w:t>。</w:t>
      </w:r>
    </w:p>
    <w:p>
      <w:pPr>
        <w:ind w:left="440" w:leftChars="200"/>
        <w:jc w:val="both"/>
        <w:rPr>
          <w:rFonts w:ascii="仿宋" w:hAnsi="仿宋" w:eastAsia="仿宋" w:cs="仿宋"/>
        </w:rPr>
        <w:sectPr>
          <w:pgSz w:w="11906" w:h="16838"/>
          <w:pgMar w:top="720" w:right="720" w:bottom="720" w:left="720" w:header="170" w:footer="280" w:gutter="0"/>
          <w:pgNumType w:fmt="numberInDash"/>
          <w:cols w:space="720" w:num="1"/>
          <w:formProt w:val="0"/>
          <w:docGrid w:linePitch="100" w:charSpace="0"/>
        </w:sectPr>
      </w:pPr>
    </w:p>
    <w:p>
      <w:pPr>
        <w:pStyle w:val="5"/>
        <w:tabs>
          <w:tab w:val="left" w:pos="3077"/>
        </w:tabs>
        <w:spacing w:line="616" w:lineRule="exact"/>
        <w:rPr>
          <w:rFonts w:ascii="宋体" w:hAnsi="宋体" w:eastAsia="宋体" w:cs="宋体"/>
          <w:b/>
          <w:bCs/>
          <w:color w:val="000000"/>
          <w:lang w:eastAsia="ar-SA"/>
        </w:rPr>
      </w:pPr>
      <w:r>
        <w:rPr>
          <w:rFonts w:hint="eastAsia" w:ascii="宋体" w:hAnsi="宋体" w:eastAsia="宋体" w:cs="宋体"/>
          <w:b/>
          <w:bCs/>
          <w:color w:val="000000"/>
          <w:lang w:eastAsia="ar-SA"/>
        </w:rPr>
        <w:t>第三部分</w:t>
      </w:r>
      <w:r>
        <w:rPr>
          <w:rFonts w:hint="eastAsia" w:ascii="宋体" w:hAnsi="宋体" w:eastAsia="宋体" w:cs="宋体"/>
          <w:b/>
          <w:bCs/>
          <w:color w:val="000000"/>
          <w:lang w:val="en-US"/>
        </w:rPr>
        <w:t xml:space="preserve"> </w:t>
      </w:r>
      <w:r>
        <w:rPr>
          <w:rFonts w:hint="eastAsia" w:ascii="宋体" w:hAnsi="宋体" w:eastAsia="宋体" w:cs="宋体"/>
          <w:b/>
          <w:bCs/>
          <w:color w:val="000000"/>
        </w:rPr>
        <w:t>2021</w:t>
      </w:r>
      <w:r>
        <w:rPr>
          <w:rFonts w:hint="eastAsia" w:ascii="宋体" w:hAnsi="宋体" w:eastAsia="宋体" w:cs="宋体"/>
          <w:b/>
          <w:bCs/>
          <w:color w:val="000000"/>
          <w:lang w:eastAsia="ar-SA"/>
        </w:rPr>
        <w:t>年度</w:t>
      </w:r>
      <w:r>
        <w:rPr>
          <w:rFonts w:ascii="宋体" w:hAnsi="宋体" w:eastAsia="宋体" w:cs="宋体"/>
          <w:b/>
          <w:color w:val="000000"/>
        </w:rPr>
        <w:t>单位决算情况说明</w:t>
      </w:r>
    </w:p>
    <w:p>
      <w:pPr>
        <w:pStyle w:val="8"/>
        <w:tabs>
          <w:tab w:val="left" w:pos="3864"/>
          <w:tab w:val="left" w:pos="6248"/>
          <w:tab w:val="left" w:pos="7386"/>
        </w:tabs>
        <w:spacing w:before="1" w:line="360" w:lineRule="auto"/>
        <w:ind w:left="348" w:right="420" w:firstLine="640"/>
        <w:jc w:val="both"/>
        <w:rPr>
          <w:rFonts w:ascii="仿宋" w:hAnsi="仿宋" w:eastAsia="仿宋" w:cs="仿宋"/>
          <w:lang w:val="en-US"/>
        </w:rPr>
      </w:pP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一、收入支出决算总体情况说明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2021年度收入、支出决算总计1,949.9万元。与上年相比，收、支总计各增加106.02万元，增长5.75%。其中：</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（一）收入决算总计1,949.9万元。包括：</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1.本年收入决算合计1,758.16万元。与上年相比，减少21.35万元，减少1.2%，变动原因：2021年因政策原因关闭所投资的两家企业，导致事业收入减少。</w:t>
      </w:r>
    </w:p>
    <w:p>
      <w:pPr>
        <w:pStyle w:val="8"/>
        <w:tabs>
          <w:tab w:val="left" w:pos="3864"/>
          <w:tab w:val="left" w:pos="6248"/>
          <w:tab w:val="left" w:pos="7386"/>
        </w:tabs>
        <w:overflowPunct w:val="0"/>
        <w:spacing w:before="1" w:line="360" w:lineRule="auto"/>
        <w:ind w:left="440" w:leftChars="200" w:right="420" w:firstLine="659" w:firstLineChars="206"/>
        <w:jc w:val="both"/>
        <w:rPr>
          <w:rFonts w:hint="default" w:ascii="仿宋" w:hAnsi="仿宋" w:eastAsia="仿宋" w:cs="仿宋"/>
          <w:lang w:val="en-US" w:eastAsia="zh-CN"/>
        </w:rPr>
      </w:pPr>
      <w:r>
        <w:rPr>
          <w:rFonts w:ascii="仿宋" w:hAnsi="仿宋" w:eastAsia="仿宋" w:cs="仿宋"/>
        </w:rPr>
        <w:t>2.使用非财政拨款结余166.26万元。与上年相比，增加166.26万元（上年决算数为0万元，无法计算增减比率），变动原因：</w:t>
      </w:r>
      <w:r>
        <w:rPr>
          <w:rFonts w:hint="eastAsia" w:ascii="仿宋" w:hAnsi="仿宋" w:eastAsia="仿宋" w:cs="仿宋"/>
          <w:lang w:val="en-US" w:eastAsia="zh-CN"/>
        </w:rPr>
        <w:t>2021年本年收入小于本年支出，用非财政拨款结余来弥补差额。</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3.年初结转和结余25.49万元。与上年相比，减少38.87万元，减少60.39%，变动原因：</w:t>
      </w:r>
      <w:r>
        <w:rPr>
          <w:rFonts w:hint="eastAsia" w:ascii="仿宋" w:hAnsi="仿宋" w:eastAsia="仿宋" w:cs="仿宋"/>
          <w:lang w:val="en-US" w:eastAsia="zh-CN"/>
        </w:rPr>
        <w:t>项目资金结余的影响，</w:t>
      </w:r>
      <w:r>
        <w:rPr>
          <w:rFonts w:ascii="仿宋" w:hAnsi="仿宋" w:eastAsia="仿宋" w:cs="仿宋"/>
        </w:rPr>
        <w:t>2020年利用设施维修专项资金对我场设施进行了维修。</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（二）支出决算总计1,949.9万元。包括：</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1.本年支出决算合计1,947.41万元。与上年相比，增加305.45万元，增长18.6%，变动原因：主要为对个人和家庭的补助的增加，2021年经上级主管部门同意我单位一次性为退休职工支付城镇职工医疗保险。</w:t>
      </w:r>
    </w:p>
    <w:p>
      <w:pPr>
        <w:pStyle w:val="8"/>
        <w:tabs>
          <w:tab w:val="left" w:pos="3864"/>
          <w:tab w:val="left" w:pos="6248"/>
          <w:tab w:val="left" w:pos="7386"/>
        </w:tabs>
        <w:overflowPunct w:val="0"/>
        <w:spacing w:before="1" w:line="360" w:lineRule="auto"/>
        <w:ind w:left="440" w:leftChars="200" w:right="420" w:firstLine="659" w:firstLineChars="206"/>
        <w:jc w:val="both"/>
        <w:rPr>
          <w:rFonts w:hint="default" w:ascii="仿宋" w:hAnsi="仿宋" w:eastAsia="仿宋" w:cs="仿宋"/>
          <w:lang w:val="en-US" w:eastAsia="zh-CN"/>
        </w:rPr>
      </w:pPr>
      <w:r>
        <w:rPr>
          <w:rFonts w:ascii="仿宋" w:hAnsi="仿宋" w:eastAsia="仿宋" w:cs="仿宋"/>
        </w:rPr>
        <w:t>2.结余分配0万元。与上年相比，减少169.97万元，减少100%，变动原因：</w:t>
      </w:r>
      <w:r>
        <w:rPr>
          <w:rFonts w:hint="eastAsia" w:ascii="仿宋" w:hAnsi="仿宋" w:eastAsia="仿宋" w:cs="仿宋"/>
          <w:lang w:val="en-US" w:eastAsia="zh-CN"/>
        </w:rPr>
        <w:t>2021年本年收入小于本年支出，用非财政拨款结余弥补差额，没有结余分配。</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3.年末结转和结余2.49万元。结转和结余事项：2021年设施维修专项。与上年相比，减少29.46万元，减少92.21%，变动原因：2021年两次受夏季台风影响，房屋损坏严重，利用设施维修专项资金进行维修，并对职工食堂进行了维修。</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二、收入决算情况说明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本年收入决算合计1,758.16万元，其中：财政拨款收入1,568.76万元，占89.23%；上级补助收入0万元，占0%；财政专户管理教育收费0万元，占0%；事业收入（不含专户管理教育收费）189.4万元，占10.77%；经营收入0万元，占0%；附属单位上缴收入0万元，占0%；其他收入0万元，占0%。</w:t>
      </w:r>
    </w:p>
    <w:p>
      <w:pPr>
        <w:pStyle w:val="8"/>
        <w:tabs>
          <w:tab w:val="left" w:pos="3864"/>
          <w:tab w:val="left" w:pos="6248"/>
          <w:tab w:val="left" w:pos="7386"/>
        </w:tabs>
        <w:overflowPunct w:val="0"/>
        <w:spacing w:before="1" w:line="360" w:lineRule="auto"/>
        <w:ind w:left="-3" w:right="420" w:firstLine="3"/>
        <w:jc w:val="center"/>
        <w:rPr>
          <w:rFonts w:ascii="仿宋" w:hAnsi="仿宋" w:eastAsia="仿宋" w:cs="仿宋"/>
          <w:lang w:val="en-US"/>
        </w:rPr>
      </w:pPr>
      <w:r>
        <w:rPr>
          <w:rFonts w:hint="eastAsia" w:ascii="仿宋" w:hAnsi="仿宋" w:eastAsia="仿宋" w:cs="仿宋"/>
          <w:lang w:val="en-US"/>
        </w:rPr>
        <w:drawing>
          <wp:inline distT="0" distB="0" distL="0" distR="0">
            <wp:extent cx="6134100" cy="3429000"/>
            <wp:effectExtent l="0" t="0" r="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19"/>
                    <a:stretch>
                      <a:fillRect/>
                    </a:stretch>
                  </pic:blipFill>
                  <pic:spPr>
                    <a:xfrm>
                      <a:off x="0" y="0"/>
                      <a:ext cx="6134100" cy="3429000"/>
                    </a:xfrm>
                    <a:prstGeom prst="rect">
                      <a:avLst/>
                    </a:prstGeom>
                  </pic:spPr>
                </pic:pic>
              </a:graphicData>
            </a:graphic>
          </wp:inline>
        </w:drawing>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三、支出决算情况说明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2021年度本年支出决算合计1,947.41万元，其中：基本支出1,894.42万元，占97.28%；项目支出52.99万元，占2.72%；上缴上级支出0万元，占0%；经营支出0万元，占0%；对附属单位补助支出0万元，占0%。</w:t>
      </w:r>
    </w:p>
    <w:p>
      <w:pPr>
        <w:pStyle w:val="8"/>
        <w:tabs>
          <w:tab w:val="left" w:pos="3864"/>
          <w:tab w:val="left" w:pos="6248"/>
          <w:tab w:val="left" w:pos="7386"/>
        </w:tabs>
        <w:overflowPunct w:val="0"/>
        <w:spacing w:before="1" w:line="360" w:lineRule="auto"/>
        <w:ind w:left="-3" w:right="420" w:firstLine="3"/>
        <w:jc w:val="center"/>
        <w:rPr>
          <w:rFonts w:ascii="仿宋" w:hAnsi="仿宋" w:eastAsia="仿宋" w:cs="仿宋"/>
          <w:lang w:val="en-US"/>
        </w:rPr>
      </w:pPr>
      <w:r>
        <w:rPr>
          <w:rFonts w:hint="eastAsia" w:ascii="仿宋" w:hAnsi="仿宋" w:eastAsia="仿宋" w:cs="仿宋"/>
          <w:lang w:val="en-US"/>
        </w:rPr>
        <w:drawing>
          <wp:inline distT="0" distB="0" distL="0" distR="0">
            <wp:extent cx="6134100" cy="3429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20"/>
                    <a:stretch>
                      <a:fillRect/>
                    </a:stretch>
                  </pic:blipFill>
                  <pic:spPr>
                    <a:xfrm>
                      <a:off x="0" y="0"/>
                      <a:ext cx="6134100" cy="3429000"/>
                    </a:xfrm>
                    <a:prstGeom prst="rect">
                      <a:avLst/>
                    </a:prstGeom>
                  </pic:spPr>
                </pic:pic>
              </a:graphicData>
            </a:graphic>
          </wp:inline>
        </w:drawing>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四、财政拨款收入支出决算总体情况说明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2021年度财政拨款收入、支出决算总计1,594.25万元。与上年相比，收、支总计各减少38.87万元，减少2.38%，变动原因：项目资金年初结余数影响，2020年年初项目资金结余64.36万元，2021年年初项目资金结余25.49万元。</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五、财政拨款支出决算情况说明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财政拨款支出决算反映的是一般公共预算、政府性基金预算和国有资本经营预算财政拨款支出的总体情况，既包括使用本年从本级财政取得的财政拨款发生的支出，也包括使用上年度财政拨款结转资金发生的支出。</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2021年度财政拨款支出决算1,591.75万元，占本年支出合计的81.74%。与2021年度财政拨款支出年初预算1,568.76万元相比，完成年初预算的101.47%。其中：</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（一）社会保障和就业支出（类）</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1.行政事业单位养老支出（款）机关事业单位基本养老保险缴费支出（项）。年初预算61.16万元，支出决算61.16万元，完成年初预算的100%。决算数与年初预算数相同。</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2.行政事业单位养老支出（款）机关事业单位职业年金缴费支出（项）。年初预算30.58万元，支出决算30.58万元，完成年初预算的100%。决算数与年初预算数相同。</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3.社会福利（款）社会福利事业单位（项）。年初预算1,194.74万元，支出决算1,217.73万元，完成年初预算的101.92%。决算数与年初预算数的差异原因：2021年使用年初结转的项目资金25.49万元，年末本年项目结余2.5万元，造成支出决算比预算多22.99万元。</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（二）住房保障支出（类）</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住房改革支出（款）提租补贴（项）。年初预算282.28万元，支出决算282.28万元，完成年初预算的100%。决算数与年初预算数相同。</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六、财政拨款基本支出决算情况说明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2021年度财政拨款基本支出决算1,538.76万元，其中：</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楷体" w:hAnsi="楷体" w:eastAsia="楷体" w:cs="楷体"/>
        </w:rPr>
        <w:t>（一）人员经费1,411.46万元。</w:t>
      </w:r>
      <w:r>
        <w:rPr>
          <w:rFonts w:ascii="仿宋" w:hAnsi="仿宋" w:eastAsia="仿宋" w:cs="仿宋"/>
        </w:rPr>
        <w:t>主要包括：基本工资、津贴补贴、绩效工资、机关事业单位基本养老保险缴费、职业年金缴费、职工基本医疗保险缴费、医疗费、其他工资福利支出、退休费、医疗费补助、奖励金。</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楷体" w:hAnsi="楷体" w:eastAsia="楷体" w:cs="楷体"/>
        </w:rPr>
        <w:t>（二）公用经费127.3万元。</w:t>
      </w:r>
      <w:r>
        <w:rPr>
          <w:rFonts w:ascii="仿宋" w:hAnsi="仿宋" w:eastAsia="仿宋" w:cs="仿宋"/>
        </w:rPr>
        <w:t>主要包括：办公费、印刷费、手续费、水费、电费、邮电费、物业管理费、差旅费、维修（护）费、劳务费、委托业务费、工会经费、税金及附加费用、其他商品和服务支出。</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七、一般公共预算支出决算情况说明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2021年度一般公共预算财政拨款支出决算1,591.75万元。与上年相比，减少9.43万元，减少0.59%，变动原因：2021年人员退休使基本支出减少。</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八、一般公共预算基本支出决算情况说明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2021年度一般公共预算财政拨款基本支出决算1,538.76万元，其中：</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楷体" w:hAnsi="楷体" w:eastAsia="楷体" w:cs="楷体"/>
        </w:rPr>
        <w:t>（一）人员经费1,411.46万元。</w:t>
      </w:r>
      <w:r>
        <w:rPr>
          <w:rFonts w:ascii="仿宋" w:hAnsi="仿宋" w:eastAsia="仿宋" w:cs="仿宋"/>
        </w:rPr>
        <w:t>主要包括：基本工资、津贴补贴、绩效工资、机关事业单位基本养老保险缴费、职业年金缴费、职工基本医疗保险缴费、医疗费、其他工资福利支出、退休费、医疗费补助、奖励金。</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楷体" w:hAnsi="楷体" w:eastAsia="楷体" w:cs="楷体"/>
        </w:rPr>
        <w:t>（二）公用经费127.3万元。</w:t>
      </w:r>
      <w:r>
        <w:rPr>
          <w:rFonts w:ascii="仿宋" w:hAnsi="仿宋" w:eastAsia="仿宋" w:cs="仿宋"/>
        </w:rPr>
        <w:t>主要包括：办公费、印刷费、手续费、水费、电费、邮电费、物业管理费、差旅费、维修（护）费、劳务费、委托业务费、工会经费、税金及附加费用、其他商品和服务支出。</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九、一般公共预算“三公”经费、会议费、培训费支出情况说明</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（一）一般公共预算“三公”经费支出总体情况说明。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2021年度一般公共预算“三公”经费支出决算0万元。与上年决算数相同。</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（二）一般公共预算“三公”经费支出具体情况说明。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1．因公出国（境）费支出预算0万元，支出决算0万元，完成预算的100%，决算数与预算数相同。全年使用一般公共预算财政拨款涉及的出国（境）团组0个，累计0人次。</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2．公务用车购置及运行维护费支出预算0万元，支出决算0万元，完成预算的100%，决算数与预算数相同。其中：</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（1）公务用车购置支出决算0万元。本年度使用一般公共预算财政拨款购置公务用车0辆。</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公务用车运行维护费支出决算0万元。公务用车运行维护费主要用于按规定保留的公务用车的燃料费、维修费、过桥过路费、保险费、安全奖励费用等支出。截至2021年12月31日，使用一般公共预算财政拨款开支的公务用车保有量为0辆。</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3．公务接待费支出预算0万元，支出决算0万元，完成预算的100%，决算数与预算数相同。其中：国内公务接待支出0万元，接待0批次，0人次；国（境）外公务接待支出0万元，接待0批次0人次。</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（三）一般公共预算会议费支出决算情况说明。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2021年度一般公共预算财政拨款会议费支出预算0万元，支出决算0万元，完成预算的100%，决算数与预算数相同。2021年度全年召开会议0个，参加会议0人次。</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（四）一般公共预算培训费支出决算情况说明。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2021年度一般公共预算财政拨款培训费支出预算0万元，支出决算0万元，完成预算的100%，决算数与预算数相同。2021年度全年组织培训0个，组织培训0人次。</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十、政府性基金预算财政拨款支出决算情况说明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2021年度政府性基金预算财政拨款支出决算0万元。与上年决算数相同。</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十一、国有资本经营预算财政拨款支出决算情况说明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2021年度国有资本经营预算财政拨款支出决算0万元。与上年决算数相同。</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十二、一般公共预算机关运行经费支出决算情况说明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2021年度机关运行经费支出决算0万元。与上年决算数相同。</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十三、政府采购支出决算情况说明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政府采购支出总额25.97万元，其中：政府采购货物支出0万元、政府采购工程支出25.97万元、政府采购服务支出0万元。政府采购授予中小企业合同金额21.67万元，占政府采购支出总额的83.44%，其中：授予小微企业合同金额21.67万元，占政府采购支出总额的83.44%。</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十四、国有资产占用情况说明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截至2021年12月31日，本单位共有车辆1辆，其中：副部(省)级及以上领导用车0辆、主要领导干部用车0辆、机要通信用车0辆、应急保障用车0辆、执法执勤用车0辆、特种专业技术用车0辆、离退休干部用车0辆、其他用车1辆；单价50万元（含）以上的通用设备0台（套），单价100万元（含）以上的专用设备0台（套）。</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十五、预算绩效评价工作开展情况</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2021年度，本单位共0个项目开展了财政重点绩效评价，涉及财政性资金合计0万元；本单位未开展单位整体支出财政重点绩效评价，涉及财政性资金0万元。</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本单位共对上年度已实施完成的1个项目开展了绩效自评价，涉及财政性资金合计30万元；本单位共开展1项单位整体支出绩效自评价，涉及财政性资金合计1,568.76万元。</w:t>
      </w:r>
    </w:p>
    <w:p>
      <w:pPr>
        <w:pStyle w:val="5"/>
        <w:tabs>
          <w:tab w:val="left" w:pos="3077"/>
        </w:tabs>
        <w:spacing w:line="616" w:lineRule="exact"/>
        <w:rPr>
          <w:rFonts w:ascii="宋体" w:hAnsi="宋体" w:eastAsia="宋体" w:cs="宋体"/>
          <w:b/>
          <w:bCs/>
        </w:rPr>
      </w:pPr>
      <w:r>
        <w:rPr>
          <w:rFonts w:hint="eastAsia" w:ascii="宋体" w:hAnsi="宋体" w:eastAsia="宋体" w:cs="宋体"/>
          <w:b/>
          <w:bCs/>
        </w:rPr>
        <w:t>第四部分 名词</w:t>
      </w:r>
      <w:r>
        <w:rPr>
          <w:rFonts w:hint="eastAsia" w:ascii="宋体" w:hAnsi="宋体" w:eastAsia="宋体" w:cs="宋体"/>
          <w:b/>
          <w:bCs/>
          <w:color w:val="000000"/>
          <w:lang w:eastAsia="ar-SA"/>
        </w:rPr>
        <w:t>解释</w:t>
      </w:r>
    </w:p>
    <w:p>
      <w:pPr>
        <w:pStyle w:val="8"/>
        <w:tabs>
          <w:tab w:val="left" w:pos="3864"/>
          <w:tab w:val="left" w:pos="6248"/>
          <w:tab w:val="left" w:pos="7386"/>
        </w:tabs>
        <w:ind w:left="440" w:leftChars="200" w:firstLine="659" w:firstLineChars="206"/>
        <w:jc w:val="both"/>
        <w:rPr>
          <w:rFonts w:ascii="仿宋" w:hAnsi="仿宋" w:eastAsia="仿宋" w:cs="仿宋"/>
        </w:rPr>
      </w:pP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一、财政拨款收入</w:t>
      </w:r>
      <w:r>
        <w:rPr>
          <w:rFonts w:ascii="仿宋" w:hAnsi="仿宋" w:eastAsia="仿宋" w:cs="仿宋"/>
          <w:b/>
        </w:rPr>
        <w:t>：</w:t>
      </w:r>
      <w:r>
        <w:rPr>
          <w:rFonts w:hint="eastAsia" w:ascii="仿宋" w:hAnsi="仿宋" w:eastAsia="仿宋" w:cs="仿宋"/>
        </w:rPr>
        <w:t>指单位从同级财政部门取得的各类财政拨款，包括一般公共预算财政拨款、政府性基金预算财政拨款、国有资本经营预算财政拨款。</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二、上级补助收入</w:t>
      </w:r>
      <w:r>
        <w:rPr>
          <w:rFonts w:ascii="仿宋" w:hAnsi="仿宋" w:eastAsia="仿宋" w:cs="仿宋"/>
          <w:b/>
        </w:rPr>
        <w:t>：</w:t>
      </w:r>
      <w:r>
        <w:rPr>
          <w:rFonts w:hint="eastAsia" w:ascii="仿宋" w:hAnsi="仿宋" w:eastAsia="仿宋" w:cs="仿宋"/>
        </w:rPr>
        <w:t>指事业单位从主管部门和上级单位取得的非财政补助收入。</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三、财政专户管理教育收费</w:t>
      </w:r>
      <w:r>
        <w:rPr>
          <w:rFonts w:ascii="仿宋" w:hAnsi="仿宋" w:eastAsia="仿宋" w:cs="仿宋"/>
          <w:b/>
        </w:rPr>
        <w:t>：</w:t>
      </w:r>
      <w:r>
        <w:rPr>
          <w:rFonts w:hint="eastAsia" w:ascii="仿宋" w:hAnsi="仿宋" w:eastAsia="仿宋" w:cs="仿宋"/>
        </w:rPr>
        <w:t>指缴入财政专户、实行专项管理的高中以上学费、住宿费、高校委托培养费、函大、电大、夜大及短训班培训费等教育收费。</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四、事业收入</w:t>
      </w:r>
      <w:r>
        <w:rPr>
          <w:rFonts w:ascii="仿宋" w:hAnsi="仿宋" w:eastAsia="仿宋" w:cs="仿宋"/>
          <w:b/>
        </w:rPr>
        <w:t>：</w:t>
      </w:r>
      <w:r>
        <w:rPr>
          <w:rFonts w:hint="eastAsia" w:ascii="仿宋" w:hAnsi="仿宋" w:eastAsia="仿宋" w:cs="仿宋"/>
        </w:rPr>
        <w:t>指事业单位开展专业业务活动及其辅助活动取得的收入。</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五、经营收入</w:t>
      </w:r>
      <w:r>
        <w:rPr>
          <w:rFonts w:ascii="仿宋" w:hAnsi="仿宋" w:eastAsia="仿宋" w:cs="仿宋"/>
          <w:b/>
        </w:rPr>
        <w:t>：</w:t>
      </w:r>
      <w:r>
        <w:rPr>
          <w:rFonts w:hint="eastAsia" w:ascii="仿宋" w:hAnsi="仿宋" w:eastAsia="仿宋" w:cs="仿宋"/>
        </w:rPr>
        <w:t>指事业单位在专业业务活动及其辅助活动之外开展非独立核算经营活动取得的收入。</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六、附属单位上缴收入</w:t>
      </w:r>
      <w:r>
        <w:rPr>
          <w:rFonts w:ascii="仿宋" w:hAnsi="仿宋" w:eastAsia="仿宋" w:cs="仿宋"/>
          <w:b/>
        </w:rPr>
        <w:t>：</w:t>
      </w:r>
      <w:r>
        <w:rPr>
          <w:rFonts w:hint="eastAsia" w:ascii="仿宋" w:hAnsi="仿宋" w:eastAsia="仿宋" w:cs="仿宋"/>
        </w:rPr>
        <w:t>指事业单位附属独立核算单位按照有关规定上缴的收入。</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七、其他收入</w:t>
      </w:r>
      <w:r>
        <w:rPr>
          <w:rFonts w:ascii="仿宋" w:hAnsi="仿宋" w:eastAsia="仿宋" w:cs="仿宋"/>
          <w:b/>
        </w:rPr>
        <w:t>：</w:t>
      </w:r>
      <w:r>
        <w:rPr>
          <w:rFonts w:hint="eastAsia" w:ascii="仿宋" w:hAnsi="仿宋" w:eastAsia="仿宋" w:cs="仿宋"/>
        </w:rPr>
        <w:t>指单位取得的除上述“财政拨款收入”、 “上级补助收入”、“事业收入”、“经营收入”、“附属单位上缴收入”等以外的各项收入。</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八、使用非财政拨款结余</w:t>
      </w:r>
      <w:r>
        <w:rPr>
          <w:rFonts w:ascii="仿宋" w:hAnsi="仿宋" w:eastAsia="仿宋" w:cs="仿宋"/>
          <w:b/>
        </w:rPr>
        <w:t>：</w:t>
      </w:r>
      <w:r>
        <w:rPr>
          <w:rFonts w:hint="eastAsia" w:ascii="仿宋" w:hAnsi="仿宋" w:eastAsia="仿宋" w:cs="仿宋"/>
        </w:rPr>
        <w:t>指事业单位按照预算管理要求使用非财政拨款结余（原事业基金）弥补当年收支差额的数额。</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九、年初结转和结余</w:t>
      </w:r>
      <w:r>
        <w:rPr>
          <w:rFonts w:ascii="仿宋" w:hAnsi="仿宋" w:eastAsia="仿宋" w:cs="仿宋"/>
          <w:b/>
        </w:rPr>
        <w:t>：</w:t>
      </w:r>
      <w:r>
        <w:rPr>
          <w:rFonts w:hint="eastAsia" w:ascii="仿宋" w:hAnsi="仿宋" w:eastAsia="仿宋" w:cs="仿宋"/>
        </w:rPr>
        <w:t>指单位上年结转本年使用的基本支出结转、项目支出结转和结余、经营结余。</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十、结余分配</w:t>
      </w:r>
      <w:r>
        <w:rPr>
          <w:rFonts w:ascii="仿宋" w:hAnsi="仿宋" w:eastAsia="仿宋" w:cs="仿宋"/>
          <w:b/>
        </w:rPr>
        <w:t>：</w:t>
      </w:r>
      <w:r>
        <w:rPr>
          <w:rFonts w:hint="eastAsia" w:ascii="仿宋" w:hAnsi="仿宋" w:eastAsia="仿宋" w:cs="仿宋"/>
        </w:rPr>
        <w:t>指事业单位按规定缴纳的所得税以及从非财政拨款结余中提取各类结余的情况。</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十一、年末结转和结余资金</w:t>
      </w:r>
      <w:r>
        <w:rPr>
          <w:rFonts w:ascii="仿宋" w:hAnsi="仿宋" w:eastAsia="仿宋" w:cs="仿宋"/>
          <w:b/>
        </w:rPr>
        <w:t>：</w:t>
      </w:r>
      <w:r>
        <w:rPr>
          <w:rFonts w:hint="eastAsia" w:ascii="仿宋" w:hAnsi="仿宋" w:eastAsia="仿宋" w:cs="仿宋"/>
        </w:rPr>
        <w:t>指单位结转下年的基本支出结转、项目支出结转和结余、经营结余。</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十二、基本支出</w:t>
      </w:r>
      <w:r>
        <w:rPr>
          <w:rFonts w:ascii="仿宋" w:hAnsi="仿宋" w:eastAsia="仿宋" w:cs="仿宋"/>
          <w:b/>
        </w:rPr>
        <w:t>：</w:t>
      </w:r>
      <w:r>
        <w:rPr>
          <w:rFonts w:hint="eastAsia" w:ascii="仿宋" w:hAnsi="仿宋" w:eastAsia="仿宋" w:cs="仿宋"/>
        </w:rPr>
        <w:t>指为保障机构正常运转、完成日常工作任务所发生的支出，包括人员经费和公用经费。</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十三、项目支出</w:t>
      </w:r>
      <w:r>
        <w:rPr>
          <w:rFonts w:ascii="仿宋" w:hAnsi="仿宋" w:eastAsia="仿宋" w:cs="仿宋"/>
          <w:b/>
        </w:rPr>
        <w:t>：</w:t>
      </w:r>
      <w:r>
        <w:rPr>
          <w:rFonts w:hint="eastAsia" w:ascii="仿宋" w:hAnsi="仿宋" w:eastAsia="仿宋" w:cs="仿宋"/>
        </w:rPr>
        <w:t>指在为完成特定的工作任务和事业发展目标所发生的支出。</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十四、上缴上级支出</w:t>
      </w:r>
      <w:r>
        <w:rPr>
          <w:rFonts w:ascii="仿宋" w:hAnsi="仿宋" w:eastAsia="仿宋" w:cs="仿宋"/>
          <w:b/>
        </w:rPr>
        <w:t>：</w:t>
      </w:r>
      <w:r>
        <w:rPr>
          <w:rFonts w:hint="eastAsia" w:ascii="仿宋" w:hAnsi="仿宋" w:eastAsia="仿宋" w:cs="仿宋"/>
        </w:rPr>
        <w:t>指事业单位按照财政部门和主管部门的规定上缴上级单位的支出。</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十五、经营支出</w:t>
      </w:r>
      <w:r>
        <w:rPr>
          <w:rFonts w:ascii="仿宋" w:hAnsi="仿宋" w:eastAsia="仿宋" w:cs="仿宋"/>
          <w:b/>
        </w:rPr>
        <w:t>：</w:t>
      </w:r>
      <w:r>
        <w:rPr>
          <w:rFonts w:hint="eastAsia" w:ascii="仿宋" w:hAnsi="仿宋" w:eastAsia="仿宋" w:cs="仿宋"/>
        </w:rPr>
        <w:t>指事业单位在专业业务活动及其辅助活动之外开展非独立核算经营活动发生的支出。</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十六、对附属单位补助支出</w:t>
      </w:r>
      <w:r>
        <w:rPr>
          <w:rFonts w:ascii="仿宋" w:hAnsi="仿宋" w:eastAsia="仿宋" w:cs="仿宋"/>
          <w:b/>
        </w:rPr>
        <w:t>：</w:t>
      </w:r>
      <w:r>
        <w:rPr>
          <w:rFonts w:hint="eastAsia" w:ascii="仿宋" w:hAnsi="仿宋" w:eastAsia="仿宋" w:cs="仿宋"/>
        </w:rPr>
        <w:t>指事业单位用财政拨款收入之外的收入对附属单位补助发生的支出。</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十七、“三公”经费</w:t>
      </w:r>
      <w:r>
        <w:rPr>
          <w:rFonts w:ascii="仿宋" w:hAnsi="仿宋" w:eastAsia="仿宋" w:cs="仿宋"/>
          <w:b/>
        </w:rPr>
        <w:t>：</w:t>
      </w:r>
      <w:r>
        <w:rPr>
          <w:rFonts w:hint="eastAsia" w:ascii="仿宋" w:hAnsi="仿宋" w:eastAsia="仿宋" w:cs="仿宋"/>
        </w:rPr>
        <w:t>指部门用一般公共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十八、机关运行经费</w:t>
      </w:r>
      <w:r>
        <w:rPr>
          <w:rFonts w:ascii="仿宋" w:hAnsi="仿宋" w:eastAsia="仿宋" w:cs="仿宋"/>
          <w:b/>
        </w:rPr>
        <w:t>：</w:t>
      </w:r>
      <w:r>
        <w:rPr>
          <w:rFonts w:hint="eastAsia" w:ascii="仿宋" w:hAnsi="仿宋" w:eastAsia="仿宋" w:cs="仿宋"/>
        </w:rPr>
        <w:t>指行政单位（含参照公务员法管理的事业单位）使用一般公共预算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十九、社会保障和就业支出(类)行政事业单位养老支出(款)机关事业单位基本养老保险缴费支出(项)</w:t>
      </w:r>
      <w:r>
        <w:rPr>
          <w:rFonts w:ascii="仿宋" w:hAnsi="仿宋" w:eastAsia="仿宋" w:cs="仿宋"/>
          <w:b/>
        </w:rPr>
        <w:t>：</w:t>
      </w:r>
      <w:r>
        <w:rPr>
          <w:rFonts w:hint="eastAsia" w:ascii="仿宋" w:hAnsi="仿宋" w:eastAsia="仿宋" w:cs="仿宋"/>
        </w:rPr>
        <w:t>反映机关事业单位实施养老保险制度由单位缴纳的基本养老保险费支出。</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二十、社会保障和就业支出(类)行政事业单位养老支出(款)机关事业单位职业年金缴费支出(项)</w:t>
      </w:r>
      <w:r>
        <w:rPr>
          <w:rFonts w:ascii="仿宋" w:hAnsi="仿宋" w:eastAsia="仿宋" w:cs="仿宋"/>
          <w:b/>
        </w:rPr>
        <w:t>：</w:t>
      </w:r>
      <w:r>
        <w:rPr>
          <w:rFonts w:hint="eastAsia" w:ascii="仿宋" w:hAnsi="仿宋" w:eastAsia="仿宋" w:cs="仿宋"/>
        </w:rPr>
        <w:t>反映机关事业单位实施养老保险制度由单位实际缴纳的职业年金支出。</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二十一、社会保障和就业支出(类)社会福利(款)社会福利事业单位(项)</w:t>
      </w:r>
      <w:r>
        <w:rPr>
          <w:rFonts w:ascii="仿宋" w:hAnsi="仿宋" w:eastAsia="仿宋" w:cs="仿宋"/>
          <w:b/>
        </w:rPr>
        <w:t>：</w:t>
      </w:r>
      <w:r>
        <w:rPr>
          <w:rFonts w:hint="eastAsia" w:ascii="仿宋" w:hAnsi="仿宋" w:eastAsia="仿宋" w:cs="仿宋"/>
        </w:rPr>
        <w:t>反映民政部门举办的社会福利事业单位的支出，以及对集体社会福利事业单位的补助费。</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二十二、住房保障支出(类)住房改革支出(款)住房公积金(项)</w:t>
      </w:r>
      <w:r>
        <w:rPr>
          <w:rFonts w:ascii="仿宋" w:hAnsi="仿宋" w:eastAsia="仿宋" w:cs="仿宋"/>
          <w:b/>
        </w:rPr>
        <w:t>：</w:t>
      </w:r>
      <w:r>
        <w:rPr>
          <w:rFonts w:hint="eastAsia" w:ascii="仿宋" w:hAnsi="仿宋" w:eastAsia="仿宋" w:cs="仿宋"/>
        </w:rPr>
        <w:t>反映行政事业单位按人力资源和社会保障部、财政部规定的基本工资和津贴补贴以及规定比例为职工缴纳的住房公积金。</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二十三、住房保障支出(类)住房改革支出(款)提租补贴(项)</w:t>
      </w:r>
      <w:r>
        <w:rPr>
          <w:rFonts w:ascii="仿宋" w:hAnsi="仿宋" w:eastAsia="仿宋" w:cs="仿宋"/>
          <w:b/>
        </w:rPr>
        <w:t>：</w:t>
      </w:r>
      <w:r>
        <w:rPr>
          <w:rFonts w:hint="eastAsia" w:ascii="仿宋" w:hAnsi="仿宋" w:eastAsia="仿宋" w:cs="仿宋"/>
        </w:rPr>
        <w:t>反映按房改政策规定的标准，行政事业单位向职工（含离退休人员）发放的租金补贴。</w:t>
      </w:r>
    </w:p>
    <w:sectPr>
      <w:pgSz w:w="11906" w:h="16838"/>
      <w:pgMar w:top="1440" w:right="1080" w:bottom="1440" w:left="1080" w:header="170" w:footer="280" w:gutter="0"/>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roman"/>
    <w:pitch w:val="default"/>
    <w:sig w:usb0="FFFFFFFF" w:usb1="E9FFFFFF" w:usb2="0000003F" w:usb3="00000000" w:csb0="603F01FF" w:csb1="FFFF0000"/>
  </w:font>
  <w:font w:name="Liberation Sans">
    <w:altName w:val="宋体"/>
    <w:panose1 w:val="00000000000000000000"/>
    <w:charset w:val="86"/>
    <w:family w:val="roman"/>
    <w:pitch w:val="default"/>
    <w:sig w:usb0="00000000" w:usb1="00000000" w:usb2="00000021" w:usb3="00000000" w:csb0="600001BF" w:csb1="DFF70000"/>
  </w:font>
  <w:font w:name="Liberation Mono">
    <w:altName w:val="宋体"/>
    <w:panose1 w:val="00000000000000000000"/>
    <w:charset w:val="86"/>
    <w:family w:val="roman"/>
    <w:pitch w:val="default"/>
    <w:sig w:usb0="00000000" w:usb1="00000000" w:usb2="00000001" w:usb3="00000000" w:csb0="600001BF" w:csb1="DFF70000"/>
  </w:font>
  <w:font w:name="新宋体">
    <w:panose1 w:val="02010609030101010101"/>
    <w:charset w:val="86"/>
    <w:family w:val="modern"/>
    <w:pitch w:val="default"/>
    <w:sig w:usb0="00000283" w:usb1="288F0000" w:usb2="00000006" w:usb3="00000000" w:csb0="00040001"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黑体" w:hAnsi="黑体" w:eastAsia="黑体" w:cs="黑体"/>
      </w:rPr>
    </w:pPr>
    <w:r>
      <w:rPr>
        <w:rFonts w:ascii="黑体" w:hAnsi="黑体" w:eastAsia="黑体" w:cs="黑体"/>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147955"/>
              <wp:effectExtent l="0" t="0" r="0" b="0"/>
              <wp:wrapNone/>
              <wp:docPr id="15"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286385" cy="147955"/>
                      </a:xfrm>
                      <a:prstGeom prst="rect">
                        <a:avLst/>
                      </a:prstGeom>
                      <a:noFill/>
                      <a:ln>
                        <a:noFill/>
                      </a:ln>
                    </wps:spPr>
                    <wps:txbx>
                      <w:txbxContent>
                        <w:p>
                          <w:pPr>
                            <w:pStyle w:val="9"/>
                            <w:rPr>
                              <w:rFonts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1.65pt;width:22.55pt;mso-position-horizontal:center;mso-position-horizontal-relative:margin;mso-wrap-style:none;z-index:251659264;mso-width-relative:page;mso-height-relative:page;" filled="f" stroked="f" coordsize="21600,21600" o:gfxdata="UEsDBAoAAAAAAIdO4kAAAAAAAAAAAAAAAAAEAAAAZHJzL1BLAwQUAAAACACHTuJAH/8bMd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f/xsx0gAAAAMBAAAPAAAA&#10;AAAAAAEAIAAAACIAAABkcnMvZG93bnJldi54bWxQSwECFAAUAAAACACHTuJA0vtvKOIBAAC3AwAA&#10;DgAAAAAAAAABACAAAAAhAQAAZHJzL2Uyb0RvYy54bWxQSwUGAAAAAAYABgBZAQAAdQUAAAAA&#10;">
              <v:fill on="f" focussize="0,0"/>
              <v:stroke on="f"/>
              <v:imagedata o:title=""/>
              <o:lock v:ext="edit" aspectratio="f"/>
              <v:textbox inset="0mm,0mm,0mm,0mm" style="mso-fit-shape-to-text:t;">
                <w:txbxContent>
                  <w:p>
                    <w:pPr>
                      <w:pStyle w:val="9"/>
                      <w:rPr>
                        <w:rFonts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343535" cy="147955"/>
              <wp:effectExtent l="0" t="0" r="0" b="0"/>
              <wp:wrapNone/>
              <wp:docPr id="6" name="Text Box 1032"/>
              <wp:cNvGraphicFramePr/>
              <a:graphic xmlns:a="http://schemas.openxmlformats.org/drawingml/2006/main">
                <a:graphicData uri="http://schemas.microsoft.com/office/word/2010/wordprocessingShape">
                  <wps:wsp>
                    <wps:cNvSpPr txBox="1">
                      <a:spLocks noChangeArrowheads="1"/>
                    </wps:cNvSpPr>
                    <wps:spPr bwMode="auto">
                      <a:xfrm>
                        <a:off x="0" y="0"/>
                        <a:ext cx="343535" cy="147955"/>
                      </a:xfrm>
                      <a:prstGeom prst="rect">
                        <a:avLst/>
                      </a:prstGeom>
                      <a:noFill/>
                      <a:ln>
                        <a:noFill/>
                      </a:ln>
                    </wps:spPr>
                    <wps:txbx>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11</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1032" o:spid="_x0000_s1026" o:spt="202" type="#_x0000_t202" style="position:absolute;left:0pt;margin-top:0pt;height:11.65pt;width:27.05pt;mso-position-horizontal:center;mso-position-horizontal-relative:margin;mso-wrap-style:none;z-index:251667456;mso-width-relative:page;mso-height-relative:page;" filled="f" stroked="f" coordsize="21600,21600" o:gfxdata="UEsDBAoAAAAAAIdO4kAAAAAAAAAAAAAAAAAEAAAAZHJzL1BLAwQUAAAACACHTuJAJtupU9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m26lT0gAAAAMBAAAPAAAA&#10;AAAAAAEAIAAAACIAAABkcnMvZG93bnJldi54bWxQSwECFAAUAAAACACHTuJAwXdsouIBAAC2AwAA&#10;DgAAAAAAAAABACAAAAAhAQAAZHJzL2Uyb0RvYy54bWxQSwUGAAAAAAYABgBZAQAAdQUAAAAA&#10;">
              <v:fill on="f" focussize="0,0"/>
              <v:stroke on="f"/>
              <v:imagedata o:title=""/>
              <o:lock v:ext="edit" aspectratio="f"/>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11</w:t>
                    </w:r>
                    <w:r>
                      <w:rPr>
                        <w:rFonts w:hint="eastAsia"/>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343535" cy="147955"/>
              <wp:effectExtent l="0" t="0" r="0" b="0"/>
              <wp:wrapNone/>
              <wp:docPr id="5" name="Text Box 1033"/>
              <wp:cNvGraphicFramePr/>
              <a:graphic xmlns:a="http://schemas.openxmlformats.org/drawingml/2006/main">
                <a:graphicData uri="http://schemas.microsoft.com/office/word/2010/wordprocessingShape">
                  <wps:wsp>
                    <wps:cNvSpPr txBox="1">
                      <a:spLocks noChangeArrowheads="1"/>
                    </wps:cNvSpPr>
                    <wps:spPr bwMode="auto">
                      <a:xfrm>
                        <a:off x="0" y="0"/>
                        <a:ext cx="343535" cy="147955"/>
                      </a:xfrm>
                      <a:prstGeom prst="rect">
                        <a:avLst/>
                      </a:prstGeom>
                      <a:noFill/>
                      <a:ln>
                        <a:noFill/>
                      </a:ln>
                    </wps:spPr>
                    <wps:txbx>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1033" o:spid="_x0000_s1026" o:spt="202" type="#_x0000_t202" style="position:absolute;left:0pt;margin-top:0pt;height:11.65pt;width:27.05pt;mso-position-horizontal:center;mso-position-horizontal-relative:margin;mso-wrap-style:none;z-index:251668480;mso-width-relative:page;mso-height-relative:page;" filled="f" stroked="f" coordsize="21600,21600" o:gfxdata="UEsDBAoAAAAAAIdO4kAAAAAAAAAAAAAAAAAEAAAAZHJzL1BLAwQUAAAACACHTuJAJtupU9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m26lT0gAAAAMBAAAPAAAA&#10;AAAAAAEAIAAAACIAAABkcnMvZG93bnJldi54bWxQSwECFAAUAAAACACHTuJA39Yfi+IBAAC2AwAA&#10;DgAAAAAAAAABACAAAAAhAQAAZHJzL2Uyb0RvYy54bWxQSwUGAAAAAAYABgBZAQAAdQUAAAAA&#10;">
              <v:fill on="f" focussize="0,0"/>
              <v:stroke on="f"/>
              <v:imagedata o:title=""/>
              <o:lock v:ext="edit" aspectratio="f"/>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343535" cy="147955"/>
              <wp:effectExtent l="0" t="0" r="0" b="0"/>
              <wp:wrapNone/>
              <wp:docPr id="4" name="Text Box 1034"/>
              <wp:cNvGraphicFramePr/>
              <a:graphic xmlns:a="http://schemas.openxmlformats.org/drawingml/2006/main">
                <a:graphicData uri="http://schemas.microsoft.com/office/word/2010/wordprocessingShape">
                  <wps:wsp>
                    <wps:cNvSpPr txBox="1">
                      <a:spLocks noChangeArrowheads="1"/>
                    </wps:cNvSpPr>
                    <wps:spPr bwMode="auto">
                      <a:xfrm>
                        <a:off x="0" y="0"/>
                        <a:ext cx="343535" cy="147955"/>
                      </a:xfrm>
                      <a:prstGeom prst="rect">
                        <a:avLst/>
                      </a:prstGeom>
                      <a:noFill/>
                      <a:ln>
                        <a:noFill/>
                      </a:ln>
                    </wps:spPr>
                    <wps:txbx>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13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1034" o:spid="_x0000_s1026" o:spt="202" type="#_x0000_t202" style="position:absolute;left:0pt;margin-top:0pt;height:11.65pt;width:27.05pt;mso-position-horizontal:center;mso-position-horizontal-relative:margin;mso-wrap-style:none;z-index:251669504;mso-width-relative:page;mso-height-relative:page;" filled="f" stroked="f" coordsize="21600,21600" o:gfxdata="UEsDBAoAAAAAAIdO4kAAAAAAAAAAAAAAAAAEAAAAZHJzL1BLAwQUAAAACACHTuJAJtupU9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JtupU9IAAAADAQAADwAA&#10;AAAAAAABACAAAAAiAAAAZHJzL2Rvd25yZXYueG1sUEsBAhQAFAAAAAgAh07iQPhWrvPjAQAAtgMA&#10;AA4AAAAAAAAAAQAgAAAAIQEAAGRycy9lMm9Eb2MueG1sUEsFBgAAAAAGAAYAWQEAAHYFAAAAAA==&#10;">
              <v:fill on="f" focussize="0,0"/>
              <v:stroke on="f"/>
              <v:imagedata o:title=""/>
              <o:lock v:ext="edit" aspectratio="f"/>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13</w:t>
                    </w:r>
                    <w:r>
                      <w:rPr>
                        <w:rFonts w:hint="eastAsia"/>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343535" cy="147955"/>
              <wp:effectExtent l="0" t="0" r="0" b="0"/>
              <wp:wrapNone/>
              <wp:docPr id="3" name="Text Box 1038"/>
              <wp:cNvGraphicFramePr/>
              <a:graphic xmlns:a="http://schemas.openxmlformats.org/drawingml/2006/main">
                <a:graphicData uri="http://schemas.microsoft.com/office/word/2010/wordprocessingShape">
                  <wps:wsp>
                    <wps:cNvSpPr txBox="1">
                      <a:spLocks noChangeArrowheads="1"/>
                    </wps:cNvSpPr>
                    <wps:spPr bwMode="auto">
                      <a:xfrm>
                        <a:off x="0" y="0"/>
                        <a:ext cx="343535" cy="147955"/>
                      </a:xfrm>
                      <a:prstGeom prst="rect">
                        <a:avLst/>
                      </a:prstGeom>
                      <a:noFill/>
                      <a:ln>
                        <a:noFill/>
                      </a:ln>
                    </wps:spPr>
                    <wps:txbx>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1038" o:spid="_x0000_s1026" o:spt="202" type="#_x0000_t202" style="position:absolute;left:0pt;margin-top:0pt;height:11.65pt;width:27.05pt;mso-position-horizontal:center;mso-position-horizontal-relative:margin;mso-wrap-style:none;z-index:251670528;mso-width-relative:page;mso-height-relative:page;" filled="f" stroked="f" coordsize="21600,21600" o:gfxdata="UEsDBAoAAAAAAIdO4kAAAAAAAAAAAAAAAAAEAAAAZHJzL1BLAwQUAAAACACHTuJAJtupU9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JtupU9IAAAADAQAADwAA&#10;AAAAAAABACAAAAAiAAAAZHJzL2Rvd25yZXYueG1sUEsBAhQAFAAAAAgAh07iQMJzR83jAQAAtgMA&#10;AA4AAAAAAAAAAQAgAAAAIQEAAGRycy9lMm9Eb2MueG1sUEsFBgAAAAAGAAYAWQEAAHYFAAAAAA==&#10;">
              <v:fill on="f" focussize="0,0"/>
              <v:stroke on="f"/>
              <v:imagedata o:title=""/>
              <o:lock v:ext="edit" aspectratio="f"/>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黑体" w:hAnsi="黑体" w:eastAsia="黑体" w:cs="黑体"/>
      </w:rPr>
    </w:pPr>
    <w:r>
      <w:rPr>
        <w:rFonts w:ascii="黑体" w:hAnsi="黑体" w:eastAsia="黑体" w:cs="黑体"/>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86385" cy="147955"/>
              <wp:effectExtent l="0" t="0" r="0" b="0"/>
              <wp:wrapNone/>
              <wp:docPr id="14" name="Text Box 1041"/>
              <wp:cNvGraphicFramePr/>
              <a:graphic xmlns:a="http://schemas.openxmlformats.org/drawingml/2006/main">
                <a:graphicData uri="http://schemas.microsoft.com/office/word/2010/wordprocessingShape">
                  <wps:wsp>
                    <wps:cNvSpPr txBox="1">
                      <a:spLocks noChangeArrowheads="1"/>
                    </wps:cNvSpPr>
                    <wps:spPr bwMode="auto">
                      <a:xfrm>
                        <a:off x="0" y="0"/>
                        <a:ext cx="286385" cy="147955"/>
                      </a:xfrm>
                      <a:prstGeom prst="rect">
                        <a:avLst/>
                      </a:prstGeom>
                      <a:noFill/>
                      <a:ln>
                        <a:noFill/>
                      </a:ln>
                    </wps:spPr>
                    <wps:txbx>
                      <w:txbxContent>
                        <w:p>
                          <w:pPr>
                            <w:pStyle w:val="9"/>
                            <w:rPr>
                              <w:rFonts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p>
                      </w:txbxContent>
                    </wps:txbx>
                    <wps:bodyPr rot="0" vert="horz" wrap="none" lIns="0" tIns="0" rIns="0" bIns="0" anchor="t" anchorCtr="0" upright="1">
                      <a:spAutoFit/>
                    </wps:bodyPr>
                  </wps:wsp>
                </a:graphicData>
              </a:graphic>
            </wp:anchor>
          </w:drawing>
        </mc:Choice>
        <mc:Fallback>
          <w:pict>
            <v:shape id="Text Box 1041" o:spid="_x0000_s1026" o:spt="202" type="#_x0000_t202" style="position:absolute;left:0pt;margin-top:0pt;height:11.65pt;width:22.55pt;mso-position-horizontal:center;mso-position-horizontal-relative:margin;mso-wrap-style:none;z-index:251660288;mso-width-relative:page;mso-height-relative:page;" filled="f" stroked="f" coordsize="21600,21600" o:gfxdata="UEsDBAoAAAAAAIdO4kAAAAAAAAAAAAAAAAAEAAAAZHJzL1BLAwQUAAAACACHTuJAH/8bMd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B//GzHSAAAAAwEAAA8AAAAA&#10;AAAAAQAgAAAAIgAAAGRycy9kb3ducmV2LnhtbFBLAQIUABQAAAAIAIdO4kDeR+Tu4QEAALcDAAAO&#10;AAAAAAAAAAEAIAAAACEBAABkcnMvZTJvRG9jLnhtbFBLBQYAAAAABgAGAFkBAAB0BQAAAAA=&#10;">
              <v:fill on="f" focussize="0,0"/>
              <v:stroke on="f"/>
              <v:imagedata o:title=""/>
              <o:lock v:ext="edit" aspectratio="f"/>
              <v:textbox inset="0mm,0mm,0mm,0mm" style="mso-fit-shape-to-text:t;">
                <w:txbxContent>
                  <w:p>
                    <w:pPr>
                      <w:pStyle w:val="9"/>
                      <w:rPr>
                        <w:rFonts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286385" cy="147955"/>
              <wp:effectExtent l="0" t="0" r="0" b="0"/>
              <wp:wrapNone/>
              <wp:docPr id="13" name="Text Box 1039"/>
              <wp:cNvGraphicFramePr/>
              <a:graphic xmlns:a="http://schemas.openxmlformats.org/drawingml/2006/main">
                <a:graphicData uri="http://schemas.microsoft.com/office/word/2010/wordprocessingShape">
                  <wps:wsp>
                    <wps:cNvSpPr txBox="1">
                      <a:spLocks noChangeArrowheads="1"/>
                    </wps:cNvSpPr>
                    <wps:spPr bwMode="auto">
                      <a:xfrm>
                        <a:off x="0" y="0"/>
                        <a:ext cx="286385" cy="147955"/>
                      </a:xfrm>
                      <a:prstGeom prst="rect">
                        <a:avLst/>
                      </a:prstGeom>
                      <a:noFill/>
                      <a:ln>
                        <a:noFill/>
                      </a:ln>
                    </wps:spPr>
                    <wps:txbx>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1039" o:spid="_x0000_s1026" o:spt="202" type="#_x0000_t202" style="position:absolute;left:0pt;margin-top:0pt;height:11.65pt;width:22.55pt;mso-position-horizontal:center;mso-position-horizontal-relative:margin;mso-wrap-style:none;z-index:251661312;mso-width-relative:page;mso-height-relative:page;" filled="f" stroked="f" coordsize="21600,21600" o:gfxdata="UEsDBAoAAAAAAIdO4kAAAAAAAAAAAAAAAAAEAAAAZHJzL1BLAwQUAAAACACHTuJAH/8bMd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H/8bMdIAAAADAQAADwAA&#10;AAAAAAABACAAAAAiAAAAZHJzL2Rvd25yZXYueG1sUEsBAhQAFAAAAAgAh07iQOjrMVbjAQAAtwMA&#10;AA4AAAAAAAAAAQAgAAAAIQEAAGRycy9lMm9Eb2MueG1sUEsFBgAAAAAGAAYAWQEAAHYFAAAAAA==&#10;">
              <v:fill on="f" focussize="0,0"/>
              <v:stroke on="f"/>
              <v:imagedata o:title=""/>
              <o:lock v:ext="edit" aspectratio="f"/>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343535" cy="147955"/>
              <wp:effectExtent l="0" t="0" r="0" b="0"/>
              <wp:wrapNone/>
              <wp:docPr id="12" name="Text Box 1040"/>
              <wp:cNvGraphicFramePr/>
              <a:graphic xmlns:a="http://schemas.openxmlformats.org/drawingml/2006/main">
                <a:graphicData uri="http://schemas.microsoft.com/office/word/2010/wordprocessingShape">
                  <wps:wsp>
                    <wps:cNvSpPr txBox="1">
                      <a:spLocks noChangeArrowheads="1"/>
                    </wps:cNvSpPr>
                    <wps:spPr bwMode="auto">
                      <a:xfrm>
                        <a:off x="0" y="0"/>
                        <a:ext cx="343535" cy="147955"/>
                      </a:xfrm>
                      <a:prstGeom prst="rect">
                        <a:avLst/>
                      </a:prstGeom>
                      <a:noFill/>
                      <a:ln>
                        <a:noFill/>
                      </a:ln>
                    </wps:spPr>
                    <wps:txbx>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1040" o:spid="_x0000_s1026" o:spt="202" type="#_x0000_t202" style="position:absolute;left:0pt;margin-top:0pt;height:11.65pt;width:27.05pt;mso-position-horizontal:center;mso-position-horizontal-relative:margin;mso-wrap-style:none;z-index:251662336;mso-width-relative:page;mso-height-relative:page;" filled="f" stroked="f" coordsize="21600,21600" o:gfxdata="UEsDBAoAAAAAAIdO4kAAAAAAAAAAAAAAAAAEAAAAZHJzL1BLAwQUAAAACACHTuJAJtupU9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JtupU9IAAAADAQAADwAA&#10;AAAAAAABACAAAAAiAAAAZHJzL2Rvd25yZXYueG1sUEsBAhQAFAAAAAgAh07iQJ+LBDXjAQAAtwMA&#10;AA4AAAAAAAAAAQAgAAAAIQEAAGRycy9lMm9Eb2MueG1sUEsFBgAAAAAGAAYAWQEAAHYFAAAAAA==&#10;">
              <v:fill on="f" focussize="0,0"/>
              <v:stroke on="f"/>
              <v:imagedata o:title=""/>
              <o:lock v:ext="edit" aspectratio="f"/>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343535" cy="147955"/>
              <wp:effectExtent l="0" t="0" r="0" b="0"/>
              <wp:wrapNone/>
              <wp:docPr id="11" name="Text Box 1027"/>
              <wp:cNvGraphicFramePr/>
              <a:graphic xmlns:a="http://schemas.openxmlformats.org/drawingml/2006/main">
                <a:graphicData uri="http://schemas.microsoft.com/office/word/2010/wordprocessingShape">
                  <wps:wsp>
                    <wps:cNvSpPr txBox="1">
                      <a:spLocks noChangeArrowheads="1"/>
                    </wps:cNvSpPr>
                    <wps:spPr bwMode="auto">
                      <a:xfrm>
                        <a:off x="0" y="0"/>
                        <a:ext cx="343535" cy="147955"/>
                      </a:xfrm>
                      <a:prstGeom prst="rect">
                        <a:avLst/>
                      </a:prstGeom>
                      <a:noFill/>
                      <a:ln>
                        <a:noFill/>
                      </a:ln>
                    </wps:spPr>
                    <wps:txbx>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1027" o:spid="_x0000_s1026" o:spt="202" type="#_x0000_t202" style="position:absolute;left:0pt;margin-top:0pt;height:11.65pt;width:27.05pt;mso-position-horizontal:center;mso-position-horizontal-relative:margin;mso-wrap-style:none;z-index:251663360;mso-width-relative:page;mso-height-relative:page;" filled="f" stroked="f" coordsize="21600,21600" o:gfxdata="UEsDBAoAAAAAAIdO4kAAAAAAAAAAAAAAAAAEAAAAZHJzL1BLAwQUAAAACACHTuJAJtupU9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m26lT0gAAAAMBAAAPAAAA&#10;AAAAAAEAIAAAACIAAABkcnMvZG93bnJldi54bWxQSwECFAAUAAAACACHTuJAZ8O7q+IBAAC3AwAA&#10;DgAAAAAAAAABACAAAAAhAQAAZHJzL2Uyb0RvYy54bWxQSwUGAAAAAAYABgBZAQAAdQUAAAAA&#10;">
              <v:fill on="f" focussize="0,0"/>
              <v:stroke on="f"/>
              <v:imagedata o:title=""/>
              <o:lock v:ext="edit" aspectratio="f"/>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343535" cy="147955"/>
              <wp:effectExtent l="0" t="0" r="0" b="0"/>
              <wp:wrapNone/>
              <wp:docPr id="10" name="Text Box 1028"/>
              <wp:cNvGraphicFramePr/>
              <a:graphic xmlns:a="http://schemas.openxmlformats.org/drawingml/2006/main">
                <a:graphicData uri="http://schemas.microsoft.com/office/word/2010/wordprocessingShape">
                  <wps:wsp>
                    <wps:cNvSpPr txBox="1">
                      <a:spLocks noChangeArrowheads="1"/>
                    </wps:cNvSpPr>
                    <wps:spPr bwMode="auto">
                      <a:xfrm>
                        <a:off x="0" y="0"/>
                        <a:ext cx="343535" cy="147955"/>
                      </a:xfrm>
                      <a:prstGeom prst="rect">
                        <a:avLst/>
                      </a:prstGeom>
                      <a:noFill/>
                      <a:ln>
                        <a:noFill/>
                      </a:ln>
                    </wps:spPr>
                    <wps:txbx>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1028" o:spid="_x0000_s1026" o:spt="202" type="#_x0000_t202" style="position:absolute;left:0pt;margin-top:0pt;height:11.65pt;width:27.05pt;mso-position-horizontal:center;mso-position-horizontal-relative:margin;mso-wrap-style:none;z-index:251664384;mso-width-relative:page;mso-height-relative:page;" filled="f" stroked="f" coordsize="21600,21600" o:gfxdata="UEsDBAoAAAAAAIdO4kAAAAAAAAAAAAAAAAAEAAAAZHJzL1BLAwQUAAAACACHTuJAJtupU9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m26lT0gAAAAMBAAAPAAAA&#10;AAAAAAEAIAAAACIAAABkcnMvZG93bnJldi54bWxQSwECFAAUAAAACACHTuJAN2Krc+IBAAC3AwAA&#10;DgAAAAAAAAABACAAAAAhAQAAZHJzL2Uyb0RvYy54bWxQSwUGAAAAAAYABgBZAQAAdQUAAAAA&#10;">
              <v:fill on="f" focussize="0,0"/>
              <v:stroke on="f"/>
              <v:imagedata o:title=""/>
              <o:lock v:ext="edit" aspectratio="f"/>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343535" cy="147955"/>
              <wp:effectExtent l="0" t="0" r="0" b="0"/>
              <wp:wrapNone/>
              <wp:docPr id="9" name="Text Box 1029"/>
              <wp:cNvGraphicFramePr/>
              <a:graphic xmlns:a="http://schemas.openxmlformats.org/drawingml/2006/main">
                <a:graphicData uri="http://schemas.microsoft.com/office/word/2010/wordprocessingShape">
                  <wps:wsp>
                    <wps:cNvSpPr txBox="1">
                      <a:spLocks noChangeArrowheads="1"/>
                    </wps:cNvSpPr>
                    <wps:spPr bwMode="auto">
                      <a:xfrm>
                        <a:off x="0" y="0"/>
                        <a:ext cx="343535" cy="147955"/>
                      </a:xfrm>
                      <a:prstGeom prst="rect">
                        <a:avLst/>
                      </a:prstGeom>
                      <a:noFill/>
                      <a:ln>
                        <a:noFill/>
                      </a:ln>
                    </wps:spPr>
                    <wps:txbx>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8</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1029" o:spid="_x0000_s1026" o:spt="202" type="#_x0000_t202" style="position:absolute;left:0pt;margin-top:0pt;height:11.65pt;width:27.05pt;mso-position-horizontal:center;mso-position-horizontal-relative:margin;mso-wrap-style:none;z-index:251665408;mso-width-relative:page;mso-height-relative:page;" filled="f" stroked="f" coordsize="21600,21600" o:gfxdata="UEsDBAoAAAAAAIdO4kAAAAAAAAAAAAAAAAAEAAAAZHJzL1BLAwQUAAAACACHTuJAJtupU9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JtupU9IAAAADAQAADwAA&#10;AAAAAAABACAAAAAiAAAAZHJzL2Rvd25yZXYueG1sUEsBAhQAFAAAAAgAh07iQKEAaALjAQAAtgMA&#10;AA4AAAAAAAAAAQAgAAAAIQEAAGRycy9lMm9Eb2MueG1sUEsFBgAAAAAGAAYAWQEAAHYFAAAAAA==&#10;">
              <v:fill on="f" focussize="0,0"/>
              <v:stroke on="f"/>
              <v:imagedata o:title=""/>
              <o:lock v:ext="edit" aspectratio="f"/>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8</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343535" cy="147955"/>
              <wp:effectExtent l="0" t="0" r="0" b="0"/>
              <wp:wrapNone/>
              <wp:docPr id="8" name="Text Box 1030"/>
              <wp:cNvGraphicFramePr/>
              <a:graphic xmlns:a="http://schemas.openxmlformats.org/drawingml/2006/main">
                <a:graphicData uri="http://schemas.microsoft.com/office/word/2010/wordprocessingShape">
                  <wps:wsp>
                    <wps:cNvSpPr txBox="1">
                      <a:spLocks noChangeArrowheads="1"/>
                    </wps:cNvSpPr>
                    <wps:spPr bwMode="auto">
                      <a:xfrm>
                        <a:off x="0" y="0"/>
                        <a:ext cx="343535" cy="147955"/>
                      </a:xfrm>
                      <a:prstGeom prst="rect">
                        <a:avLst/>
                      </a:prstGeom>
                      <a:noFill/>
                      <a:ln>
                        <a:noFill/>
                      </a:ln>
                    </wps:spPr>
                    <wps:txbx>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1030" o:spid="_x0000_s1026" o:spt="202" type="#_x0000_t202" style="position:absolute;left:0pt;margin-top:0pt;height:11.65pt;width:27.05pt;mso-position-horizontal:center;mso-position-horizontal-relative:margin;mso-wrap-style:none;z-index:251665408;mso-width-relative:page;mso-height-relative:page;" filled="f" stroked="f" coordsize="21600,21600" o:gfxdata="UEsDBAoAAAAAAIdO4kAAAAAAAAAAAAAAAAAEAAAAZHJzL1BLAwQUAAAACACHTuJAJtupU9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JtupU9IAAAADAQAADwAA&#10;AAAAAAABACAAAAAiAAAAZHJzL2Rvd25yZXYueG1sUEsBAhQAFAAAAAgAh07iQIDSYFbjAQAAtgMA&#10;AA4AAAAAAAAAAQAgAAAAIQEAAGRycy9lMm9Eb2MueG1sUEsFBgAAAAAGAAYAWQEAAHYFAAAAAA==&#10;">
              <v:fill on="f" focussize="0,0"/>
              <v:stroke on="f"/>
              <v:imagedata o:title=""/>
              <o:lock v:ext="edit" aspectratio="f"/>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343535" cy="147955"/>
              <wp:effectExtent l="0" t="0" r="0" b="0"/>
              <wp:wrapNone/>
              <wp:docPr id="7" name="Text Box 1031"/>
              <wp:cNvGraphicFramePr/>
              <a:graphic xmlns:a="http://schemas.openxmlformats.org/drawingml/2006/main">
                <a:graphicData uri="http://schemas.microsoft.com/office/word/2010/wordprocessingShape">
                  <wps:wsp>
                    <wps:cNvSpPr txBox="1">
                      <a:spLocks noChangeArrowheads="1"/>
                    </wps:cNvSpPr>
                    <wps:spPr bwMode="auto">
                      <a:xfrm>
                        <a:off x="0" y="0"/>
                        <a:ext cx="343535" cy="147955"/>
                      </a:xfrm>
                      <a:prstGeom prst="rect">
                        <a:avLst/>
                      </a:prstGeom>
                      <a:noFill/>
                      <a:ln>
                        <a:noFill/>
                      </a:ln>
                    </wps:spPr>
                    <wps:txbx>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1031" o:spid="_x0000_s1026" o:spt="202" type="#_x0000_t202" style="position:absolute;left:0pt;margin-top:0pt;height:11.65pt;width:27.05pt;mso-position-horizontal:center;mso-position-horizontal-relative:margin;mso-wrap-style:none;z-index:251666432;mso-width-relative:page;mso-height-relative:page;" filled="f" stroked="f" coordsize="21600,21600" o:gfxdata="UEsDBAoAAAAAAIdO4kAAAAAAAAAAAAAAAAAEAAAAZHJzL1BLAwQUAAAACACHTuJAJtupU9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CbbqVPSAAAAAwEAAA8AAAAA&#10;AAAAAQAgAAAAIgAAAGRycy9kb3ducmV2LnhtbFBLAQIUABQAAAAIAIdO4kB95DVn4QEAALYDAAAO&#10;AAAAAAAAAAEAIAAAACEBAABkcnMvZTJvRG9jLnhtbFBLBQYAAAAABgAGAFkBAAB0BQAAAAA=&#10;">
              <v:fill on="f" focussize="0,0"/>
              <v:stroke on="f"/>
              <v:imagedata o:title=""/>
              <o:lock v:ext="edit" aspectratio="f"/>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000000" w:sz="4" w:space="1"/>
      </w:pBdr>
      <w:jc w:val="both"/>
      <w:rPr>
        <w:lang w:val="en-US"/>
      </w:rPr>
    </w:pPr>
    <w:r>
      <w:rPr>
        <w:rFonts w:hint="eastAsia"/>
        <w:lang w:val="en-US"/>
      </w:rPr>
      <w:t>江苏省立新农场</w:t>
    </w:r>
    <w:r>
      <w:t>2021年度单位决算公开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0"/>
  <w:autoHyphenation/>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QyZDQxZGVkNTMxMjg0Mzk2NDhmODIyOTIzM2MwOTIifQ=="/>
  </w:docVars>
  <w:rsids>
    <w:rsidRoot w:val="00F828D8"/>
    <w:rsid w:val="00064984"/>
    <w:rsid w:val="00071789"/>
    <w:rsid w:val="000F12AB"/>
    <w:rsid w:val="001C31F9"/>
    <w:rsid w:val="00220269"/>
    <w:rsid w:val="002E63B1"/>
    <w:rsid w:val="00407CA7"/>
    <w:rsid w:val="00413AD8"/>
    <w:rsid w:val="004C0647"/>
    <w:rsid w:val="00671ED7"/>
    <w:rsid w:val="00672164"/>
    <w:rsid w:val="006732F1"/>
    <w:rsid w:val="00786580"/>
    <w:rsid w:val="008170D3"/>
    <w:rsid w:val="008322BB"/>
    <w:rsid w:val="00867423"/>
    <w:rsid w:val="0087429B"/>
    <w:rsid w:val="008B5B05"/>
    <w:rsid w:val="009965EA"/>
    <w:rsid w:val="00A6752E"/>
    <w:rsid w:val="00B92181"/>
    <w:rsid w:val="00BD7F33"/>
    <w:rsid w:val="00C15920"/>
    <w:rsid w:val="00C82582"/>
    <w:rsid w:val="00F828D8"/>
    <w:rsid w:val="00FA3233"/>
    <w:rsid w:val="010F1E77"/>
    <w:rsid w:val="01536131"/>
    <w:rsid w:val="01657C13"/>
    <w:rsid w:val="017240DE"/>
    <w:rsid w:val="01875334"/>
    <w:rsid w:val="018E7014"/>
    <w:rsid w:val="019803DB"/>
    <w:rsid w:val="01C22655"/>
    <w:rsid w:val="01C61170"/>
    <w:rsid w:val="01D4677F"/>
    <w:rsid w:val="01F17DF5"/>
    <w:rsid w:val="01FA65AD"/>
    <w:rsid w:val="01FF1E15"/>
    <w:rsid w:val="02005B8D"/>
    <w:rsid w:val="021F4E94"/>
    <w:rsid w:val="023277C7"/>
    <w:rsid w:val="02377801"/>
    <w:rsid w:val="02420B21"/>
    <w:rsid w:val="02443CCC"/>
    <w:rsid w:val="0247556A"/>
    <w:rsid w:val="02624152"/>
    <w:rsid w:val="026604FF"/>
    <w:rsid w:val="027F398B"/>
    <w:rsid w:val="0284231A"/>
    <w:rsid w:val="02987B74"/>
    <w:rsid w:val="02A822D0"/>
    <w:rsid w:val="02AF69EA"/>
    <w:rsid w:val="02B14230"/>
    <w:rsid w:val="02C378BB"/>
    <w:rsid w:val="02D43672"/>
    <w:rsid w:val="02DD471D"/>
    <w:rsid w:val="02E5431C"/>
    <w:rsid w:val="02E8449D"/>
    <w:rsid w:val="02F0175E"/>
    <w:rsid w:val="02F513AC"/>
    <w:rsid w:val="02FE6DAE"/>
    <w:rsid w:val="03005360"/>
    <w:rsid w:val="03060F81"/>
    <w:rsid w:val="03121471"/>
    <w:rsid w:val="033F3F8A"/>
    <w:rsid w:val="034C108A"/>
    <w:rsid w:val="03673847"/>
    <w:rsid w:val="03690F36"/>
    <w:rsid w:val="03793778"/>
    <w:rsid w:val="037E4FBC"/>
    <w:rsid w:val="03802AE2"/>
    <w:rsid w:val="039F7320"/>
    <w:rsid w:val="03F86EFB"/>
    <w:rsid w:val="04137DFA"/>
    <w:rsid w:val="04156348"/>
    <w:rsid w:val="04461F7D"/>
    <w:rsid w:val="044E689B"/>
    <w:rsid w:val="0458580D"/>
    <w:rsid w:val="045E5FB7"/>
    <w:rsid w:val="049256F0"/>
    <w:rsid w:val="0495610D"/>
    <w:rsid w:val="04C730A4"/>
    <w:rsid w:val="04DA4474"/>
    <w:rsid w:val="04DF580C"/>
    <w:rsid w:val="04E946A2"/>
    <w:rsid w:val="04EA46EB"/>
    <w:rsid w:val="05185546"/>
    <w:rsid w:val="052126A9"/>
    <w:rsid w:val="05247FC3"/>
    <w:rsid w:val="05346113"/>
    <w:rsid w:val="05423E9C"/>
    <w:rsid w:val="05600A24"/>
    <w:rsid w:val="056A1C9B"/>
    <w:rsid w:val="057525F6"/>
    <w:rsid w:val="05843580"/>
    <w:rsid w:val="05856AD5"/>
    <w:rsid w:val="058C526F"/>
    <w:rsid w:val="05AB4AE4"/>
    <w:rsid w:val="05AB7BBE"/>
    <w:rsid w:val="05BD2716"/>
    <w:rsid w:val="05BE6B06"/>
    <w:rsid w:val="05C432C0"/>
    <w:rsid w:val="05C73A91"/>
    <w:rsid w:val="05DB04A3"/>
    <w:rsid w:val="05DB339C"/>
    <w:rsid w:val="05E80F9E"/>
    <w:rsid w:val="05F04613"/>
    <w:rsid w:val="05FE3016"/>
    <w:rsid w:val="06006806"/>
    <w:rsid w:val="060D1C4C"/>
    <w:rsid w:val="061C50DF"/>
    <w:rsid w:val="062B491C"/>
    <w:rsid w:val="06417385"/>
    <w:rsid w:val="064A6451"/>
    <w:rsid w:val="064C13A1"/>
    <w:rsid w:val="06542957"/>
    <w:rsid w:val="0681129C"/>
    <w:rsid w:val="06824DC3"/>
    <w:rsid w:val="0695552F"/>
    <w:rsid w:val="069B5E85"/>
    <w:rsid w:val="06C87B62"/>
    <w:rsid w:val="06EB2968"/>
    <w:rsid w:val="06F23CF7"/>
    <w:rsid w:val="07293490"/>
    <w:rsid w:val="072A453E"/>
    <w:rsid w:val="073A470E"/>
    <w:rsid w:val="07520D7A"/>
    <w:rsid w:val="075575FE"/>
    <w:rsid w:val="07580A5A"/>
    <w:rsid w:val="07656047"/>
    <w:rsid w:val="077C711D"/>
    <w:rsid w:val="078F7797"/>
    <w:rsid w:val="079361A1"/>
    <w:rsid w:val="07AE39F0"/>
    <w:rsid w:val="07BE007D"/>
    <w:rsid w:val="07C509DD"/>
    <w:rsid w:val="080041F1"/>
    <w:rsid w:val="08031AA7"/>
    <w:rsid w:val="0806186F"/>
    <w:rsid w:val="080C528C"/>
    <w:rsid w:val="080F6B2A"/>
    <w:rsid w:val="08214CF0"/>
    <w:rsid w:val="083B723A"/>
    <w:rsid w:val="084A5DB4"/>
    <w:rsid w:val="08582C83"/>
    <w:rsid w:val="085D1644"/>
    <w:rsid w:val="0860441B"/>
    <w:rsid w:val="08694955"/>
    <w:rsid w:val="08913758"/>
    <w:rsid w:val="08A333FC"/>
    <w:rsid w:val="08D342E7"/>
    <w:rsid w:val="08E003AE"/>
    <w:rsid w:val="08E93645"/>
    <w:rsid w:val="08FC0605"/>
    <w:rsid w:val="09165D85"/>
    <w:rsid w:val="091D32CD"/>
    <w:rsid w:val="0947142F"/>
    <w:rsid w:val="095F763D"/>
    <w:rsid w:val="096204B4"/>
    <w:rsid w:val="096B0C35"/>
    <w:rsid w:val="09891979"/>
    <w:rsid w:val="098926B4"/>
    <w:rsid w:val="09896468"/>
    <w:rsid w:val="09931095"/>
    <w:rsid w:val="09984875"/>
    <w:rsid w:val="09B3067A"/>
    <w:rsid w:val="09E82283"/>
    <w:rsid w:val="09EB3C7D"/>
    <w:rsid w:val="09F00295"/>
    <w:rsid w:val="09F032D5"/>
    <w:rsid w:val="09F45579"/>
    <w:rsid w:val="09F6640F"/>
    <w:rsid w:val="09FE0C6E"/>
    <w:rsid w:val="0A112BB9"/>
    <w:rsid w:val="0A1D215F"/>
    <w:rsid w:val="0A2639C8"/>
    <w:rsid w:val="0A2D2344"/>
    <w:rsid w:val="0A3F45FE"/>
    <w:rsid w:val="0A434869"/>
    <w:rsid w:val="0A516F86"/>
    <w:rsid w:val="0A6273E5"/>
    <w:rsid w:val="0A636CB9"/>
    <w:rsid w:val="0A7F08D2"/>
    <w:rsid w:val="0A964BFD"/>
    <w:rsid w:val="0A9D666F"/>
    <w:rsid w:val="0ADA70C2"/>
    <w:rsid w:val="0AFD463B"/>
    <w:rsid w:val="0B05614C"/>
    <w:rsid w:val="0B134992"/>
    <w:rsid w:val="0B160131"/>
    <w:rsid w:val="0B2B4189"/>
    <w:rsid w:val="0B392278"/>
    <w:rsid w:val="0B675A67"/>
    <w:rsid w:val="0B752A0F"/>
    <w:rsid w:val="0B813D25"/>
    <w:rsid w:val="0B89728A"/>
    <w:rsid w:val="0B9E71AD"/>
    <w:rsid w:val="0BAC43D1"/>
    <w:rsid w:val="0BB91287"/>
    <w:rsid w:val="0BBA4FFF"/>
    <w:rsid w:val="0BCD6A8D"/>
    <w:rsid w:val="0BCF6DAD"/>
    <w:rsid w:val="0BD87EAC"/>
    <w:rsid w:val="0BE46B89"/>
    <w:rsid w:val="0BF41C52"/>
    <w:rsid w:val="0C047996"/>
    <w:rsid w:val="0C0E112C"/>
    <w:rsid w:val="0C1337D7"/>
    <w:rsid w:val="0C2215AA"/>
    <w:rsid w:val="0C2E55BC"/>
    <w:rsid w:val="0C64719F"/>
    <w:rsid w:val="0C6536DB"/>
    <w:rsid w:val="0C797590"/>
    <w:rsid w:val="0C9B273A"/>
    <w:rsid w:val="0CA00951"/>
    <w:rsid w:val="0CBD0903"/>
    <w:rsid w:val="0CC51EAD"/>
    <w:rsid w:val="0CD230A9"/>
    <w:rsid w:val="0CD65166"/>
    <w:rsid w:val="0CDB2BBC"/>
    <w:rsid w:val="0CE84C0B"/>
    <w:rsid w:val="0CEF2113"/>
    <w:rsid w:val="0CEF2581"/>
    <w:rsid w:val="0D05225F"/>
    <w:rsid w:val="0D1424ED"/>
    <w:rsid w:val="0D261419"/>
    <w:rsid w:val="0D42705A"/>
    <w:rsid w:val="0D545049"/>
    <w:rsid w:val="0D617032"/>
    <w:rsid w:val="0D673696"/>
    <w:rsid w:val="0D6C5D61"/>
    <w:rsid w:val="0D760FDB"/>
    <w:rsid w:val="0D7F345D"/>
    <w:rsid w:val="0D991370"/>
    <w:rsid w:val="0DAC0D2B"/>
    <w:rsid w:val="0DAD6BC9"/>
    <w:rsid w:val="0DBA3094"/>
    <w:rsid w:val="0DD06A00"/>
    <w:rsid w:val="0DDF0D4D"/>
    <w:rsid w:val="0DFC3CDF"/>
    <w:rsid w:val="0DFD772C"/>
    <w:rsid w:val="0DFF5826"/>
    <w:rsid w:val="0E0A51F9"/>
    <w:rsid w:val="0E1F1C4F"/>
    <w:rsid w:val="0E27451D"/>
    <w:rsid w:val="0E4806AD"/>
    <w:rsid w:val="0E5E7568"/>
    <w:rsid w:val="0E662847"/>
    <w:rsid w:val="0E854C8B"/>
    <w:rsid w:val="0E94230E"/>
    <w:rsid w:val="0E946F22"/>
    <w:rsid w:val="0EA37FCC"/>
    <w:rsid w:val="0EE7610B"/>
    <w:rsid w:val="0EF65551"/>
    <w:rsid w:val="0EFE25F0"/>
    <w:rsid w:val="0F135152"/>
    <w:rsid w:val="0F711E78"/>
    <w:rsid w:val="0F807B33"/>
    <w:rsid w:val="0F8C6CB2"/>
    <w:rsid w:val="0F8F17E6"/>
    <w:rsid w:val="0FB029A1"/>
    <w:rsid w:val="0FB02B15"/>
    <w:rsid w:val="0FB21F29"/>
    <w:rsid w:val="0FB47D1E"/>
    <w:rsid w:val="0FCE598D"/>
    <w:rsid w:val="0FD77F2D"/>
    <w:rsid w:val="0FD849C7"/>
    <w:rsid w:val="0FE03B0E"/>
    <w:rsid w:val="0FE663C2"/>
    <w:rsid w:val="0FEF37CA"/>
    <w:rsid w:val="100928FC"/>
    <w:rsid w:val="10093E5F"/>
    <w:rsid w:val="101A62D4"/>
    <w:rsid w:val="10260EB5"/>
    <w:rsid w:val="1027035F"/>
    <w:rsid w:val="102A2753"/>
    <w:rsid w:val="102A69EF"/>
    <w:rsid w:val="102C3484"/>
    <w:rsid w:val="103D6600"/>
    <w:rsid w:val="10463305"/>
    <w:rsid w:val="106204CB"/>
    <w:rsid w:val="1068327B"/>
    <w:rsid w:val="1069097D"/>
    <w:rsid w:val="10703EDE"/>
    <w:rsid w:val="108C6F6A"/>
    <w:rsid w:val="10A90FB7"/>
    <w:rsid w:val="10B95885"/>
    <w:rsid w:val="10F845FF"/>
    <w:rsid w:val="11092167"/>
    <w:rsid w:val="110C3973"/>
    <w:rsid w:val="110D47B0"/>
    <w:rsid w:val="11110225"/>
    <w:rsid w:val="111930E1"/>
    <w:rsid w:val="111E1B8C"/>
    <w:rsid w:val="11252430"/>
    <w:rsid w:val="112E0021"/>
    <w:rsid w:val="1143676B"/>
    <w:rsid w:val="11471791"/>
    <w:rsid w:val="117C1012"/>
    <w:rsid w:val="11872569"/>
    <w:rsid w:val="11AB09B5"/>
    <w:rsid w:val="11B7025F"/>
    <w:rsid w:val="11C36B1F"/>
    <w:rsid w:val="11C52DC5"/>
    <w:rsid w:val="11E46932"/>
    <w:rsid w:val="11F221C7"/>
    <w:rsid w:val="11F2605E"/>
    <w:rsid w:val="11F724E3"/>
    <w:rsid w:val="122227BF"/>
    <w:rsid w:val="12313173"/>
    <w:rsid w:val="12313682"/>
    <w:rsid w:val="12437AFC"/>
    <w:rsid w:val="127A1044"/>
    <w:rsid w:val="128157F4"/>
    <w:rsid w:val="12AA36D7"/>
    <w:rsid w:val="12B566A2"/>
    <w:rsid w:val="12C448B1"/>
    <w:rsid w:val="12D32267"/>
    <w:rsid w:val="12E60488"/>
    <w:rsid w:val="12F05187"/>
    <w:rsid w:val="13142710"/>
    <w:rsid w:val="1335650B"/>
    <w:rsid w:val="133E1FA2"/>
    <w:rsid w:val="13871C6A"/>
    <w:rsid w:val="139377AA"/>
    <w:rsid w:val="13A44407"/>
    <w:rsid w:val="13A46379"/>
    <w:rsid w:val="13BD743A"/>
    <w:rsid w:val="13E2730D"/>
    <w:rsid w:val="13F85ED3"/>
    <w:rsid w:val="140626B0"/>
    <w:rsid w:val="140C350F"/>
    <w:rsid w:val="14207DA2"/>
    <w:rsid w:val="142101C9"/>
    <w:rsid w:val="143164E8"/>
    <w:rsid w:val="14341A45"/>
    <w:rsid w:val="146856DB"/>
    <w:rsid w:val="146B3433"/>
    <w:rsid w:val="14795A57"/>
    <w:rsid w:val="14933F94"/>
    <w:rsid w:val="14A34882"/>
    <w:rsid w:val="14A95C11"/>
    <w:rsid w:val="14AA0D30"/>
    <w:rsid w:val="14BA3B44"/>
    <w:rsid w:val="14CD6BF6"/>
    <w:rsid w:val="14EE3158"/>
    <w:rsid w:val="1504334D"/>
    <w:rsid w:val="15085477"/>
    <w:rsid w:val="152578C2"/>
    <w:rsid w:val="154755A3"/>
    <w:rsid w:val="15664CCA"/>
    <w:rsid w:val="156C1118"/>
    <w:rsid w:val="159E0364"/>
    <w:rsid w:val="15A959CF"/>
    <w:rsid w:val="15B93CF7"/>
    <w:rsid w:val="15D36B14"/>
    <w:rsid w:val="16053674"/>
    <w:rsid w:val="16146EAD"/>
    <w:rsid w:val="161A451C"/>
    <w:rsid w:val="161E395E"/>
    <w:rsid w:val="1621543B"/>
    <w:rsid w:val="163E1726"/>
    <w:rsid w:val="16565924"/>
    <w:rsid w:val="167F1A6B"/>
    <w:rsid w:val="16971C37"/>
    <w:rsid w:val="16A448E1"/>
    <w:rsid w:val="16BE14E7"/>
    <w:rsid w:val="16BE34FA"/>
    <w:rsid w:val="16DA6212"/>
    <w:rsid w:val="16ED632E"/>
    <w:rsid w:val="1705386D"/>
    <w:rsid w:val="170A0BE8"/>
    <w:rsid w:val="170D692B"/>
    <w:rsid w:val="1717031D"/>
    <w:rsid w:val="17451C21"/>
    <w:rsid w:val="175D47C3"/>
    <w:rsid w:val="176B2704"/>
    <w:rsid w:val="178C5AA1"/>
    <w:rsid w:val="178D35C8"/>
    <w:rsid w:val="17BC2D29"/>
    <w:rsid w:val="17EC4792"/>
    <w:rsid w:val="18025D64"/>
    <w:rsid w:val="1808589E"/>
    <w:rsid w:val="181B6E25"/>
    <w:rsid w:val="18272F04"/>
    <w:rsid w:val="183F0D66"/>
    <w:rsid w:val="1847137D"/>
    <w:rsid w:val="18473583"/>
    <w:rsid w:val="18585984"/>
    <w:rsid w:val="188B47DF"/>
    <w:rsid w:val="18916DBC"/>
    <w:rsid w:val="18AA3C15"/>
    <w:rsid w:val="18BA5D81"/>
    <w:rsid w:val="18C07826"/>
    <w:rsid w:val="18C77023"/>
    <w:rsid w:val="18E45469"/>
    <w:rsid w:val="18EE62E8"/>
    <w:rsid w:val="18FD3C01"/>
    <w:rsid w:val="190E24E6"/>
    <w:rsid w:val="19195D82"/>
    <w:rsid w:val="193033EC"/>
    <w:rsid w:val="19322678"/>
    <w:rsid w:val="194A216C"/>
    <w:rsid w:val="19517451"/>
    <w:rsid w:val="19562DE7"/>
    <w:rsid w:val="19603977"/>
    <w:rsid w:val="196D1879"/>
    <w:rsid w:val="19810F0A"/>
    <w:rsid w:val="199D3E22"/>
    <w:rsid w:val="19A676CD"/>
    <w:rsid w:val="19B34CEE"/>
    <w:rsid w:val="19C57B31"/>
    <w:rsid w:val="19CE54E8"/>
    <w:rsid w:val="19DA0E66"/>
    <w:rsid w:val="1A0868DE"/>
    <w:rsid w:val="1A386BB6"/>
    <w:rsid w:val="1A3E0B9C"/>
    <w:rsid w:val="1A5A0D30"/>
    <w:rsid w:val="1A641248"/>
    <w:rsid w:val="1A6B178B"/>
    <w:rsid w:val="1A6E7911"/>
    <w:rsid w:val="1AA11864"/>
    <w:rsid w:val="1ABF618E"/>
    <w:rsid w:val="1AD90120"/>
    <w:rsid w:val="1AEB035A"/>
    <w:rsid w:val="1AF0114F"/>
    <w:rsid w:val="1AF61156"/>
    <w:rsid w:val="1B114FF8"/>
    <w:rsid w:val="1B136BC2"/>
    <w:rsid w:val="1B1C5890"/>
    <w:rsid w:val="1B2C6156"/>
    <w:rsid w:val="1B363B76"/>
    <w:rsid w:val="1B394ECA"/>
    <w:rsid w:val="1B4D379A"/>
    <w:rsid w:val="1B612DA1"/>
    <w:rsid w:val="1B6F2A95"/>
    <w:rsid w:val="1B7011A6"/>
    <w:rsid w:val="1B894395"/>
    <w:rsid w:val="1BC84BF9"/>
    <w:rsid w:val="1BDD4B1E"/>
    <w:rsid w:val="1BE008E5"/>
    <w:rsid w:val="1BE426E0"/>
    <w:rsid w:val="1BEF5EDC"/>
    <w:rsid w:val="1BF3045F"/>
    <w:rsid w:val="1C171374"/>
    <w:rsid w:val="1C324768"/>
    <w:rsid w:val="1C383244"/>
    <w:rsid w:val="1C4928ED"/>
    <w:rsid w:val="1C706707"/>
    <w:rsid w:val="1C881C55"/>
    <w:rsid w:val="1C8C6E3B"/>
    <w:rsid w:val="1C8F4549"/>
    <w:rsid w:val="1C9B1094"/>
    <w:rsid w:val="1C9D7829"/>
    <w:rsid w:val="1CA25487"/>
    <w:rsid w:val="1CC01D49"/>
    <w:rsid w:val="1CCB706C"/>
    <w:rsid w:val="1CD36541"/>
    <w:rsid w:val="1CD53375"/>
    <w:rsid w:val="1CD770E1"/>
    <w:rsid w:val="1CDF3C35"/>
    <w:rsid w:val="1CDF48C5"/>
    <w:rsid w:val="1CED64E7"/>
    <w:rsid w:val="1CF10155"/>
    <w:rsid w:val="1CF655C7"/>
    <w:rsid w:val="1CF70CE3"/>
    <w:rsid w:val="1D083787"/>
    <w:rsid w:val="1D0E4D1B"/>
    <w:rsid w:val="1D1B1576"/>
    <w:rsid w:val="1D201166"/>
    <w:rsid w:val="1D235D75"/>
    <w:rsid w:val="1D5A4782"/>
    <w:rsid w:val="1D623037"/>
    <w:rsid w:val="1D660B43"/>
    <w:rsid w:val="1D672CB3"/>
    <w:rsid w:val="1D7C0925"/>
    <w:rsid w:val="1D817975"/>
    <w:rsid w:val="1D951979"/>
    <w:rsid w:val="1DAF110E"/>
    <w:rsid w:val="1DB61054"/>
    <w:rsid w:val="1DC835AB"/>
    <w:rsid w:val="1DC94431"/>
    <w:rsid w:val="1DD41F50"/>
    <w:rsid w:val="1DF7725D"/>
    <w:rsid w:val="1DFC3255"/>
    <w:rsid w:val="1DFD14A7"/>
    <w:rsid w:val="1E107489"/>
    <w:rsid w:val="1E120047"/>
    <w:rsid w:val="1E2456FC"/>
    <w:rsid w:val="1E387717"/>
    <w:rsid w:val="1E426EBA"/>
    <w:rsid w:val="1E5227F5"/>
    <w:rsid w:val="1E5B1486"/>
    <w:rsid w:val="1E6037E4"/>
    <w:rsid w:val="1E6C2CB1"/>
    <w:rsid w:val="1E86604F"/>
    <w:rsid w:val="1E8B2478"/>
    <w:rsid w:val="1EA55F87"/>
    <w:rsid w:val="1EB06519"/>
    <w:rsid w:val="1EBB4C20"/>
    <w:rsid w:val="1EC57AB3"/>
    <w:rsid w:val="1ECE40F1"/>
    <w:rsid w:val="1EEE7042"/>
    <w:rsid w:val="1EEF2C2E"/>
    <w:rsid w:val="1EF87EC0"/>
    <w:rsid w:val="1EF93282"/>
    <w:rsid w:val="1EFC05DA"/>
    <w:rsid w:val="1F242409"/>
    <w:rsid w:val="1F260691"/>
    <w:rsid w:val="1F274302"/>
    <w:rsid w:val="1F2F1476"/>
    <w:rsid w:val="1F342CDC"/>
    <w:rsid w:val="1F364345"/>
    <w:rsid w:val="1F3C055E"/>
    <w:rsid w:val="1F3F5AEF"/>
    <w:rsid w:val="1F5350F7"/>
    <w:rsid w:val="1F5838AB"/>
    <w:rsid w:val="1F65551D"/>
    <w:rsid w:val="1F721347"/>
    <w:rsid w:val="1F724421"/>
    <w:rsid w:val="1F8B39C7"/>
    <w:rsid w:val="1F925C1F"/>
    <w:rsid w:val="1FA17CC2"/>
    <w:rsid w:val="1FAE057F"/>
    <w:rsid w:val="1FB77434"/>
    <w:rsid w:val="1FCB1131"/>
    <w:rsid w:val="1FD866E0"/>
    <w:rsid w:val="1FEA282E"/>
    <w:rsid w:val="1FF73CD4"/>
    <w:rsid w:val="1FF92872"/>
    <w:rsid w:val="1FFE4976"/>
    <w:rsid w:val="20054643"/>
    <w:rsid w:val="200945DD"/>
    <w:rsid w:val="200B03E4"/>
    <w:rsid w:val="200E293D"/>
    <w:rsid w:val="201802D4"/>
    <w:rsid w:val="20362A4E"/>
    <w:rsid w:val="2043516B"/>
    <w:rsid w:val="204A1446"/>
    <w:rsid w:val="20571955"/>
    <w:rsid w:val="20594713"/>
    <w:rsid w:val="20632091"/>
    <w:rsid w:val="20834EBA"/>
    <w:rsid w:val="20900DEF"/>
    <w:rsid w:val="209B6228"/>
    <w:rsid w:val="20B61DE1"/>
    <w:rsid w:val="20CA13E8"/>
    <w:rsid w:val="20CA3D8E"/>
    <w:rsid w:val="20D245C5"/>
    <w:rsid w:val="20E47858"/>
    <w:rsid w:val="20EE2134"/>
    <w:rsid w:val="20F375E8"/>
    <w:rsid w:val="20F544F1"/>
    <w:rsid w:val="211508B6"/>
    <w:rsid w:val="21182154"/>
    <w:rsid w:val="21206CAA"/>
    <w:rsid w:val="213F3B84"/>
    <w:rsid w:val="2148186B"/>
    <w:rsid w:val="21776D10"/>
    <w:rsid w:val="218F0CEB"/>
    <w:rsid w:val="21A47E8B"/>
    <w:rsid w:val="21B52099"/>
    <w:rsid w:val="21EA64FE"/>
    <w:rsid w:val="223236E9"/>
    <w:rsid w:val="223F0861"/>
    <w:rsid w:val="224A27E1"/>
    <w:rsid w:val="224D407F"/>
    <w:rsid w:val="22543660"/>
    <w:rsid w:val="225F78FB"/>
    <w:rsid w:val="227347E3"/>
    <w:rsid w:val="227D4749"/>
    <w:rsid w:val="22B66C67"/>
    <w:rsid w:val="22B96619"/>
    <w:rsid w:val="22C34214"/>
    <w:rsid w:val="22C9349D"/>
    <w:rsid w:val="22CF4CB9"/>
    <w:rsid w:val="22E5714F"/>
    <w:rsid w:val="23073234"/>
    <w:rsid w:val="23153D35"/>
    <w:rsid w:val="231859C4"/>
    <w:rsid w:val="233651B2"/>
    <w:rsid w:val="233C5C01"/>
    <w:rsid w:val="23655593"/>
    <w:rsid w:val="23873CA0"/>
    <w:rsid w:val="23A668C2"/>
    <w:rsid w:val="23B5012E"/>
    <w:rsid w:val="23C6058D"/>
    <w:rsid w:val="23CC2CE3"/>
    <w:rsid w:val="23E97DD8"/>
    <w:rsid w:val="23F81D1C"/>
    <w:rsid w:val="24004EF0"/>
    <w:rsid w:val="242552B4"/>
    <w:rsid w:val="242D23BA"/>
    <w:rsid w:val="24361C71"/>
    <w:rsid w:val="245222E6"/>
    <w:rsid w:val="2455798C"/>
    <w:rsid w:val="246851A0"/>
    <w:rsid w:val="246E4FE1"/>
    <w:rsid w:val="247771B1"/>
    <w:rsid w:val="24797436"/>
    <w:rsid w:val="24893698"/>
    <w:rsid w:val="248A0DA1"/>
    <w:rsid w:val="248B0DC9"/>
    <w:rsid w:val="24AC7248"/>
    <w:rsid w:val="24B228BF"/>
    <w:rsid w:val="24DE364C"/>
    <w:rsid w:val="24EF440E"/>
    <w:rsid w:val="25007ACF"/>
    <w:rsid w:val="25076767"/>
    <w:rsid w:val="25191A92"/>
    <w:rsid w:val="25290357"/>
    <w:rsid w:val="253C3B25"/>
    <w:rsid w:val="25513E86"/>
    <w:rsid w:val="255F5B0A"/>
    <w:rsid w:val="25664EB1"/>
    <w:rsid w:val="257302A1"/>
    <w:rsid w:val="2573629D"/>
    <w:rsid w:val="257B7E43"/>
    <w:rsid w:val="25A7022D"/>
    <w:rsid w:val="25C32FD6"/>
    <w:rsid w:val="25C603D0"/>
    <w:rsid w:val="25E1520A"/>
    <w:rsid w:val="25E2513A"/>
    <w:rsid w:val="25F45922"/>
    <w:rsid w:val="25FD2F48"/>
    <w:rsid w:val="261E645E"/>
    <w:rsid w:val="262E21CA"/>
    <w:rsid w:val="26713F63"/>
    <w:rsid w:val="26753166"/>
    <w:rsid w:val="267B561B"/>
    <w:rsid w:val="267C5A99"/>
    <w:rsid w:val="2682148D"/>
    <w:rsid w:val="268D22B5"/>
    <w:rsid w:val="269240CC"/>
    <w:rsid w:val="269A47B4"/>
    <w:rsid w:val="269E759F"/>
    <w:rsid w:val="26A526DC"/>
    <w:rsid w:val="26A5448A"/>
    <w:rsid w:val="26BF5BA2"/>
    <w:rsid w:val="26CB1A16"/>
    <w:rsid w:val="26EC7F5B"/>
    <w:rsid w:val="27016CF5"/>
    <w:rsid w:val="27175BDC"/>
    <w:rsid w:val="271B299E"/>
    <w:rsid w:val="271E071C"/>
    <w:rsid w:val="272B00CD"/>
    <w:rsid w:val="27381EB7"/>
    <w:rsid w:val="275E5E47"/>
    <w:rsid w:val="276C4FA7"/>
    <w:rsid w:val="27924AA1"/>
    <w:rsid w:val="27942BC4"/>
    <w:rsid w:val="27962E21"/>
    <w:rsid w:val="279768B3"/>
    <w:rsid w:val="279A19EA"/>
    <w:rsid w:val="27B169B4"/>
    <w:rsid w:val="27B21745"/>
    <w:rsid w:val="27B32BD6"/>
    <w:rsid w:val="27B911ED"/>
    <w:rsid w:val="27D27F60"/>
    <w:rsid w:val="27E744FA"/>
    <w:rsid w:val="27F83B89"/>
    <w:rsid w:val="27FE146D"/>
    <w:rsid w:val="28037CCB"/>
    <w:rsid w:val="28321D4D"/>
    <w:rsid w:val="283E36E3"/>
    <w:rsid w:val="283F446A"/>
    <w:rsid w:val="284675E2"/>
    <w:rsid w:val="284E0B22"/>
    <w:rsid w:val="28543497"/>
    <w:rsid w:val="28630B61"/>
    <w:rsid w:val="286C012F"/>
    <w:rsid w:val="286E4D4F"/>
    <w:rsid w:val="289B5942"/>
    <w:rsid w:val="28B77612"/>
    <w:rsid w:val="28BB465F"/>
    <w:rsid w:val="28D728F5"/>
    <w:rsid w:val="28E55011"/>
    <w:rsid w:val="28F25980"/>
    <w:rsid w:val="29012269"/>
    <w:rsid w:val="291451AB"/>
    <w:rsid w:val="29157417"/>
    <w:rsid w:val="29285E0F"/>
    <w:rsid w:val="294477FD"/>
    <w:rsid w:val="2947617E"/>
    <w:rsid w:val="29505C1F"/>
    <w:rsid w:val="296323DA"/>
    <w:rsid w:val="297158AB"/>
    <w:rsid w:val="29807966"/>
    <w:rsid w:val="299D065B"/>
    <w:rsid w:val="29B50FF4"/>
    <w:rsid w:val="29C02FCD"/>
    <w:rsid w:val="29C63807"/>
    <w:rsid w:val="29EB45D3"/>
    <w:rsid w:val="2A0312F6"/>
    <w:rsid w:val="2A07685B"/>
    <w:rsid w:val="2A0A72B2"/>
    <w:rsid w:val="2A102562"/>
    <w:rsid w:val="2A125E2D"/>
    <w:rsid w:val="2A2569D8"/>
    <w:rsid w:val="2A2F7528"/>
    <w:rsid w:val="2A3E46F3"/>
    <w:rsid w:val="2A5F36CE"/>
    <w:rsid w:val="2A613F70"/>
    <w:rsid w:val="2A7975D0"/>
    <w:rsid w:val="2A7B46D0"/>
    <w:rsid w:val="2A7E694A"/>
    <w:rsid w:val="2A88405F"/>
    <w:rsid w:val="2AB54EB7"/>
    <w:rsid w:val="2AC03F74"/>
    <w:rsid w:val="2AC86999"/>
    <w:rsid w:val="2ACD4D90"/>
    <w:rsid w:val="2ADC43C4"/>
    <w:rsid w:val="2AE07B98"/>
    <w:rsid w:val="2AE337D3"/>
    <w:rsid w:val="2B1B36C2"/>
    <w:rsid w:val="2B3C1AAA"/>
    <w:rsid w:val="2B77216D"/>
    <w:rsid w:val="2B7A42C1"/>
    <w:rsid w:val="2B82668D"/>
    <w:rsid w:val="2B8C19B3"/>
    <w:rsid w:val="2B9A7EB4"/>
    <w:rsid w:val="2BB8407D"/>
    <w:rsid w:val="2BBE24DE"/>
    <w:rsid w:val="2BBF0C02"/>
    <w:rsid w:val="2BDD28EB"/>
    <w:rsid w:val="2BE5357A"/>
    <w:rsid w:val="2BEC66B7"/>
    <w:rsid w:val="2BF43094"/>
    <w:rsid w:val="2BF909AA"/>
    <w:rsid w:val="2BFC0D12"/>
    <w:rsid w:val="2C016606"/>
    <w:rsid w:val="2C0757B7"/>
    <w:rsid w:val="2C153E60"/>
    <w:rsid w:val="2C1E422F"/>
    <w:rsid w:val="2C3818FC"/>
    <w:rsid w:val="2C5950A4"/>
    <w:rsid w:val="2C660130"/>
    <w:rsid w:val="2C73502A"/>
    <w:rsid w:val="2CB9711D"/>
    <w:rsid w:val="2CEA52EC"/>
    <w:rsid w:val="2CF3363A"/>
    <w:rsid w:val="2D000C25"/>
    <w:rsid w:val="2D0F4DB4"/>
    <w:rsid w:val="2D2D36A5"/>
    <w:rsid w:val="2D365B16"/>
    <w:rsid w:val="2D4B38B1"/>
    <w:rsid w:val="2D5646DC"/>
    <w:rsid w:val="2D584691"/>
    <w:rsid w:val="2D6D2070"/>
    <w:rsid w:val="2D9D0838"/>
    <w:rsid w:val="2D9E1C33"/>
    <w:rsid w:val="2DB652A4"/>
    <w:rsid w:val="2DB943B8"/>
    <w:rsid w:val="2DBB2419"/>
    <w:rsid w:val="2DBF7001"/>
    <w:rsid w:val="2DC26166"/>
    <w:rsid w:val="2DD13DB6"/>
    <w:rsid w:val="2DD903A8"/>
    <w:rsid w:val="2DEA2F76"/>
    <w:rsid w:val="2DF041FF"/>
    <w:rsid w:val="2DF76E1B"/>
    <w:rsid w:val="2DFD2DFD"/>
    <w:rsid w:val="2E10357E"/>
    <w:rsid w:val="2E177A17"/>
    <w:rsid w:val="2E1B30B3"/>
    <w:rsid w:val="2E310CF9"/>
    <w:rsid w:val="2E3E487D"/>
    <w:rsid w:val="2E41360C"/>
    <w:rsid w:val="2E450300"/>
    <w:rsid w:val="2E607FBE"/>
    <w:rsid w:val="2E615CAF"/>
    <w:rsid w:val="2E64456A"/>
    <w:rsid w:val="2E7264C5"/>
    <w:rsid w:val="2E7653DE"/>
    <w:rsid w:val="2E842882"/>
    <w:rsid w:val="2E8C6A3D"/>
    <w:rsid w:val="2EB508B8"/>
    <w:rsid w:val="2ED71BB4"/>
    <w:rsid w:val="2EF47A31"/>
    <w:rsid w:val="2F04472C"/>
    <w:rsid w:val="2F066396"/>
    <w:rsid w:val="2F2220C8"/>
    <w:rsid w:val="2F2655A5"/>
    <w:rsid w:val="2F30138F"/>
    <w:rsid w:val="2F5628C1"/>
    <w:rsid w:val="2F666780"/>
    <w:rsid w:val="2F6C2646"/>
    <w:rsid w:val="2F715851"/>
    <w:rsid w:val="2F81781A"/>
    <w:rsid w:val="2F8310E0"/>
    <w:rsid w:val="2FBA6AB0"/>
    <w:rsid w:val="2FDA5233"/>
    <w:rsid w:val="30186987"/>
    <w:rsid w:val="30383160"/>
    <w:rsid w:val="30396B3B"/>
    <w:rsid w:val="303D3D8D"/>
    <w:rsid w:val="30410449"/>
    <w:rsid w:val="304B34C7"/>
    <w:rsid w:val="304C3BC8"/>
    <w:rsid w:val="306F3884"/>
    <w:rsid w:val="30817D16"/>
    <w:rsid w:val="308C6F5A"/>
    <w:rsid w:val="3095731D"/>
    <w:rsid w:val="30977539"/>
    <w:rsid w:val="30AE1C64"/>
    <w:rsid w:val="30B73737"/>
    <w:rsid w:val="30C65728"/>
    <w:rsid w:val="30D06AF0"/>
    <w:rsid w:val="30DC1248"/>
    <w:rsid w:val="30E16401"/>
    <w:rsid w:val="30F229C1"/>
    <w:rsid w:val="30F93D50"/>
    <w:rsid w:val="310149B3"/>
    <w:rsid w:val="31175F84"/>
    <w:rsid w:val="313C3C3D"/>
    <w:rsid w:val="31405015"/>
    <w:rsid w:val="31537EEC"/>
    <w:rsid w:val="31591892"/>
    <w:rsid w:val="316F0F32"/>
    <w:rsid w:val="31736100"/>
    <w:rsid w:val="31750446"/>
    <w:rsid w:val="31773981"/>
    <w:rsid w:val="318F234F"/>
    <w:rsid w:val="319C6FC9"/>
    <w:rsid w:val="3205097C"/>
    <w:rsid w:val="3219245E"/>
    <w:rsid w:val="323677EC"/>
    <w:rsid w:val="323827BE"/>
    <w:rsid w:val="32495754"/>
    <w:rsid w:val="32541D1E"/>
    <w:rsid w:val="32601BAD"/>
    <w:rsid w:val="32605AA8"/>
    <w:rsid w:val="32615E04"/>
    <w:rsid w:val="326849A2"/>
    <w:rsid w:val="326B0F6E"/>
    <w:rsid w:val="327B69E7"/>
    <w:rsid w:val="328126D8"/>
    <w:rsid w:val="3284589B"/>
    <w:rsid w:val="32847649"/>
    <w:rsid w:val="32A04DB4"/>
    <w:rsid w:val="32BB4137"/>
    <w:rsid w:val="32C57C62"/>
    <w:rsid w:val="32D07FAA"/>
    <w:rsid w:val="32DE0BF1"/>
    <w:rsid w:val="32E158F1"/>
    <w:rsid w:val="33031007"/>
    <w:rsid w:val="330A1B9B"/>
    <w:rsid w:val="331C3D26"/>
    <w:rsid w:val="33341058"/>
    <w:rsid w:val="333472C1"/>
    <w:rsid w:val="33501C21"/>
    <w:rsid w:val="3361588C"/>
    <w:rsid w:val="33797999"/>
    <w:rsid w:val="338032CF"/>
    <w:rsid w:val="339F17B8"/>
    <w:rsid w:val="339F3BDD"/>
    <w:rsid w:val="33A9773C"/>
    <w:rsid w:val="33BE302F"/>
    <w:rsid w:val="33CE4708"/>
    <w:rsid w:val="33D00CCC"/>
    <w:rsid w:val="33E93AE7"/>
    <w:rsid w:val="33FB47B2"/>
    <w:rsid w:val="33FE062C"/>
    <w:rsid w:val="34000F51"/>
    <w:rsid w:val="34056B2D"/>
    <w:rsid w:val="340D123D"/>
    <w:rsid w:val="340D402A"/>
    <w:rsid w:val="34117F4A"/>
    <w:rsid w:val="34157A69"/>
    <w:rsid w:val="342F04EE"/>
    <w:rsid w:val="343278F3"/>
    <w:rsid w:val="343773FE"/>
    <w:rsid w:val="344352BB"/>
    <w:rsid w:val="34565015"/>
    <w:rsid w:val="345F13D2"/>
    <w:rsid w:val="346614E2"/>
    <w:rsid w:val="346F44E7"/>
    <w:rsid w:val="3477121B"/>
    <w:rsid w:val="34833930"/>
    <w:rsid w:val="348576A9"/>
    <w:rsid w:val="34880F47"/>
    <w:rsid w:val="34C33940"/>
    <w:rsid w:val="34CE5612"/>
    <w:rsid w:val="34CF786E"/>
    <w:rsid w:val="34D67F04"/>
    <w:rsid w:val="34DA288E"/>
    <w:rsid w:val="34E07C21"/>
    <w:rsid w:val="34E11C57"/>
    <w:rsid w:val="34E43EEA"/>
    <w:rsid w:val="34F47C15"/>
    <w:rsid w:val="34F540BD"/>
    <w:rsid w:val="34FF3C2C"/>
    <w:rsid w:val="35063B46"/>
    <w:rsid w:val="35095EB0"/>
    <w:rsid w:val="351C3CD0"/>
    <w:rsid w:val="352F1E92"/>
    <w:rsid w:val="353763F9"/>
    <w:rsid w:val="353C79F3"/>
    <w:rsid w:val="353F5F9A"/>
    <w:rsid w:val="35600779"/>
    <w:rsid w:val="35657FED"/>
    <w:rsid w:val="35976ED7"/>
    <w:rsid w:val="35977693"/>
    <w:rsid w:val="35980087"/>
    <w:rsid w:val="35B84DAB"/>
    <w:rsid w:val="35C52894"/>
    <w:rsid w:val="35D07049"/>
    <w:rsid w:val="35F036ED"/>
    <w:rsid w:val="35FB5BA7"/>
    <w:rsid w:val="36021E5F"/>
    <w:rsid w:val="36327AC4"/>
    <w:rsid w:val="3634601F"/>
    <w:rsid w:val="36496AF6"/>
    <w:rsid w:val="36547421"/>
    <w:rsid w:val="365E6403"/>
    <w:rsid w:val="367251E5"/>
    <w:rsid w:val="36826596"/>
    <w:rsid w:val="36903B9D"/>
    <w:rsid w:val="369736C3"/>
    <w:rsid w:val="36C301B0"/>
    <w:rsid w:val="36C40C39"/>
    <w:rsid w:val="36C95739"/>
    <w:rsid w:val="36D6243D"/>
    <w:rsid w:val="36DE6128"/>
    <w:rsid w:val="36DE6652"/>
    <w:rsid w:val="36F01751"/>
    <w:rsid w:val="36FD0B04"/>
    <w:rsid w:val="370275A1"/>
    <w:rsid w:val="3709636F"/>
    <w:rsid w:val="370C2D55"/>
    <w:rsid w:val="370E7E29"/>
    <w:rsid w:val="37215DAE"/>
    <w:rsid w:val="372633C5"/>
    <w:rsid w:val="372F7F54"/>
    <w:rsid w:val="37425D25"/>
    <w:rsid w:val="374754B1"/>
    <w:rsid w:val="374E45F3"/>
    <w:rsid w:val="37624933"/>
    <w:rsid w:val="37710FF7"/>
    <w:rsid w:val="377870D5"/>
    <w:rsid w:val="378C7B63"/>
    <w:rsid w:val="37C01AB5"/>
    <w:rsid w:val="37C357B7"/>
    <w:rsid w:val="37C8480D"/>
    <w:rsid w:val="38107733"/>
    <w:rsid w:val="38156F95"/>
    <w:rsid w:val="38246750"/>
    <w:rsid w:val="382A0C93"/>
    <w:rsid w:val="382E7411"/>
    <w:rsid w:val="38552071"/>
    <w:rsid w:val="385F25BB"/>
    <w:rsid w:val="386609E8"/>
    <w:rsid w:val="387B2A25"/>
    <w:rsid w:val="38A0575D"/>
    <w:rsid w:val="38A14437"/>
    <w:rsid w:val="38AC16A8"/>
    <w:rsid w:val="38B577A9"/>
    <w:rsid w:val="38B74C05"/>
    <w:rsid w:val="38CC421D"/>
    <w:rsid w:val="38D16635"/>
    <w:rsid w:val="38D373E7"/>
    <w:rsid w:val="38FA57F0"/>
    <w:rsid w:val="3936186D"/>
    <w:rsid w:val="395104A1"/>
    <w:rsid w:val="39514E0B"/>
    <w:rsid w:val="39566F53"/>
    <w:rsid w:val="395941C6"/>
    <w:rsid w:val="39693A3D"/>
    <w:rsid w:val="397905D6"/>
    <w:rsid w:val="39864DE3"/>
    <w:rsid w:val="39976270"/>
    <w:rsid w:val="399C32F4"/>
    <w:rsid w:val="399D5638"/>
    <w:rsid w:val="39B41C18"/>
    <w:rsid w:val="39B653E7"/>
    <w:rsid w:val="39C538F9"/>
    <w:rsid w:val="39CF5727"/>
    <w:rsid w:val="39D210D0"/>
    <w:rsid w:val="39D31839"/>
    <w:rsid w:val="39D7425E"/>
    <w:rsid w:val="39F2758E"/>
    <w:rsid w:val="39F82FB1"/>
    <w:rsid w:val="3A086DB2"/>
    <w:rsid w:val="3A1C273B"/>
    <w:rsid w:val="3A255D6F"/>
    <w:rsid w:val="3A291776"/>
    <w:rsid w:val="3A2B2AA0"/>
    <w:rsid w:val="3A30455A"/>
    <w:rsid w:val="3A43382A"/>
    <w:rsid w:val="3A51108A"/>
    <w:rsid w:val="3A5C534F"/>
    <w:rsid w:val="3A604CCB"/>
    <w:rsid w:val="3A667F7C"/>
    <w:rsid w:val="3A6711EA"/>
    <w:rsid w:val="3A6B021B"/>
    <w:rsid w:val="3A6C27C7"/>
    <w:rsid w:val="3A7D77A0"/>
    <w:rsid w:val="3A7E7CFE"/>
    <w:rsid w:val="3A95616C"/>
    <w:rsid w:val="3AB03D58"/>
    <w:rsid w:val="3AC0143A"/>
    <w:rsid w:val="3AE72E6B"/>
    <w:rsid w:val="3AF31112"/>
    <w:rsid w:val="3AF71C4F"/>
    <w:rsid w:val="3B0C28E2"/>
    <w:rsid w:val="3B325752"/>
    <w:rsid w:val="3B4113F9"/>
    <w:rsid w:val="3B4503AF"/>
    <w:rsid w:val="3B4B164C"/>
    <w:rsid w:val="3B4C0F20"/>
    <w:rsid w:val="3B4F0A10"/>
    <w:rsid w:val="3B5E513D"/>
    <w:rsid w:val="3B6E2308"/>
    <w:rsid w:val="3B700B9E"/>
    <w:rsid w:val="3B7A70C3"/>
    <w:rsid w:val="3B8C568A"/>
    <w:rsid w:val="3B8C6B52"/>
    <w:rsid w:val="3B9265F7"/>
    <w:rsid w:val="3BB36501"/>
    <w:rsid w:val="3BC10F8A"/>
    <w:rsid w:val="3BCA0430"/>
    <w:rsid w:val="3BD66A3C"/>
    <w:rsid w:val="3BDC3F68"/>
    <w:rsid w:val="3BDD601C"/>
    <w:rsid w:val="3BE21884"/>
    <w:rsid w:val="3C0D7BA2"/>
    <w:rsid w:val="3C1464E6"/>
    <w:rsid w:val="3C1F3B0A"/>
    <w:rsid w:val="3C2F5079"/>
    <w:rsid w:val="3C3814A4"/>
    <w:rsid w:val="3C3D7460"/>
    <w:rsid w:val="3C616C4D"/>
    <w:rsid w:val="3C6248AD"/>
    <w:rsid w:val="3C820BF8"/>
    <w:rsid w:val="3C9A772E"/>
    <w:rsid w:val="3CB974FB"/>
    <w:rsid w:val="3CD16A6C"/>
    <w:rsid w:val="3CFF2A56"/>
    <w:rsid w:val="3D083C3D"/>
    <w:rsid w:val="3D0F0BF5"/>
    <w:rsid w:val="3D254DA7"/>
    <w:rsid w:val="3D31435C"/>
    <w:rsid w:val="3D367754"/>
    <w:rsid w:val="3D4D01FD"/>
    <w:rsid w:val="3D8116F1"/>
    <w:rsid w:val="3D842DB5"/>
    <w:rsid w:val="3D927E3F"/>
    <w:rsid w:val="3DB41B96"/>
    <w:rsid w:val="3DD76D85"/>
    <w:rsid w:val="3DD83ABF"/>
    <w:rsid w:val="3DD86A9B"/>
    <w:rsid w:val="3DDA437C"/>
    <w:rsid w:val="3DEE4511"/>
    <w:rsid w:val="3DF461A3"/>
    <w:rsid w:val="3E03072B"/>
    <w:rsid w:val="3E0B6234"/>
    <w:rsid w:val="3E0C4997"/>
    <w:rsid w:val="3E1516BF"/>
    <w:rsid w:val="3E201151"/>
    <w:rsid w:val="3E54572C"/>
    <w:rsid w:val="3E600BB4"/>
    <w:rsid w:val="3E704F26"/>
    <w:rsid w:val="3E726EF0"/>
    <w:rsid w:val="3E8A2129"/>
    <w:rsid w:val="3E8C3990"/>
    <w:rsid w:val="3EA90437"/>
    <w:rsid w:val="3EC534C3"/>
    <w:rsid w:val="3EDA4D3F"/>
    <w:rsid w:val="3F0B745A"/>
    <w:rsid w:val="3F1708AB"/>
    <w:rsid w:val="3F8A0269"/>
    <w:rsid w:val="3F8A3D39"/>
    <w:rsid w:val="3F8D0174"/>
    <w:rsid w:val="3F95226A"/>
    <w:rsid w:val="3F987717"/>
    <w:rsid w:val="3FD23300"/>
    <w:rsid w:val="3FF47042"/>
    <w:rsid w:val="3FF54785"/>
    <w:rsid w:val="3FFC0AB7"/>
    <w:rsid w:val="3FFF0B26"/>
    <w:rsid w:val="4001677D"/>
    <w:rsid w:val="400445D6"/>
    <w:rsid w:val="4015659C"/>
    <w:rsid w:val="401D268F"/>
    <w:rsid w:val="40271F5C"/>
    <w:rsid w:val="403D5DB4"/>
    <w:rsid w:val="40444047"/>
    <w:rsid w:val="40452250"/>
    <w:rsid w:val="40501155"/>
    <w:rsid w:val="405229A9"/>
    <w:rsid w:val="40534AFF"/>
    <w:rsid w:val="406D3E12"/>
    <w:rsid w:val="408175F7"/>
    <w:rsid w:val="40955117"/>
    <w:rsid w:val="409E45E2"/>
    <w:rsid w:val="40A52125"/>
    <w:rsid w:val="40AE436A"/>
    <w:rsid w:val="40B61FF8"/>
    <w:rsid w:val="40C7171A"/>
    <w:rsid w:val="40D724A1"/>
    <w:rsid w:val="40E72D37"/>
    <w:rsid w:val="40E8793D"/>
    <w:rsid w:val="40EF4827"/>
    <w:rsid w:val="4114603C"/>
    <w:rsid w:val="413E57AF"/>
    <w:rsid w:val="415A1391"/>
    <w:rsid w:val="415E5B0A"/>
    <w:rsid w:val="41801923"/>
    <w:rsid w:val="41965A41"/>
    <w:rsid w:val="41970D49"/>
    <w:rsid w:val="41A25D3E"/>
    <w:rsid w:val="41B92A4F"/>
    <w:rsid w:val="41C964B4"/>
    <w:rsid w:val="41D13F2D"/>
    <w:rsid w:val="41D517BE"/>
    <w:rsid w:val="41D5429B"/>
    <w:rsid w:val="41F92ABD"/>
    <w:rsid w:val="41FC1B6A"/>
    <w:rsid w:val="42332E3A"/>
    <w:rsid w:val="423C4D26"/>
    <w:rsid w:val="42416CF7"/>
    <w:rsid w:val="424D1C7F"/>
    <w:rsid w:val="425846A6"/>
    <w:rsid w:val="426137A1"/>
    <w:rsid w:val="42624E34"/>
    <w:rsid w:val="427F218F"/>
    <w:rsid w:val="42840AD6"/>
    <w:rsid w:val="42870A90"/>
    <w:rsid w:val="428B63CF"/>
    <w:rsid w:val="42AF67D0"/>
    <w:rsid w:val="42BC0E70"/>
    <w:rsid w:val="42C245CE"/>
    <w:rsid w:val="42C35F6C"/>
    <w:rsid w:val="42CE53D3"/>
    <w:rsid w:val="42CF6F4F"/>
    <w:rsid w:val="42DD0E52"/>
    <w:rsid w:val="42F25C9A"/>
    <w:rsid w:val="43055AE1"/>
    <w:rsid w:val="430976F7"/>
    <w:rsid w:val="431A0C24"/>
    <w:rsid w:val="43284021"/>
    <w:rsid w:val="432D1637"/>
    <w:rsid w:val="434E1C20"/>
    <w:rsid w:val="43620283"/>
    <w:rsid w:val="4363286E"/>
    <w:rsid w:val="437101AA"/>
    <w:rsid w:val="43741014"/>
    <w:rsid w:val="43A73BE3"/>
    <w:rsid w:val="43AE7A7E"/>
    <w:rsid w:val="43B01826"/>
    <w:rsid w:val="43C7383A"/>
    <w:rsid w:val="43CA157C"/>
    <w:rsid w:val="43CF502D"/>
    <w:rsid w:val="43E8521C"/>
    <w:rsid w:val="43FD36FF"/>
    <w:rsid w:val="440B02B4"/>
    <w:rsid w:val="441C5080"/>
    <w:rsid w:val="44233849"/>
    <w:rsid w:val="44496945"/>
    <w:rsid w:val="446B500C"/>
    <w:rsid w:val="448508DF"/>
    <w:rsid w:val="44BF18A2"/>
    <w:rsid w:val="44CF71AB"/>
    <w:rsid w:val="44E23735"/>
    <w:rsid w:val="44E67CEF"/>
    <w:rsid w:val="44EA77F7"/>
    <w:rsid w:val="4517434D"/>
    <w:rsid w:val="45357785"/>
    <w:rsid w:val="45387766"/>
    <w:rsid w:val="453A760F"/>
    <w:rsid w:val="45491A3E"/>
    <w:rsid w:val="45503B28"/>
    <w:rsid w:val="45853082"/>
    <w:rsid w:val="45857508"/>
    <w:rsid w:val="45891F3C"/>
    <w:rsid w:val="4590274A"/>
    <w:rsid w:val="45905EAD"/>
    <w:rsid w:val="45A32084"/>
    <w:rsid w:val="45A8769B"/>
    <w:rsid w:val="45C344D5"/>
    <w:rsid w:val="45C864B7"/>
    <w:rsid w:val="45ED50AE"/>
    <w:rsid w:val="45FD0891"/>
    <w:rsid w:val="46185D52"/>
    <w:rsid w:val="46192347"/>
    <w:rsid w:val="46252A99"/>
    <w:rsid w:val="462C285E"/>
    <w:rsid w:val="4639249F"/>
    <w:rsid w:val="463A0304"/>
    <w:rsid w:val="464A4975"/>
    <w:rsid w:val="465670F7"/>
    <w:rsid w:val="4665558C"/>
    <w:rsid w:val="467C2D95"/>
    <w:rsid w:val="468477C0"/>
    <w:rsid w:val="4689127A"/>
    <w:rsid w:val="4695468D"/>
    <w:rsid w:val="469A6A31"/>
    <w:rsid w:val="46C73B51"/>
    <w:rsid w:val="46CA3A9F"/>
    <w:rsid w:val="46D83FB0"/>
    <w:rsid w:val="46F25071"/>
    <w:rsid w:val="471553B4"/>
    <w:rsid w:val="471E6457"/>
    <w:rsid w:val="471F398D"/>
    <w:rsid w:val="47232D85"/>
    <w:rsid w:val="475F6267"/>
    <w:rsid w:val="4760207C"/>
    <w:rsid w:val="4766336A"/>
    <w:rsid w:val="47743C9D"/>
    <w:rsid w:val="478657BA"/>
    <w:rsid w:val="478B55A3"/>
    <w:rsid w:val="47906F17"/>
    <w:rsid w:val="479A7A31"/>
    <w:rsid w:val="479B1699"/>
    <w:rsid w:val="47A10846"/>
    <w:rsid w:val="47AF51BF"/>
    <w:rsid w:val="47B81E12"/>
    <w:rsid w:val="47C12FC5"/>
    <w:rsid w:val="47D03B18"/>
    <w:rsid w:val="47DB1D58"/>
    <w:rsid w:val="47ED29D3"/>
    <w:rsid w:val="47EF74A3"/>
    <w:rsid w:val="47F50C9B"/>
    <w:rsid w:val="480C5CBF"/>
    <w:rsid w:val="480F1D14"/>
    <w:rsid w:val="4834394A"/>
    <w:rsid w:val="48390A7E"/>
    <w:rsid w:val="48515DC8"/>
    <w:rsid w:val="48531B40"/>
    <w:rsid w:val="485A65F3"/>
    <w:rsid w:val="48987720"/>
    <w:rsid w:val="489B34E7"/>
    <w:rsid w:val="489D4A92"/>
    <w:rsid w:val="48AA0D47"/>
    <w:rsid w:val="48AB437A"/>
    <w:rsid w:val="48B63E7D"/>
    <w:rsid w:val="48BB5E99"/>
    <w:rsid w:val="48C7608A"/>
    <w:rsid w:val="48E704DA"/>
    <w:rsid w:val="48E709AB"/>
    <w:rsid w:val="48FD1AAC"/>
    <w:rsid w:val="49074129"/>
    <w:rsid w:val="491C4628"/>
    <w:rsid w:val="491E413A"/>
    <w:rsid w:val="492B5D1A"/>
    <w:rsid w:val="49356195"/>
    <w:rsid w:val="493E72F4"/>
    <w:rsid w:val="49477CA3"/>
    <w:rsid w:val="495105E0"/>
    <w:rsid w:val="495530D2"/>
    <w:rsid w:val="495D4FB7"/>
    <w:rsid w:val="495F0F47"/>
    <w:rsid w:val="497F0713"/>
    <w:rsid w:val="49850611"/>
    <w:rsid w:val="49902920"/>
    <w:rsid w:val="499C3073"/>
    <w:rsid w:val="49B4660E"/>
    <w:rsid w:val="49E47F0A"/>
    <w:rsid w:val="4A221E06"/>
    <w:rsid w:val="4A2C05A1"/>
    <w:rsid w:val="4A487A49"/>
    <w:rsid w:val="4A563B69"/>
    <w:rsid w:val="4A661827"/>
    <w:rsid w:val="4A77137D"/>
    <w:rsid w:val="4A995804"/>
    <w:rsid w:val="4A9D3546"/>
    <w:rsid w:val="4AAA5C63"/>
    <w:rsid w:val="4AAC19DB"/>
    <w:rsid w:val="4ABE4002"/>
    <w:rsid w:val="4AD3789D"/>
    <w:rsid w:val="4AE61558"/>
    <w:rsid w:val="4AE629A4"/>
    <w:rsid w:val="4AF93679"/>
    <w:rsid w:val="4B1E0386"/>
    <w:rsid w:val="4B2B6DA4"/>
    <w:rsid w:val="4B327DA5"/>
    <w:rsid w:val="4B483ECE"/>
    <w:rsid w:val="4B4D5DE5"/>
    <w:rsid w:val="4B53713F"/>
    <w:rsid w:val="4B5918B4"/>
    <w:rsid w:val="4B5E178B"/>
    <w:rsid w:val="4B7A3887"/>
    <w:rsid w:val="4B7D53C9"/>
    <w:rsid w:val="4B85293F"/>
    <w:rsid w:val="4B902502"/>
    <w:rsid w:val="4B9B344B"/>
    <w:rsid w:val="4BA44460"/>
    <w:rsid w:val="4BDB55FA"/>
    <w:rsid w:val="4BF70A34"/>
    <w:rsid w:val="4C017B05"/>
    <w:rsid w:val="4C0849EF"/>
    <w:rsid w:val="4C125927"/>
    <w:rsid w:val="4C3A3FC8"/>
    <w:rsid w:val="4C3D55C6"/>
    <w:rsid w:val="4C520360"/>
    <w:rsid w:val="4C583BC9"/>
    <w:rsid w:val="4C667A5B"/>
    <w:rsid w:val="4C823BCA"/>
    <w:rsid w:val="4C8C73CE"/>
    <w:rsid w:val="4C9F1330"/>
    <w:rsid w:val="4CA23096"/>
    <w:rsid w:val="4CAB3457"/>
    <w:rsid w:val="4CAF57B3"/>
    <w:rsid w:val="4CD82614"/>
    <w:rsid w:val="4CEA67EB"/>
    <w:rsid w:val="4CF124C7"/>
    <w:rsid w:val="4CF70170"/>
    <w:rsid w:val="4CF907DC"/>
    <w:rsid w:val="4CFA619E"/>
    <w:rsid w:val="4CFD777A"/>
    <w:rsid w:val="4D043409"/>
    <w:rsid w:val="4D201110"/>
    <w:rsid w:val="4D3431C7"/>
    <w:rsid w:val="4D526F59"/>
    <w:rsid w:val="4D650150"/>
    <w:rsid w:val="4D7F0CE1"/>
    <w:rsid w:val="4D981DA3"/>
    <w:rsid w:val="4D9A5B1B"/>
    <w:rsid w:val="4D9C7AE5"/>
    <w:rsid w:val="4DA229B3"/>
    <w:rsid w:val="4DB35F12"/>
    <w:rsid w:val="4DE03AC2"/>
    <w:rsid w:val="4DEF02BD"/>
    <w:rsid w:val="4DFB0EC4"/>
    <w:rsid w:val="4E0336C0"/>
    <w:rsid w:val="4E0D72D8"/>
    <w:rsid w:val="4E125FF9"/>
    <w:rsid w:val="4E214868"/>
    <w:rsid w:val="4E274307"/>
    <w:rsid w:val="4E383ED6"/>
    <w:rsid w:val="4E3B5C73"/>
    <w:rsid w:val="4E560D60"/>
    <w:rsid w:val="4E564593"/>
    <w:rsid w:val="4E703F51"/>
    <w:rsid w:val="4E802F63"/>
    <w:rsid w:val="4E8A5B90"/>
    <w:rsid w:val="4E942C0A"/>
    <w:rsid w:val="4E98220D"/>
    <w:rsid w:val="4EB7399D"/>
    <w:rsid w:val="4EB96475"/>
    <w:rsid w:val="4EC372F3"/>
    <w:rsid w:val="4ECD2716"/>
    <w:rsid w:val="4ED35788"/>
    <w:rsid w:val="4EE73AF5"/>
    <w:rsid w:val="4EE84EA5"/>
    <w:rsid w:val="4EED7F5E"/>
    <w:rsid w:val="4EEE4AF5"/>
    <w:rsid w:val="4F0B544D"/>
    <w:rsid w:val="4F0C0C9A"/>
    <w:rsid w:val="4F165675"/>
    <w:rsid w:val="4F301FB1"/>
    <w:rsid w:val="4F473A81"/>
    <w:rsid w:val="4F4F7329"/>
    <w:rsid w:val="4F5260B5"/>
    <w:rsid w:val="4F5543EF"/>
    <w:rsid w:val="4F56624C"/>
    <w:rsid w:val="4F58224C"/>
    <w:rsid w:val="4F5A7FFE"/>
    <w:rsid w:val="4F5B752C"/>
    <w:rsid w:val="4F5F701C"/>
    <w:rsid w:val="4F8B2726"/>
    <w:rsid w:val="4F8B4457"/>
    <w:rsid w:val="4FA41146"/>
    <w:rsid w:val="4FA90297"/>
    <w:rsid w:val="4FD80B7D"/>
    <w:rsid w:val="4FDA01F8"/>
    <w:rsid w:val="4FE561E5"/>
    <w:rsid w:val="4FF221C3"/>
    <w:rsid w:val="4FF5172F"/>
    <w:rsid w:val="4FFA0634"/>
    <w:rsid w:val="500032A2"/>
    <w:rsid w:val="504E08AD"/>
    <w:rsid w:val="50575F45"/>
    <w:rsid w:val="505C4D01"/>
    <w:rsid w:val="506F4A92"/>
    <w:rsid w:val="507419FE"/>
    <w:rsid w:val="507C1E50"/>
    <w:rsid w:val="508B1CA1"/>
    <w:rsid w:val="50901457"/>
    <w:rsid w:val="509E5922"/>
    <w:rsid w:val="50A54F03"/>
    <w:rsid w:val="50AA168D"/>
    <w:rsid w:val="50AF4B30"/>
    <w:rsid w:val="50BC5CDC"/>
    <w:rsid w:val="50CA2BBB"/>
    <w:rsid w:val="50E74C38"/>
    <w:rsid w:val="50FC089B"/>
    <w:rsid w:val="50FD0D89"/>
    <w:rsid w:val="51024103"/>
    <w:rsid w:val="51025571"/>
    <w:rsid w:val="51071719"/>
    <w:rsid w:val="510819A0"/>
    <w:rsid w:val="51200E5F"/>
    <w:rsid w:val="5123009E"/>
    <w:rsid w:val="512C2CA7"/>
    <w:rsid w:val="512D289E"/>
    <w:rsid w:val="514152FB"/>
    <w:rsid w:val="51434ED1"/>
    <w:rsid w:val="514D0397"/>
    <w:rsid w:val="51595CED"/>
    <w:rsid w:val="516445A0"/>
    <w:rsid w:val="518956A9"/>
    <w:rsid w:val="521D4F6D"/>
    <w:rsid w:val="523A416D"/>
    <w:rsid w:val="52490C2A"/>
    <w:rsid w:val="5253273C"/>
    <w:rsid w:val="525505B5"/>
    <w:rsid w:val="5261544F"/>
    <w:rsid w:val="529414C0"/>
    <w:rsid w:val="52A01E26"/>
    <w:rsid w:val="52A52223"/>
    <w:rsid w:val="52B97CAE"/>
    <w:rsid w:val="52C504FB"/>
    <w:rsid w:val="52DC6BD6"/>
    <w:rsid w:val="52E13756"/>
    <w:rsid w:val="52E65840"/>
    <w:rsid w:val="52EF5C2D"/>
    <w:rsid w:val="52EF6909"/>
    <w:rsid w:val="52F47582"/>
    <w:rsid w:val="5311687F"/>
    <w:rsid w:val="531E71EE"/>
    <w:rsid w:val="5322283B"/>
    <w:rsid w:val="53230361"/>
    <w:rsid w:val="536270DB"/>
    <w:rsid w:val="5371534A"/>
    <w:rsid w:val="53720C63"/>
    <w:rsid w:val="53764934"/>
    <w:rsid w:val="537700D3"/>
    <w:rsid w:val="537A4622"/>
    <w:rsid w:val="53811681"/>
    <w:rsid w:val="538A520F"/>
    <w:rsid w:val="53933E3F"/>
    <w:rsid w:val="53AC4A7F"/>
    <w:rsid w:val="53B418CC"/>
    <w:rsid w:val="53F32910"/>
    <w:rsid w:val="53F4098D"/>
    <w:rsid w:val="53FC3AD9"/>
    <w:rsid w:val="53FE04C8"/>
    <w:rsid w:val="54206BE2"/>
    <w:rsid w:val="54297BB6"/>
    <w:rsid w:val="542B571F"/>
    <w:rsid w:val="54336DD4"/>
    <w:rsid w:val="543660C2"/>
    <w:rsid w:val="54375971"/>
    <w:rsid w:val="54453F00"/>
    <w:rsid w:val="544D196D"/>
    <w:rsid w:val="54723C7D"/>
    <w:rsid w:val="5478326E"/>
    <w:rsid w:val="547F6951"/>
    <w:rsid w:val="54854CE2"/>
    <w:rsid w:val="548965FC"/>
    <w:rsid w:val="548E5CAE"/>
    <w:rsid w:val="54905064"/>
    <w:rsid w:val="54931516"/>
    <w:rsid w:val="549F015A"/>
    <w:rsid w:val="54AF503F"/>
    <w:rsid w:val="54B25E40"/>
    <w:rsid w:val="54D730B0"/>
    <w:rsid w:val="54E812EA"/>
    <w:rsid w:val="54F76B5C"/>
    <w:rsid w:val="55020A87"/>
    <w:rsid w:val="550341FE"/>
    <w:rsid w:val="55042014"/>
    <w:rsid w:val="55210479"/>
    <w:rsid w:val="552A209A"/>
    <w:rsid w:val="55393BB8"/>
    <w:rsid w:val="55517407"/>
    <w:rsid w:val="55614C5E"/>
    <w:rsid w:val="556C5FEF"/>
    <w:rsid w:val="5572737D"/>
    <w:rsid w:val="55823A64"/>
    <w:rsid w:val="558C2621"/>
    <w:rsid w:val="55AD3652"/>
    <w:rsid w:val="55B9606B"/>
    <w:rsid w:val="55DE0E54"/>
    <w:rsid w:val="55EE4C56"/>
    <w:rsid w:val="55FF52A6"/>
    <w:rsid w:val="5633198E"/>
    <w:rsid w:val="563E5469"/>
    <w:rsid w:val="565A053D"/>
    <w:rsid w:val="566919C6"/>
    <w:rsid w:val="566C5546"/>
    <w:rsid w:val="56745BC9"/>
    <w:rsid w:val="568832FC"/>
    <w:rsid w:val="56907775"/>
    <w:rsid w:val="56C1236A"/>
    <w:rsid w:val="56CD56FA"/>
    <w:rsid w:val="56CF2CF8"/>
    <w:rsid w:val="56E34EAC"/>
    <w:rsid w:val="57016C0B"/>
    <w:rsid w:val="570203D1"/>
    <w:rsid w:val="571159E3"/>
    <w:rsid w:val="571D3ABE"/>
    <w:rsid w:val="571F6B78"/>
    <w:rsid w:val="57340D8E"/>
    <w:rsid w:val="57452F9B"/>
    <w:rsid w:val="57645BA3"/>
    <w:rsid w:val="576A1B6C"/>
    <w:rsid w:val="57805D82"/>
    <w:rsid w:val="579001D7"/>
    <w:rsid w:val="57936854"/>
    <w:rsid w:val="579848F6"/>
    <w:rsid w:val="57A22474"/>
    <w:rsid w:val="57AF0A2B"/>
    <w:rsid w:val="57C43A36"/>
    <w:rsid w:val="57F62116"/>
    <w:rsid w:val="580746F5"/>
    <w:rsid w:val="58101705"/>
    <w:rsid w:val="58335AD6"/>
    <w:rsid w:val="58346B6C"/>
    <w:rsid w:val="584265A5"/>
    <w:rsid w:val="58564D34"/>
    <w:rsid w:val="58707FAE"/>
    <w:rsid w:val="58733B38"/>
    <w:rsid w:val="58801DB1"/>
    <w:rsid w:val="58895B35"/>
    <w:rsid w:val="58906498"/>
    <w:rsid w:val="58C83D7C"/>
    <w:rsid w:val="58E7744A"/>
    <w:rsid w:val="59012EF2"/>
    <w:rsid w:val="5909370D"/>
    <w:rsid w:val="590D48EB"/>
    <w:rsid w:val="59495353"/>
    <w:rsid w:val="594B0611"/>
    <w:rsid w:val="594D4389"/>
    <w:rsid w:val="595D2922"/>
    <w:rsid w:val="59634E7E"/>
    <w:rsid w:val="597265E6"/>
    <w:rsid w:val="59943D66"/>
    <w:rsid w:val="5996188C"/>
    <w:rsid w:val="59A85569"/>
    <w:rsid w:val="59A90DF6"/>
    <w:rsid w:val="59B8686F"/>
    <w:rsid w:val="59B86AAB"/>
    <w:rsid w:val="59BF5B8E"/>
    <w:rsid w:val="59D027D3"/>
    <w:rsid w:val="59DE0C7A"/>
    <w:rsid w:val="59F04D56"/>
    <w:rsid w:val="59FD5DAF"/>
    <w:rsid w:val="5A125C89"/>
    <w:rsid w:val="5A417D7A"/>
    <w:rsid w:val="5A4C2893"/>
    <w:rsid w:val="5A4F7A61"/>
    <w:rsid w:val="5A6279C1"/>
    <w:rsid w:val="5A690D4F"/>
    <w:rsid w:val="5A852ECF"/>
    <w:rsid w:val="5A9C1659"/>
    <w:rsid w:val="5AA026B8"/>
    <w:rsid w:val="5AA116D7"/>
    <w:rsid w:val="5AAC7C87"/>
    <w:rsid w:val="5ADA1FF9"/>
    <w:rsid w:val="5AE821DA"/>
    <w:rsid w:val="5AED557F"/>
    <w:rsid w:val="5AF20641"/>
    <w:rsid w:val="5AFD1904"/>
    <w:rsid w:val="5B1552F3"/>
    <w:rsid w:val="5B2B4256"/>
    <w:rsid w:val="5B2C0607"/>
    <w:rsid w:val="5B3034F1"/>
    <w:rsid w:val="5B424CC5"/>
    <w:rsid w:val="5B4672E2"/>
    <w:rsid w:val="5B57504B"/>
    <w:rsid w:val="5B63362E"/>
    <w:rsid w:val="5B755268"/>
    <w:rsid w:val="5B7B51DE"/>
    <w:rsid w:val="5B88241C"/>
    <w:rsid w:val="5B90055D"/>
    <w:rsid w:val="5B9C2FC5"/>
    <w:rsid w:val="5BA54987"/>
    <w:rsid w:val="5BA65FD3"/>
    <w:rsid w:val="5BC86521"/>
    <w:rsid w:val="5BDC51D2"/>
    <w:rsid w:val="5BDE39BF"/>
    <w:rsid w:val="5C082709"/>
    <w:rsid w:val="5C11169E"/>
    <w:rsid w:val="5C14060C"/>
    <w:rsid w:val="5C180F45"/>
    <w:rsid w:val="5C182A2D"/>
    <w:rsid w:val="5C2E582C"/>
    <w:rsid w:val="5C4C1E77"/>
    <w:rsid w:val="5C7639BC"/>
    <w:rsid w:val="5C981DBF"/>
    <w:rsid w:val="5CA13925"/>
    <w:rsid w:val="5CBC5AAE"/>
    <w:rsid w:val="5CD12F06"/>
    <w:rsid w:val="5CD85C43"/>
    <w:rsid w:val="5CF7084F"/>
    <w:rsid w:val="5D02548B"/>
    <w:rsid w:val="5D0273FA"/>
    <w:rsid w:val="5D147937"/>
    <w:rsid w:val="5D1634FA"/>
    <w:rsid w:val="5D2733FE"/>
    <w:rsid w:val="5D2A0341"/>
    <w:rsid w:val="5D521F6E"/>
    <w:rsid w:val="5D614E5A"/>
    <w:rsid w:val="5D7A4EBD"/>
    <w:rsid w:val="5D7B2AFB"/>
    <w:rsid w:val="5D9D4948"/>
    <w:rsid w:val="5DA07441"/>
    <w:rsid w:val="5DAB5B22"/>
    <w:rsid w:val="5DC34C1A"/>
    <w:rsid w:val="5DC664B8"/>
    <w:rsid w:val="5DCD5EDE"/>
    <w:rsid w:val="5DDB01B6"/>
    <w:rsid w:val="5DDD01B0"/>
    <w:rsid w:val="5DE227D8"/>
    <w:rsid w:val="5DEE4FE1"/>
    <w:rsid w:val="5E040F9B"/>
    <w:rsid w:val="5E163DAD"/>
    <w:rsid w:val="5E18199F"/>
    <w:rsid w:val="5E276BBA"/>
    <w:rsid w:val="5E4A34BA"/>
    <w:rsid w:val="5E5166CA"/>
    <w:rsid w:val="5E572B7B"/>
    <w:rsid w:val="5E622685"/>
    <w:rsid w:val="5E6230CD"/>
    <w:rsid w:val="5E837070"/>
    <w:rsid w:val="5E916EEA"/>
    <w:rsid w:val="5EB629D1"/>
    <w:rsid w:val="5ED929BD"/>
    <w:rsid w:val="5EE004CC"/>
    <w:rsid w:val="5EEF44C3"/>
    <w:rsid w:val="5EF64B87"/>
    <w:rsid w:val="5EFE24CD"/>
    <w:rsid w:val="5F1E02ED"/>
    <w:rsid w:val="5F5335CE"/>
    <w:rsid w:val="5F5F0972"/>
    <w:rsid w:val="5F6123D2"/>
    <w:rsid w:val="5F6E604F"/>
    <w:rsid w:val="5F781A34"/>
    <w:rsid w:val="5F7C6175"/>
    <w:rsid w:val="5F8C113D"/>
    <w:rsid w:val="5F9E149B"/>
    <w:rsid w:val="5F9E76ED"/>
    <w:rsid w:val="5FA55B60"/>
    <w:rsid w:val="5FB55859"/>
    <w:rsid w:val="5FEE6A48"/>
    <w:rsid w:val="6028198E"/>
    <w:rsid w:val="602C2F4B"/>
    <w:rsid w:val="60457B68"/>
    <w:rsid w:val="605C4EB2"/>
    <w:rsid w:val="6060214E"/>
    <w:rsid w:val="6071387E"/>
    <w:rsid w:val="608C5797"/>
    <w:rsid w:val="60932B78"/>
    <w:rsid w:val="60B1182C"/>
    <w:rsid w:val="60B54E5F"/>
    <w:rsid w:val="60B60A66"/>
    <w:rsid w:val="60D67EB5"/>
    <w:rsid w:val="60E72435"/>
    <w:rsid w:val="60F12408"/>
    <w:rsid w:val="60F915AE"/>
    <w:rsid w:val="61085853"/>
    <w:rsid w:val="611834CF"/>
    <w:rsid w:val="61186844"/>
    <w:rsid w:val="61196AEE"/>
    <w:rsid w:val="611D2893"/>
    <w:rsid w:val="612015DC"/>
    <w:rsid w:val="6138147B"/>
    <w:rsid w:val="613D3456"/>
    <w:rsid w:val="61482832"/>
    <w:rsid w:val="615C785F"/>
    <w:rsid w:val="6161246C"/>
    <w:rsid w:val="617901B4"/>
    <w:rsid w:val="617A09D3"/>
    <w:rsid w:val="617A6407"/>
    <w:rsid w:val="617E2BD9"/>
    <w:rsid w:val="619C7C5C"/>
    <w:rsid w:val="61A66D2D"/>
    <w:rsid w:val="61A92379"/>
    <w:rsid w:val="61AB7F4F"/>
    <w:rsid w:val="61BA27D8"/>
    <w:rsid w:val="61BC7327"/>
    <w:rsid w:val="61D513C0"/>
    <w:rsid w:val="61F12BA4"/>
    <w:rsid w:val="61FC795F"/>
    <w:rsid w:val="62035F2D"/>
    <w:rsid w:val="62265778"/>
    <w:rsid w:val="622A0453"/>
    <w:rsid w:val="62347E94"/>
    <w:rsid w:val="62554D7B"/>
    <w:rsid w:val="62782477"/>
    <w:rsid w:val="62870321"/>
    <w:rsid w:val="6287090C"/>
    <w:rsid w:val="62892F39"/>
    <w:rsid w:val="62A52639"/>
    <w:rsid w:val="62C313EC"/>
    <w:rsid w:val="62C751AC"/>
    <w:rsid w:val="62D2532D"/>
    <w:rsid w:val="62D32926"/>
    <w:rsid w:val="62E775FD"/>
    <w:rsid w:val="62EB1C80"/>
    <w:rsid w:val="62F11E84"/>
    <w:rsid w:val="6306529F"/>
    <w:rsid w:val="631D7704"/>
    <w:rsid w:val="63224191"/>
    <w:rsid w:val="632B7CB6"/>
    <w:rsid w:val="632C5010"/>
    <w:rsid w:val="632D6A8C"/>
    <w:rsid w:val="63326075"/>
    <w:rsid w:val="63577595"/>
    <w:rsid w:val="636D1281"/>
    <w:rsid w:val="63921C8F"/>
    <w:rsid w:val="63974B7F"/>
    <w:rsid w:val="639F7B81"/>
    <w:rsid w:val="63A252D2"/>
    <w:rsid w:val="63BE7F46"/>
    <w:rsid w:val="63C546CA"/>
    <w:rsid w:val="63D43500"/>
    <w:rsid w:val="63E36016"/>
    <w:rsid w:val="64177A6E"/>
    <w:rsid w:val="64191A38"/>
    <w:rsid w:val="64463885"/>
    <w:rsid w:val="6468651B"/>
    <w:rsid w:val="646C6942"/>
    <w:rsid w:val="64754C21"/>
    <w:rsid w:val="648101EB"/>
    <w:rsid w:val="648F5856"/>
    <w:rsid w:val="64966BE4"/>
    <w:rsid w:val="64C649E5"/>
    <w:rsid w:val="64C971FC"/>
    <w:rsid w:val="64D17A33"/>
    <w:rsid w:val="64E536C8"/>
    <w:rsid w:val="6507446B"/>
    <w:rsid w:val="651F176C"/>
    <w:rsid w:val="651F307E"/>
    <w:rsid w:val="65243799"/>
    <w:rsid w:val="653730AD"/>
    <w:rsid w:val="65473BE4"/>
    <w:rsid w:val="654823B1"/>
    <w:rsid w:val="65670581"/>
    <w:rsid w:val="656E5DB3"/>
    <w:rsid w:val="658B7760"/>
    <w:rsid w:val="659514FA"/>
    <w:rsid w:val="65A71B0C"/>
    <w:rsid w:val="65AC2438"/>
    <w:rsid w:val="65B4203E"/>
    <w:rsid w:val="65BE6761"/>
    <w:rsid w:val="65C562C1"/>
    <w:rsid w:val="65DA30E2"/>
    <w:rsid w:val="65DC0944"/>
    <w:rsid w:val="65EB1B83"/>
    <w:rsid w:val="65EE7177"/>
    <w:rsid w:val="65FC3D56"/>
    <w:rsid w:val="660A61FF"/>
    <w:rsid w:val="6635457B"/>
    <w:rsid w:val="663B78CC"/>
    <w:rsid w:val="665E1984"/>
    <w:rsid w:val="66645598"/>
    <w:rsid w:val="66713242"/>
    <w:rsid w:val="66A57E71"/>
    <w:rsid w:val="66B75538"/>
    <w:rsid w:val="66BD4460"/>
    <w:rsid w:val="66C7577B"/>
    <w:rsid w:val="66D47A94"/>
    <w:rsid w:val="66E4759D"/>
    <w:rsid w:val="674B4F4A"/>
    <w:rsid w:val="674E19F8"/>
    <w:rsid w:val="67656D42"/>
    <w:rsid w:val="676A3DA6"/>
    <w:rsid w:val="676C1E7F"/>
    <w:rsid w:val="67773A51"/>
    <w:rsid w:val="679805D8"/>
    <w:rsid w:val="67BC3FEE"/>
    <w:rsid w:val="67CA7544"/>
    <w:rsid w:val="67D35A63"/>
    <w:rsid w:val="67D477F8"/>
    <w:rsid w:val="67EF2FDF"/>
    <w:rsid w:val="67F24A7A"/>
    <w:rsid w:val="67F325A0"/>
    <w:rsid w:val="67FF7C3A"/>
    <w:rsid w:val="68016A6B"/>
    <w:rsid w:val="6829477F"/>
    <w:rsid w:val="682F4FA9"/>
    <w:rsid w:val="68310698"/>
    <w:rsid w:val="68323C50"/>
    <w:rsid w:val="685A617B"/>
    <w:rsid w:val="686332F5"/>
    <w:rsid w:val="68646588"/>
    <w:rsid w:val="686E1C26"/>
    <w:rsid w:val="688232C2"/>
    <w:rsid w:val="68843A78"/>
    <w:rsid w:val="68996CA3"/>
    <w:rsid w:val="689F0599"/>
    <w:rsid w:val="68B43376"/>
    <w:rsid w:val="68B7537B"/>
    <w:rsid w:val="68DC3034"/>
    <w:rsid w:val="68DC4DE2"/>
    <w:rsid w:val="68F053F6"/>
    <w:rsid w:val="68F14D31"/>
    <w:rsid w:val="68F43A1E"/>
    <w:rsid w:val="69085BD7"/>
    <w:rsid w:val="69145603"/>
    <w:rsid w:val="69423186"/>
    <w:rsid w:val="69432BE1"/>
    <w:rsid w:val="694D728A"/>
    <w:rsid w:val="69594684"/>
    <w:rsid w:val="6988057F"/>
    <w:rsid w:val="699906A2"/>
    <w:rsid w:val="69A973BA"/>
    <w:rsid w:val="69AC12C2"/>
    <w:rsid w:val="69C411D0"/>
    <w:rsid w:val="69C62FFA"/>
    <w:rsid w:val="69D16911"/>
    <w:rsid w:val="69D501AF"/>
    <w:rsid w:val="69D86C6D"/>
    <w:rsid w:val="69E4001D"/>
    <w:rsid w:val="69FA48D7"/>
    <w:rsid w:val="69FF347E"/>
    <w:rsid w:val="6A0D6DC9"/>
    <w:rsid w:val="6A2B6021"/>
    <w:rsid w:val="6A4A19BA"/>
    <w:rsid w:val="6A564EBF"/>
    <w:rsid w:val="6A645FFB"/>
    <w:rsid w:val="6A6A2D90"/>
    <w:rsid w:val="6A701056"/>
    <w:rsid w:val="6A7A24EF"/>
    <w:rsid w:val="6A7E361E"/>
    <w:rsid w:val="6A9A2282"/>
    <w:rsid w:val="6ABB292C"/>
    <w:rsid w:val="6AC46CE5"/>
    <w:rsid w:val="6ACD0D45"/>
    <w:rsid w:val="6ACF10A2"/>
    <w:rsid w:val="6AE82164"/>
    <w:rsid w:val="6AEA4CF9"/>
    <w:rsid w:val="6AEA7C8A"/>
    <w:rsid w:val="6AF1726A"/>
    <w:rsid w:val="6AFE0C80"/>
    <w:rsid w:val="6B144D07"/>
    <w:rsid w:val="6B2A0779"/>
    <w:rsid w:val="6B2B1D80"/>
    <w:rsid w:val="6B3D3548"/>
    <w:rsid w:val="6B664EB6"/>
    <w:rsid w:val="6B841E8D"/>
    <w:rsid w:val="6BA87D31"/>
    <w:rsid w:val="6BB72998"/>
    <w:rsid w:val="6BBC73BD"/>
    <w:rsid w:val="6BC066B1"/>
    <w:rsid w:val="6BC8789F"/>
    <w:rsid w:val="6BEE37AA"/>
    <w:rsid w:val="6C0B1660"/>
    <w:rsid w:val="6C164AAF"/>
    <w:rsid w:val="6C256AA0"/>
    <w:rsid w:val="6C2C7E2E"/>
    <w:rsid w:val="6C523D39"/>
    <w:rsid w:val="6C533915"/>
    <w:rsid w:val="6C5506F2"/>
    <w:rsid w:val="6C7F31BE"/>
    <w:rsid w:val="6C8859AD"/>
    <w:rsid w:val="6CD91C0E"/>
    <w:rsid w:val="6CE01353"/>
    <w:rsid w:val="6CEA7AAC"/>
    <w:rsid w:val="6CF35CFC"/>
    <w:rsid w:val="6CF546C4"/>
    <w:rsid w:val="6CF63F0B"/>
    <w:rsid w:val="6CFA25E1"/>
    <w:rsid w:val="6CFE5C6F"/>
    <w:rsid w:val="6D2553A0"/>
    <w:rsid w:val="6D3F29A1"/>
    <w:rsid w:val="6D651DF3"/>
    <w:rsid w:val="6D6A3304"/>
    <w:rsid w:val="6D8D0DA1"/>
    <w:rsid w:val="6D995916"/>
    <w:rsid w:val="6D9E263C"/>
    <w:rsid w:val="6DB8406F"/>
    <w:rsid w:val="6DC26C9C"/>
    <w:rsid w:val="6DD658EE"/>
    <w:rsid w:val="6DDD6E36"/>
    <w:rsid w:val="6DEC1C21"/>
    <w:rsid w:val="6E152319"/>
    <w:rsid w:val="6E3B0BAF"/>
    <w:rsid w:val="6E3E0629"/>
    <w:rsid w:val="6E45554E"/>
    <w:rsid w:val="6E501AEB"/>
    <w:rsid w:val="6E7C11B5"/>
    <w:rsid w:val="6E7C32EF"/>
    <w:rsid w:val="6E7F556F"/>
    <w:rsid w:val="6E997C25"/>
    <w:rsid w:val="6E9F07E1"/>
    <w:rsid w:val="6EA14A30"/>
    <w:rsid w:val="6EA42846"/>
    <w:rsid w:val="6EB6105A"/>
    <w:rsid w:val="6EBA00D3"/>
    <w:rsid w:val="6EBD1212"/>
    <w:rsid w:val="6EC629FF"/>
    <w:rsid w:val="6EC7282F"/>
    <w:rsid w:val="6EC922AC"/>
    <w:rsid w:val="6ED21161"/>
    <w:rsid w:val="6F1C104C"/>
    <w:rsid w:val="6F255735"/>
    <w:rsid w:val="6F26499B"/>
    <w:rsid w:val="6F2F3282"/>
    <w:rsid w:val="6F467459"/>
    <w:rsid w:val="6F587A8E"/>
    <w:rsid w:val="6F5A7044"/>
    <w:rsid w:val="6F5D5506"/>
    <w:rsid w:val="6F600C59"/>
    <w:rsid w:val="6F7E2770"/>
    <w:rsid w:val="6F7F4719"/>
    <w:rsid w:val="6F800BBD"/>
    <w:rsid w:val="6F8776A7"/>
    <w:rsid w:val="6F8B4A66"/>
    <w:rsid w:val="6F957D21"/>
    <w:rsid w:val="6FA57C2A"/>
    <w:rsid w:val="6FC8405E"/>
    <w:rsid w:val="6FD175F7"/>
    <w:rsid w:val="6FD26F3F"/>
    <w:rsid w:val="6FD95378"/>
    <w:rsid w:val="6FEA24DA"/>
    <w:rsid w:val="6FF23B80"/>
    <w:rsid w:val="6FF670D1"/>
    <w:rsid w:val="70180DF5"/>
    <w:rsid w:val="701B6B38"/>
    <w:rsid w:val="703C1CAA"/>
    <w:rsid w:val="703E1108"/>
    <w:rsid w:val="704B7EBD"/>
    <w:rsid w:val="705B0CE2"/>
    <w:rsid w:val="7073427E"/>
    <w:rsid w:val="707F7FC1"/>
    <w:rsid w:val="70830694"/>
    <w:rsid w:val="7092075C"/>
    <w:rsid w:val="70AF49AD"/>
    <w:rsid w:val="70E234A9"/>
    <w:rsid w:val="70F257E2"/>
    <w:rsid w:val="712D7A96"/>
    <w:rsid w:val="71334F8E"/>
    <w:rsid w:val="713C2BF3"/>
    <w:rsid w:val="71526589"/>
    <w:rsid w:val="715517E0"/>
    <w:rsid w:val="71682CDB"/>
    <w:rsid w:val="717C301D"/>
    <w:rsid w:val="718B55F7"/>
    <w:rsid w:val="719E17CE"/>
    <w:rsid w:val="71AC3CA8"/>
    <w:rsid w:val="71E67530"/>
    <w:rsid w:val="71F27DA7"/>
    <w:rsid w:val="71F552A8"/>
    <w:rsid w:val="71FB09CF"/>
    <w:rsid w:val="71FD3369"/>
    <w:rsid w:val="7208350E"/>
    <w:rsid w:val="72264502"/>
    <w:rsid w:val="72332BB4"/>
    <w:rsid w:val="723358B2"/>
    <w:rsid w:val="72363B93"/>
    <w:rsid w:val="72366F69"/>
    <w:rsid w:val="72534367"/>
    <w:rsid w:val="72546CCC"/>
    <w:rsid w:val="72571A57"/>
    <w:rsid w:val="72981E43"/>
    <w:rsid w:val="729D3834"/>
    <w:rsid w:val="729F57FE"/>
    <w:rsid w:val="72A66B8C"/>
    <w:rsid w:val="72AD5CE4"/>
    <w:rsid w:val="72BB344D"/>
    <w:rsid w:val="72BD396A"/>
    <w:rsid w:val="72EA334F"/>
    <w:rsid w:val="72ED47BB"/>
    <w:rsid w:val="730B241D"/>
    <w:rsid w:val="7325797A"/>
    <w:rsid w:val="734C24BD"/>
    <w:rsid w:val="734D525A"/>
    <w:rsid w:val="7357002D"/>
    <w:rsid w:val="73576104"/>
    <w:rsid w:val="7358775B"/>
    <w:rsid w:val="737A3B75"/>
    <w:rsid w:val="73815738"/>
    <w:rsid w:val="738B18DE"/>
    <w:rsid w:val="739F3A97"/>
    <w:rsid w:val="73AF1694"/>
    <w:rsid w:val="73B673EF"/>
    <w:rsid w:val="73BC5F3C"/>
    <w:rsid w:val="73F02366"/>
    <w:rsid w:val="7419338E"/>
    <w:rsid w:val="742254DD"/>
    <w:rsid w:val="7437180D"/>
    <w:rsid w:val="74391D4B"/>
    <w:rsid w:val="74483CFE"/>
    <w:rsid w:val="744B0DA7"/>
    <w:rsid w:val="744D3074"/>
    <w:rsid w:val="74624CC6"/>
    <w:rsid w:val="746A5AD3"/>
    <w:rsid w:val="74723306"/>
    <w:rsid w:val="747A2CC8"/>
    <w:rsid w:val="747F3641"/>
    <w:rsid w:val="74B579B7"/>
    <w:rsid w:val="74B9011A"/>
    <w:rsid w:val="74BB7061"/>
    <w:rsid w:val="74BD640F"/>
    <w:rsid w:val="74CE3EB2"/>
    <w:rsid w:val="74E0065A"/>
    <w:rsid w:val="74E82D21"/>
    <w:rsid w:val="74EF5E2E"/>
    <w:rsid w:val="74F82FA3"/>
    <w:rsid w:val="750E03C1"/>
    <w:rsid w:val="751C6251"/>
    <w:rsid w:val="751E470B"/>
    <w:rsid w:val="753D7B6A"/>
    <w:rsid w:val="754026A2"/>
    <w:rsid w:val="75404391"/>
    <w:rsid w:val="754226B0"/>
    <w:rsid w:val="75662603"/>
    <w:rsid w:val="75670772"/>
    <w:rsid w:val="757A60AE"/>
    <w:rsid w:val="757C44C8"/>
    <w:rsid w:val="759A09C5"/>
    <w:rsid w:val="75A6427E"/>
    <w:rsid w:val="75B243A7"/>
    <w:rsid w:val="75CA0DE4"/>
    <w:rsid w:val="75DE6DB1"/>
    <w:rsid w:val="75E1612D"/>
    <w:rsid w:val="75E572CF"/>
    <w:rsid w:val="75FB07A2"/>
    <w:rsid w:val="761375E4"/>
    <w:rsid w:val="7621477C"/>
    <w:rsid w:val="76217478"/>
    <w:rsid w:val="763C572C"/>
    <w:rsid w:val="765608C9"/>
    <w:rsid w:val="7666354F"/>
    <w:rsid w:val="766B6ECD"/>
    <w:rsid w:val="76855EB9"/>
    <w:rsid w:val="768A26FB"/>
    <w:rsid w:val="7692691E"/>
    <w:rsid w:val="76996365"/>
    <w:rsid w:val="769A10D0"/>
    <w:rsid w:val="76A07D97"/>
    <w:rsid w:val="76C2349E"/>
    <w:rsid w:val="76CB35EC"/>
    <w:rsid w:val="76CE66B2"/>
    <w:rsid w:val="76D054CE"/>
    <w:rsid w:val="77040C67"/>
    <w:rsid w:val="770B16B4"/>
    <w:rsid w:val="77112A42"/>
    <w:rsid w:val="77260AF8"/>
    <w:rsid w:val="773B587C"/>
    <w:rsid w:val="774271F2"/>
    <w:rsid w:val="77453760"/>
    <w:rsid w:val="774845AD"/>
    <w:rsid w:val="774E4E52"/>
    <w:rsid w:val="77653D55"/>
    <w:rsid w:val="776A7D9F"/>
    <w:rsid w:val="77734AD9"/>
    <w:rsid w:val="77767106"/>
    <w:rsid w:val="777C7EBC"/>
    <w:rsid w:val="778B45A3"/>
    <w:rsid w:val="77A25449"/>
    <w:rsid w:val="77AB2363"/>
    <w:rsid w:val="77F3466D"/>
    <w:rsid w:val="780127F5"/>
    <w:rsid w:val="7822274B"/>
    <w:rsid w:val="7840608D"/>
    <w:rsid w:val="78494C44"/>
    <w:rsid w:val="78594455"/>
    <w:rsid w:val="78786AB3"/>
    <w:rsid w:val="78882890"/>
    <w:rsid w:val="78911745"/>
    <w:rsid w:val="78955947"/>
    <w:rsid w:val="78AA588F"/>
    <w:rsid w:val="78B065B0"/>
    <w:rsid w:val="78B83176"/>
    <w:rsid w:val="78BB7662"/>
    <w:rsid w:val="78C33E4A"/>
    <w:rsid w:val="7901119D"/>
    <w:rsid w:val="790D3EA5"/>
    <w:rsid w:val="791B2495"/>
    <w:rsid w:val="791D2A50"/>
    <w:rsid w:val="79366F18"/>
    <w:rsid w:val="79393B8B"/>
    <w:rsid w:val="79432736"/>
    <w:rsid w:val="794C7D62"/>
    <w:rsid w:val="795B1D53"/>
    <w:rsid w:val="79660E81"/>
    <w:rsid w:val="797940FE"/>
    <w:rsid w:val="79813945"/>
    <w:rsid w:val="79AA4A14"/>
    <w:rsid w:val="79B17BC5"/>
    <w:rsid w:val="79B63FC9"/>
    <w:rsid w:val="79DE02DD"/>
    <w:rsid w:val="79E07E40"/>
    <w:rsid w:val="79EB5D1B"/>
    <w:rsid w:val="79F71A7C"/>
    <w:rsid w:val="79FC52E4"/>
    <w:rsid w:val="79FC6182"/>
    <w:rsid w:val="79FD2E0A"/>
    <w:rsid w:val="7A0A6F4F"/>
    <w:rsid w:val="7A1A1C0E"/>
    <w:rsid w:val="7A456F6D"/>
    <w:rsid w:val="7A5F16CA"/>
    <w:rsid w:val="7A710D8E"/>
    <w:rsid w:val="7AAA2F92"/>
    <w:rsid w:val="7AB1300F"/>
    <w:rsid w:val="7AB64E52"/>
    <w:rsid w:val="7ADA0EA4"/>
    <w:rsid w:val="7AE75FBC"/>
    <w:rsid w:val="7AFC56DC"/>
    <w:rsid w:val="7B073F40"/>
    <w:rsid w:val="7B0D3216"/>
    <w:rsid w:val="7B345398"/>
    <w:rsid w:val="7B355131"/>
    <w:rsid w:val="7B4F7695"/>
    <w:rsid w:val="7B590C27"/>
    <w:rsid w:val="7B615D46"/>
    <w:rsid w:val="7B6C5EAB"/>
    <w:rsid w:val="7B7814A8"/>
    <w:rsid w:val="7B861DF2"/>
    <w:rsid w:val="7BA33013"/>
    <w:rsid w:val="7BD209F2"/>
    <w:rsid w:val="7BF702E8"/>
    <w:rsid w:val="7BFA0FA5"/>
    <w:rsid w:val="7BFE2BF5"/>
    <w:rsid w:val="7BFF49BD"/>
    <w:rsid w:val="7C0B3F04"/>
    <w:rsid w:val="7C134B67"/>
    <w:rsid w:val="7C162A9E"/>
    <w:rsid w:val="7C177BEA"/>
    <w:rsid w:val="7C1903CF"/>
    <w:rsid w:val="7C1D1542"/>
    <w:rsid w:val="7C206AB7"/>
    <w:rsid w:val="7C8646F6"/>
    <w:rsid w:val="7C876A78"/>
    <w:rsid w:val="7C9B46D0"/>
    <w:rsid w:val="7CA3413D"/>
    <w:rsid w:val="7CA95B93"/>
    <w:rsid w:val="7CBC0850"/>
    <w:rsid w:val="7CD3681B"/>
    <w:rsid w:val="7CD9190C"/>
    <w:rsid w:val="7CD97B5E"/>
    <w:rsid w:val="7CF20DD2"/>
    <w:rsid w:val="7CFF7134"/>
    <w:rsid w:val="7D0D49BE"/>
    <w:rsid w:val="7D8603E2"/>
    <w:rsid w:val="7D9C553A"/>
    <w:rsid w:val="7DC9372F"/>
    <w:rsid w:val="7DD0508B"/>
    <w:rsid w:val="7DE4119D"/>
    <w:rsid w:val="7DEE5B58"/>
    <w:rsid w:val="7E0B1390"/>
    <w:rsid w:val="7E1470DA"/>
    <w:rsid w:val="7E2B13AE"/>
    <w:rsid w:val="7E321DB6"/>
    <w:rsid w:val="7E53749D"/>
    <w:rsid w:val="7E5C45A3"/>
    <w:rsid w:val="7E6B2A38"/>
    <w:rsid w:val="7EA224D8"/>
    <w:rsid w:val="7ED03245"/>
    <w:rsid w:val="7ED25E9B"/>
    <w:rsid w:val="7ED37D6E"/>
    <w:rsid w:val="7F2F7F0A"/>
    <w:rsid w:val="7F7D2EBD"/>
    <w:rsid w:val="7F8846F0"/>
    <w:rsid w:val="7FA73F44"/>
    <w:rsid w:val="7FAD2052"/>
    <w:rsid w:val="7FB0411E"/>
    <w:rsid w:val="7FCA5021"/>
    <w:rsid w:val="7FEA3B6F"/>
    <w:rsid w:val="7FEE5147"/>
    <w:rsid w:val="7FF32CE5"/>
    <w:rsid w:val="BAFFAB79"/>
    <w:rsid w:val="DBEED555"/>
  </w:rsids>
  <m:mathPr>
    <m:lMargin m:val="0"/>
    <m:mathFont m:val="Cambria Math"/>
    <m:rMargin m:val="0"/>
    <m:wrapIndent m:val="1440"/>
    <m:brkBin m:val="before"/>
    <m:brkBinSub m:val="--"/>
    <m:defJc m:val="centerGroup"/>
    <m:intLim m:val="subSup"/>
    <m:naryLim m:val="undOvr"/>
    <m:smallFrac m:val="0"/>
    <m:dispDef/>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pPr>
    <w:rPr>
      <w:rFonts w:ascii="Arial Unicode MS" w:hAnsi="Arial Unicode MS" w:eastAsia="Arial Unicode MS" w:cs="Arial Unicode MS"/>
      <w:sz w:val="22"/>
      <w:szCs w:val="22"/>
      <w:lang w:val="zh-CN" w:eastAsia="zh-CN" w:bidi="zh-CN"/>
    </w:rPr>
  </w:style>
  <w:style w:type="paragraph" w:styleId="2">
    <w:name w:val="heading 1"/>
    <w:basedOn w:val="1"/>
    <w:next w:val="1"/>
    <w:qFormat/>
    <w:uiPriority w:val="1"/>
    <w:pPr>
      <w:ind w:left="-40"/>
      <w:outlineLvl w:val="0"/>
    </w:pPr>
    <w:rPr>
      <w:sz w:val="52"/>
      <w:szCs w:val="52"/>
    </w:rPr>
  </w:style>
  <w:style w:type="paragraph" w:styleId="3">
    <w:name w:val="heading 2"/>
    <w:basedOn w:val="1"/>
    <w:next w:val="1"/>
    <w:qFormat/>
    <w:uiPriority w:val="1"/>
    <w:pPr>
      <w:ind w:right="18"/>
      <w:jc w:val="center"/>
      <w:outlineLvl w:val="1"/>
    </w:pPr>
    <w:rPr>
      <w:sz w:val="44"/>
      <w:szCs w:val="44"/>
    </w:rPr>
  </w:style>
  <w:style w:type="paragraph" w:styleId="4">
    <w:name w:val="heading 3"/>
    <w:basedOn w:val="1"/>
    <w:next w:val="1"/>
    <w:qFormat/>
    <w:uiPriority w:val="1"/>
    <w:pPr>
      <w:ind w:left="1"/>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outlineLvl w:val="4"/>
    </w:pPr>
    <w:rPr>
      <w:sz w:val="33"/>
      <w:szCs w:val="33"/>
    </w:rPr>
  </w:style>
  <w:style w:type="character" w:default="1" w:styleId="12">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5">
    <w:name w:val="编号符号"/>
    <w:qFormat/>
    <w:uiPriority w:val="0"/>
  </w:style>
  <w:style w:type="character" w:customStyle="1" w:styleId="16">
    <w:name w:val="页眉 字符"/>
    <w:basedOn w:val="12"/>
    <w:qFormat/>
    <w:uiPriority w:val="0"/>
    <w:rPr>
      <w:rFonts w:ascii="Arial Unicode MS" w:hAnsi="Arial Unicode MS" w:eastAsia="Arial Unicode MS" w:cs="Arial Unicode MS"/>
      <w:sz w:val="18"/>
      <w:szCs w:val="18"/>
      <w:lang w:val="zh-CN" w:bidi="zh-CN"/>
    </w:rPr>
  </w:style>
  <w:style w:type="character" w:customStyle="1" w:styleId="17">
    <w:name w:val="页脚 字符"/>
    <w:basedOn w:val="12"/>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列表段落1"/>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40</Pages>
  <Words>13801</Words>
  <Characters>16649</Characters>
  <Lines>140</Lines>
  <Paragraphs>39</Paragraphs>
  <TotalTime>0</TotalTime>
  <ScaleCrop>false</ScaleCrop>
  <LinksUpToDate>false</LinksUpToDate>
  <CharactersWithSpaces>17192</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2022-08-26T02:00:00Z</dcterms:created>
  <dc:creator>陈长军(本处室套红)</dc:creator>
  <cp:lastModifiedBy>admin</cp:lastModifiedBy>
  <dcterms:modified xsi:type="dcterms:W3CDTF">2023-03-22T02:18:16Z</dcterms:modified>
  <dc:title>部门决算公开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2533214665424557B16CF4115249519F</vt:lpwstr>
  </property>
  <property fmtid="{D5CDD505-2E9C-101B-9397-08002B2CF9AE}" pid="5" name="KSOProductBuildVer">
    <vt:lpwstr>2052-10.8.0.5715</vt:lpwstr>
  </property>
  <property fmtid="{D5CDD505-2E9C-101B-9397-08002B2CF9AE}" pid="6" name="LastSaved">
    <vt:filetime>2021-04-15T00:00:00Z</vt:filetime>
  </property>
</Properties>
</file>