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pPr>
              <w:pStyle w:val="8"/>
              <w:spacing w:line="360" w:lineRule="auto"/>
              <w:rPr>
                <w:rFonts w:hint="eastAsia" w:ascii="仿宋" w:hAnsi="仿宋" w:eastAsia="仿宋" w:cs="仿宋"/>
                <w:b/>
                <w:bCs/>
                <w:color w:val="FF0000"/>
                <w:sz w:val="22"/>
                <w:szCs w:val="22"/>
              </w:rPr>
            </w:pPr>
            <w:r>
              <w:rPr>
                <w:rFonts w:hint="eastAsia" w:ascii="仿宋" w:hAnsi="仿宋" w:eastAsia="仿宋" w:cs="仿宋"/>
                <w:b/>
                <w:bCs/>
                <w:color w:val="FF0000"/>
                <w:sz w:val="22"/>
                <w:szCs w:val="22"/>
              </w:rP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top"/>
          </w:tcPr>
          <w:p>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rFonts w:ascii="宋体" w:hAnsi="宋体" w:cs="宋体" w:eastAsia="宋体"/>
                <w:b w:val="true"/>
                <w:sz w:val="52"/>
              </w:rPr>
              <w:t xml:space="preserve">2021年度</w:t>
              <w:br w:type="textWrapping"/>
              <w:t/>
            </w:r>
            <w:r>
              <w:rPr>
                <w:rFonts w:ascii="宋体" w:hAnsi="宋体" w:cs="宋体" w:eastAsia="宋体"/>
                <w:b w:val="true"/>
                <w:sz w:val="52"/>
              </w:rPr>
              <w:t>江苏省伤残人康复中心</w:t>
            </w:r>
            <w:r>
              <w:rPr>
                <w:rFonts w:ascii="宋体" w:hAnsi="宋体" w:cs="宋体" w:eastAsia="宋体"/>
                <w:b w:val="true"/>
                <w:sz w:val="52"/>
              </w:rPr>
              <w:t xml:space="preserve"></w:t>
              <w:br w:type="textWrapping"/>
              <w:t>单位决算公开</w:t>
            </w:r>
            <w:r>
              <w:rPr>
                <w:rFonts w:ascii="宋体" w:hAnsi="宋体" w:cs="宋体" w:eastAsia="宋体"/>
                <w:b w:val="true"/>
                <w:sz w:val="52"/>
              </w:rPr>
              <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70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outlineLvl w:val="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outlineLvl w:val="0"/>
        <w:rPr>
          <w:rFonts w:hint="eastAsia" w:ascii="黑体" w:hAnsi="黑体" w:eastAsia="黑体" w:cs="黑体"/>
          <w:b w:val="0"/>
          <w:bCs w:val="0"/>
        </w:rPr>
      </w:pPr>
      <w:r>
        <w:rPr>
          <w:rFonts w:hint="eastAsia" w:ascii="黑体" w:hAnsi="黑体" w:eastAsia="黑体" w:cs="黑体"/>
          <w:b w:val="0"/>
          <w:bCs w:val="0"/>
        </w:rPr>
        <w:t xml:space="preserve">第一部分 </w:t>
      </w:r>
      <w:r>
        <w:rPr>
          <w:rFonts w:hint="eastAsia" w:ascii="黑体" w:hAnsi="黑体" w:eastAsia="黑体" w:cs="黑体"/>
          <w:b w:val="0"/>
          <w:bCs w:val="0"/>
          <w:lang w:val="en-US" w:eastAsia="zh-CN"/>
        </w:rPr>
        <w:t>单位</w:t>
      </w:r>
      <w:r>
        <w:rPr>
          <w:rFonts w:hint="eastAsia" w:ascii="黑体" w:hAnsi="黑体" w:eastAsia="黑体" w:cs="黑体"/>
          <w:b w:val="0"/>
          <w:bCs w:val="0"/>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2021</w:t>
      </w:r>
      <w:r>
        <w:rPr>
          <w:rFonts w:hint="eastAsia" w:ascii="仿宋" w:hAnsi="仿宋" w:eastAsia="仿宋" w:cs="仿宋"/>
        </w:rPr>
        <w:t>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黑体" w:hAnsi="黑体" w:eastAsia="黑体" w:cs="黑体"/>
          <w:b w:val="0"/>
          <w:bCs w:val="0"/>
        </w:rPr>
      </w:pPr>
      <w:r>
        <w:rPr>
          <w:rFonts w:hint="eastAsia" w:ascii="黑体" w:hAnsi="黑体" w:eastAsia="黑体" w:cs="黑体"/>
          <w:b w:val="0"/>
          <w:bCs w:val="0"/>
          <w:lang w:val="en-US" w:eastAsia="zh-CN"/>
        </w:rPr>
        <w:t>第二部分 2021年度</w:t>
      </w:r>
      <w:r>
        <w:rPr>
          <w:rFonts w:ascii="黑体" w:hAnsi="黑体" w:cs="黑体" w:eastAsia="黑体"/>
        </w:rPr>
        <w:t>单位</w:t>
      </w:r>
      <w:r>
        <w:rPr>
          <w:rFonts w:ascii="黑体" w:hAnsi="黑体" w:cs="黑体" w:eastAsia="黑体"/>
        </w:rPr>
        <w:t>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lang w:val="en-US" w:eastAsia="zh-CN"/>
        </w:rPr>
      </w:pPr>
      <w:r>
        <w:rPr>
          <w:rFonts w:hint="eastAsia" w:ascii="仿宋" w:hAnsi="仿宋" w:eastAsia="仿宋" w:cs="仿宋"/>
        </w:rPr>
        <w:t>十一、</w:t>
      </w:r>
      <w:r>
        <w:rPr>
          <w:rFonts w:hint="eastAsia" w:ascii="仿宋" w:hAnsi="仿宋" w:eastAsia="仿宋" w:cs="仿宋"/>
          <w:lang w:val="en-US" w:eastAsia="zh-CN"/>
        </w:rPr>
        <w:t>国有资本经营预算支出决算表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第三部分 2021年度</w:t>
      </w:r>
      <w:r>
        <w:rPr>
          <w:rFonts w:ascii="黑体" w:hAnsi="黑体" w:cs="黑体" w:eastAsia="黑体"/>
        </w:rPr>
        <w:t>单位</w:t>
      </w:r>
      <w:r>
        <w:rPr>
          <w:rFonts w:ascii="黑体" w:hAnsi="黑体" w:cs="黑体" w:eastAsia="黑体"/>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default" w:ascii="仿宋" w:hAnsi="仿宋" w:eastAsia="仿宋" w:cs="仿宋"/>
          <w:b/>
          <w:bCs/>
          <w:color w:val="000000"/>
          <w:sz w:val="30"/>
          <w:szCs w:val="30"/>
          <w:lang w:val="en-US" w:eastAsia="zh-CN" w:bidi="ar"/>
        </w:rPr>
      </w:pPr>
      <w:r>
        <w:rPr>
          <w:rFonts w:hint="eastAsia" w:ascii="黑体" w:hAnsi="黑体" w:eastAsia="黑体" w:cs="黑体"/>
          <w:b w:val="0"/>
          <w:bCs w:val="0"/>
          <w:lang w:val="en-US" w:eastAsia="zh-CN"/>
        </w:rPr>
        <w:t>第四部分 名词解释</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outlineLvl w:val="0"/>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eastAsia="zh-CN"/>
        </w:rPr>
        <w:t xml:space="preserve"> </w:t>
      </w:r>
      <w:r>
        <w:rPr>
          <w:rFonts w:hint="eastAsia" w:ascii="宋体" w:hAnsi="宋体" w:eastAsia="宋体" w:cs="宋体"/>
          <w:b/>
          <w:bCs/>
        </w:rPr>
        <w:t>单位</w:t>
      </w:r>
      <w:r>
        <w:rPr>
          <w:rFonts w:hint="eastAsia" w:ascii="宋体" w:hAnsi="宋体" w:eastAsia="宋体" w:cs="宋体"/>
          <w:b/>
          <w:bCs/>
        </w:rPr>
        <w:t>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江苏省伤残人康复中心成立于1951年，是江苏省民政厅直属差额预算事业单位，专业从事各类假肢、矫形器、康复辅助器具的研发和生产。主要职能是承担为全省残疾军人、抚恤补助优抚对象、残疾儿童、贫困残疾人等民政服务群体、社会福利机构、养老服务机构配发假肢矫形器以及康复辅具等公益项目的组织实施工作。省伤残人康复中心是我省残障人康复事业的重要载体、民政工作践行为民服务宗旨的重要平台，致力于“重点保障伤残军人，着力帮扶低保对象，竭诚服务城乡‘三无’等贫困残弱群体，并积极参与全省养老事业建设”。</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二、</w:t>
      </w:r>
      <w:r>
        <w:rPr>
          <w:rFonts w:ascii="黑体" w:hAnsi="黑体" w:cs="黑体" w:eastAsia="黑体"/>
        </w:rPr>
        <w:t>单位</w:t>
      </w:r>
      <w:r>
        <w:rPr>
          <w:rFonts w:hint="eastAsia" w:ascii="黑体" w:hAnsi="黑体" w:eastAsia="黑体" w:cs="黑体"/>
          <w:b w:val="0"/>
          <w:bCs w:val="0"/>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
      </w:r>
      <w:bookmarkStart w:id="0" w:name="_GoBack"/>
      <w:bookmarkEnd w:id="0"/>
      <w:r>
        <w:rPr>
          <w:rFonts w:ascii="仿宋" w:hAnsi="仿宋" w:cs="仿宋" w:eastAsia="仿宋"/>
        </w:rPr>
        <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hint="eastAsia" w:ascii="仿宋" w:hAnsi="仿宋" w:eastAsia="仿宋" w:cs="仿宋"/>
          <w:lang w:val="en-US"/>
        </w:rPr>
        <w:t/>
      </w:r>
      <w:r>
        <w:rPr>
          <w:rFonts w:ascii="仿宋" w:hAnsi="仿宋" w:cs="仿宋" w:eastAsia="仿宋"/>
        </w:rPr>
        <w:t/>
      </w:r>
      <w:r>
        <w:rPr>
          <w:rFonts w:ascii="仿宋" w:hAnsi="仿宋" w:cs="仿宋" w:eastAsia="仿宋"/>
        </w:rPr>
        <w:t>本单位内设机构包括</w:t>
      </w:r>
      <w:r>
        <w:rPr>
          <w:rFonts w:ascii="仿宋" w:hAnsi="仿宋" w:cs="仿宋" w:eastAsia="仿宋"/>
        </w:rPr>
        <w:t/>
      </w:r>
      <w:r>
        <w:rPr>
          <w:rFonts w:ascii="仿宋" w:hAnsi="仿宋" w:cs="仿宋" w:eastAsia="仿宋"/>
        </w:rPr>
        <w:t/>
      </w:r>
      <w:r>
        <w:rPr>
          <w:rFonts w:ascii="仿宋" w:hAnsi="仿宋" w:cs="仿宋" w:eastAsia="仿宋"/>
        </w:rPr>
        <w:t>我单位为差额预算单位，事业编制人数为103人，年末公共财政拨款补助开支人数在职34人，退休95人，非财政补助人员79人。康复中心共设置七个部门，分别为办公室、质检部、财务部、市场部、生产部、行管（内保）部、汤山研发生产基地。无下属单位。</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本单位无下属单位。</w:t>
      </w:r>
      <w:r>
        <w:rPr>
          <w:rFonts w:ascii="仿宋" w:hAnsi="仿宋" w:cs="仿宋" w:eastAsia="仿宋"/>
        </w:rPr>
        <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outlineLvl w:val="1"/>
        <w:rPr>
          <w:rFonts w:hint="eastAsia" w:ascii="黑体" w:hAnsi="黑体" w:eastAsia="黑体" w:cs="黑体"/>
          <w:b w:val="0"/>
          <w:bCs w:val="0"/>
        </w:rPr>
      </w:pPr>
      <w:r>
        <w:rPr>
          <w:rFonts w:hint="eastAsia" w:ascii="黑体" w:hAnsi="黑体" w:eastAsia="黑体" w:cs="黑体"/>
          <w:b w:val="0"/>
          <w:bCs w:val="0"/>
        </w:rPr>
        <w:t>三、</w:t>
      </w:r>
      <w:r>
        <w:rPr>
          <w:rFonts w:hint="eastAsia" w:ascii="黑体" w:hAnsi="黑体" w:eastAsia="黑体" w:cs="黑体"/>
          <w:b w:val="0"/>
          <w:bCs w:val="0"/>
          <w:lang w:eastAsia="zh-CN"/>
        </w:rPr>
        <w:t>2021</w:t>
      </w:r>
      <w:r>
        <w:rPr>
          <w:rFonts w:hint="eastAsia" w:ascii="黑体" w:hAnsi="黑体" w:eastAsia="黑体" w:cs="黑体"/>
          <w:b w:val="0"/>
          <w:bCs w:val="0"/>
        </w:rPr>
        <w:t>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2021年中心完成经营收入1,670.10万元，2020年1,640.36万元，经营收入比上年增加29.74万元，增长1.81%，主要原因为康复辅具销售的增加。2021年完成的主要工作：</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(一)坚持党建引领，统揽全局工作</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一是加强统筹部署，扎实推进党史学习教育。将党史学习教育与庆祝中国共产党成立100周年活动等相结合，按照“学习、教育、践行、感恩”四位一体的工作思路统筹推进。制定《关于开展党史学习教育的实施方案》，召开党史学习教育动员部署大会，明确目标要求、进度安排、学习内容、重点工作，将学党史、悟思想、办实事、开新局贯穿学习教育全过程。成立以支部书记任组长的党史学习教育领导小组，确立工作机制，调度工作进展，开展督导检查，严格按照“时间表”“路线图”落实落细各阶段任务。</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二是坚持学深悟透，强化党史学习教育成效。让党员同志深刻认识到党史学习的深刻意义，理解把握以史为鉴、开创未来的根本要求。全年开展全体党员参加的党史学习教育会11次，由支部书记和支委领学，围绕“学党史、悟思想、办实事、开新局”开展主题研讨会，鼓励党员同志把学习党史同总结经验、观照现实、推动工作结合起来，把理论学习成果转化为工作动力和成效，立足本职岗位，发挥好党员的先锋模范作用。鼓励和督促全体党员积极参加“学习强国”等平台的线上党史学习教育，依托“三会一课”和“主题党日”开展形式多样的线下学习活动，提升思想境界，树立扎根民政沃土、爱岗敬业奉献的崇高理念。组织党员前往扬州曹起溍烈士故居和中国人民解放军海军诞生地纪念馆开展现场学习，近距离接触党史，让旧址遗迹成为党史“教室”，让文物史料成为党史“教材”，党员同志更加坚定为人民康复事业奋斗的决心，传承红色基因，赓续红色血脉，为康复事业的高质量发展献计出力。</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三是为群众办实事，让党史学习教育“活起来”。将党史学习教育与为民办实事、解难题有机结合，弘扬“民政为民，民政爱民”理念，努力做好“我为群众办实事”，以办好实事的成果检验党史学习教育成效。2021年，康复中心继续推进“福康行——持续关爱”“军残巡修”“医工结合”“适老化改造”等项目，覆盖全省30多个县（市、区），取得了良好的社会效益。疫情期间支部组织17名医护人员奔赴一线，支援南京核酸检测采样工作，党员同志率先垂范，积极发扬抗疫精神，圆满完成任务，诠释了民政人的责任与担当。支部组建志愿服务团队，将志愿服务常态化，关爱老年人，为苏康养老护理中心的老人们送去关心和温暖。支部坚持党建引领，通过与社区“结对共建”，促进党史学习教育在共建社区走深走实。组织党员干部与驻地的挹江门社区“联学共建”，为辖区群众送医问诊、健康走访等，被社区授予“优秀共建单位”。同时，支部组织医护人员赴句容市唐陵村开展“岗村结对”共建活动，开设讲座为老人讲解如何预防脑卒中。让党员同志在为民办事中凝聚民心、聚合民力，为党史学习教育“升温加热”。</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四是打造活力支部，规范党员发展工作。支部在厅机关党委的指导下，严格按照《中国共产党章程》《中国共产党发展党员工作细则》和中共中央办公厅《印发〈关于加强新形势下发展党员和党员管理工作的意见〉的通知》等有关规定，认真落实年度党员发展计划，规范党员发展工作。2021年，支部研究决定2名同志为发展对象，4名同志为入党积极分子。此外，支部始终把党员发展的重点放在教育培养上，认真组织入党发展对象参加培训，把支部日常学习作为对入党发展对象进行经常性教育培训的重要载体，把入党发展对象的思想汇报及时存入档案，作为向党组织推荐重点培养对象的依据。</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（二）加强业务建设，推进中心发展迈上新台阶</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康复中心坚决贯彻落实习近平总书记关于疫情防控、民政工作的重要指示批示精神和厅党组决策部署，统筹推进疫情防控和业务发展工作，牢牢坚守民政防疫阵地，各项任务扎实推进，重点民生公益事项顺利实施，康复辅具、适老化等市场拓展取得突破性进展。</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一是疫情防控常抓不懈，构建多层立体防控网络。新型冠状病毒疫情发生以来，中心坚决贯彻省委、省政府以及省民政厅关于新型冠状病毒肺炎疫情预防控制工作的部署，一手抓防控，一手保服务。在中心本部（医院福建路院区）、汤山基地分别采取相应的防疫措施，制定疫情防控预案。对组织领导、责任分工以及工作要求，作出了明确规定。坚持防控常态化，并积极统筹研究部署疫情防控和复工复产工作，精准施策，坚持防疫与复工复产“双向对进”，两手抓，两手硬。</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二是抓民生改善，积极推进公益项目。立足职能，承担社会责任，将公益项目摆在中心工作的重中之重。为方便革命残伤军人就地制作、修理辅助器具，年初中心制定了合理的巡修计划。2021年，“军残巡修”项目组安排20余人计62天前往全省12个地级市及其周边县区，为残疾军人开展假肢、矫形器、病理鞋、腰围等辅助器具的修理、订制、测量、更换等工作，服务残疾军人近3400名。2021年“福康行——持续关爱”覆盖盐城、泰州、扬州、南通等24个县（市、区），共安排261人次下乡，花费近7500工时，完成假肢300具。结合预算资金量，2021年项目共配发假肢产品300具，轮椅车501辆，护理床450套，合计使用资金700万元。</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三是参与市场竞争，稳步扩大市场占有率。近年来，中心以市场需求为导向，参与养老及康复辅具市场竞争。首先，参与适老化改造项目。中心长期参与调研适老化改造辅助器具需求，上门入户宣传居家适老化改造工作，引导更多老年家庭自主进行居家适老化改造。2021年，中心与各地民政部门合作对计划实施居家适老化改造的重点对象家庭，进行入户评估，并通过参与公开招投标的方式，赢得市场竞争，全年销售约13万元。其次，积极开拓省内外市场，全年销售158.9万元。中心积极与地方残疾人联合会沟通，通过招投标方式成功入围江苏省残疾人联合会的假肢和矫形器采购目录，于2019年起开始为全省地方残联提供辅具产品。今年，康复中心还参与省外康复辅具市场竞争，目前已在陕西、吉林、甘肃等地开展工作。此外，稳步推进“医工结合”。中心通过“医工结合”建成标准化的康复辅助器具支具室，业务拓展至脊柱矫形领域，已完成40余名青少年脊柱侧弯矫正工作，将优质康复资源推广至市场前沿，有望成为康复中心新的经济增长点。</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四是整合资源，积极推进事企改革。按照省财政厅、省民政厅关于事企改革相关工作的部署和要求，中心稳步推进事企分离，确保改革过程扎实，内容到位，过渡平稳。安置好事企分离后企业员工，依据个人意愿双向选择，确保员工个人利益不受损。企业自股权划转到与原主办单位脱钩过渡期间，康复中心将在省厅授权后继续进行监管工作，确保企业的健康发展有保障。</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五是抓安全生产、促和谐稳定。中心深入贯彻落实省民政厅《关于加强全省民政领域重大风险防范化解和安全生产工作的通知》精神，牢固树立“防风险、保安全”意识，严格落实各项安全工作要求，开展督促检查，坚持“周巡查、月检查、季度理论+实操教育、重大节点大排查”制度。压紧压实各级领导责任、部门监管责任、机构主体责任，深入细致排查消防、人员安全等风险隐患，深入开展安全生产专项整治。抓好日常管理，落实好重点时段、重大节日、重大活动安全生产工作，提高安全管理水平，认真落实全省安全生产专项整治行动，把安全生产责任落到实处，推动中心安全生产工作再上新台阶。</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（三）强化人才队伍建设，创新驱动发展</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一是注重人才传承，形成梯队机制。创新驱动人才是基础，康复辅具技术领域，人才是创新的具体实践者与组织者，是技术进步的重要推动力。建设一支充满活力、富有竞争力的康复辅助器具人才队伍，是康复中心下好先手棋、争创新优势的重要保证，也是中心能屹立在市场竞争浪潮中的重要支撑。近年来，中心安排中心技术骨干对年轻员工“传”“帮”“带”，利用现有的资源整合团队力量，做好人才梯队建设。目前，中心“大师工作室”的升级改造正有序进行，为打造“大师工作室为引领，青年技师为新生力量”的技术团队奠定基础。</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二是运用“互联网+”思维，为运营提供智力支持。“十三五”期间，中心运用“互联网+”思维，结合大数据管理应用，对全省伤残患者信息进行收集、跟踪、管理，建立了“江苏省伤残军人数据库”，服务伤残患者，为项目建设提供智力支持。中心积极开展公益项目，2021年，中心先后组织“军残巡修”“福康行—持续关爱”两大项目，累计为全省4000余人次伤残患者提供服务，为实现脱贫攻坚和残疾人全面发展提供支持。中心的优质服务多次受到媒体报道，并获服务对象一致称赞，体现了良好的社会效益。</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（四）紧抓体系建设，促进转型升级</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一是加快调整结构，紧抓质量体系建设。为加强中心标准化建设，进一步推进贯标工作在中心的踏实运行，本年度中心顺利通过ISO13485及ISO9001质量管理体系证书再认证及质量管理体系改版审核工作，助力加快在中心本部建立完善的假肢矫形器服务体系，在汤山基地建立科学的机加工生产体系，理顺生产服务流程，注重制度的建立和落实，推动制度的完善和创新。</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二是加强对外合作，探索汤山发展道路。为进一步提高自身生产优势，不断拓展机加工制造业市场，汤山基地一方面通过剖析产品成本，购买先进设备，优化产品工艺，力争生产适销对路的、有市场竞争力的产品。另一方面，科学合理布置厂房，提高场地利用率，完成了厂房升级改造，加强与其他制造企业的合作。今年，完成销售、加工合同49份，计321.6146万元，进一步提升自身造血能力。</w:t>
      </w:r>
      <w:r>
        <w:rPr>
          <w:rFonts w:ascii="仿宋" w:hAnsi="仿宋" w:cs="仿宋" w:eastAsia="仿宋"/>
        </w:rPr>
        <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700" w:bottom="770" w:left="1020" w:header="283"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outlineLvl w:val="0"/>
        <w:rPr>
          <w:rFonts w:hint="eastAsia" w:ascii="宋体" w:hAnsi="宋体" w:eastAsia="宋体" w:cs="宋体"/>
          <w:b/>
          <w:bCs/>
          <w:sz w:val="36"/>
          <w:szCs w:val="36"/>
          <w:lang w:val="en-US" w:eastAsia="zh-CN"/>
        </w:rPr>
      </w:pPr>
      <w:r>
        <w:rPr>
          <w:rFonts w:hint="eastAsia" w:ascii="宋体" w:hAnsi="宋体" w:eastAsia="宋体" w:cs="宋体"/>
          <w:b/>
          <w:bCs/>
          <w:sz w:val="36"/>
          <w:szCs w:val="36"/>
        </w:rPr>
        <w:t>第二部分</w:t>
      </w:r>
    </w:p>
    <w:p>
      <w:pPr>
        <w:pStyle w:val="21"/>
        <w:widowControl w:val="0"/>
        <w:tabs>
          <w:tab w:val="left" w:pos="1609"/>
        </w:tabs>
        <w:suppressAutoHyphens/>
        <w:bidi w:val="0"/>
        <w:spacing w:before="12" w:after="0"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u w:val="none"/>
        </w:rPr>
        <w:t>江苏省伤残人康复中心</w:t>
      </w:r>
    </w:p>
    <w:p>
      <w:pPr>
        <w:pStyle w:val="21"/>
        <w:widowControl w:val="0"/>
        <w:tabs>
          <w:tab w:val="left" w:pos="1609"/>
        </w:tabs>
        <w:suppressAutoHyphens/>
        <w:bidi w:val="0"/>
        <w:spacing w:before="12" w:after="0"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2021</w:t>
      </w:r>
      <w:r>
        <w:rPr>
          <w:rFonts w:hint="eastAsia" w:ascii="宋体" w:hAnsi="宋体" w:eastAsia="宋体" w:cs="宋体"/>
          <w:b/>
          <w:bCs/>
          <w:sz w:val="36"/>
          <w:szCs w:val="36"/>
        </w:rPr>
        <w:t>年度</w:t>
      </w:r>
      <w:r>
        <w:rPr>
          <w:rFonts w:hint="eastAsia" w:ascii="宋体" w:hAnsi="宋体" w:eastAsia="宋体" w:cs="宋体"/>
          <w:b/>
          <w:bCs/>
          <w:sz w:val="36"/>
          <w:szCs w:val="36"/>
          <w:lang w:val="en-US" w:eastAsia="zh-CN"/>
        </w:rPr>
        <w:t>单位</w:t>
      </w:r>
      <w:r>
        <w:rPr>
          <w:rFonts w:ascii="宋体" w:hAnsi="宋体" w:cs="宋体" w:eastAsia="宋体"/>
          <w:b w:val="true"/>
          <w:sz w:val="36"/>
        </w:rPr>
        <w:t>决算表</w:t>
      </w:r>
    </w:p>
    <w:tbl>
      <w:tblPr>
        <w:tblStyle w:val="12"/>
        <w:tblW w:w="10447" w:type="dxa"/>
        <w:jc w:val="center"/>
        <w:tblLayout w:type="fixed"/>
        <w:tblCellMar>
          <w:top w:w="0" w:type="dxa"/>
          <w:left w:w="108" w:type="dxa"/>
          <w:bottom w:w="0" w:type="dxa"/>
          <w:right w:w="108" w:type="dxa"/>
        </w:tblCellMar>
      </w:tblPr>
      <w:tblGrid>
        <w:gridCol w:w="3784"/>
        <w:gridCol w:w="1461"/>
        <w:gridCol w:w="2035"/>
        <w:gridCol w:w="1709"/>
        <w:gridCol w:w="1458"/>
      </w:tblGrid>
      <w:tr>
        <w:tblPrEx>
          <w:tblCellMar>
            <w:top w:w="0" w:type="dxa"/>
            <w:left w:w="108" w:type="dxa"/>
            <w:bottom w:w="0" w:type="dxa"/>
            <w:right w:w="108" w:type="dxa"/>
          </w:tblCellMar>
        </w:tblPrEx>
        <w:trPr>
          <w:trHeight w:val="544" w:hRule="atLeast"/>
          <w:jc w:val="center"/>
        </w:trPr>
        <w:tc>
          <w:tcPr>
            <w:tcW w:w="10447"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tblPrEx>
          <w:tblCellMar>
            <w:top w:w="0" w:type="dxa"/>
            <w:left w:w="108" w:type="dxa"/>
            <w:bottom w:w="0" w:type="dxa"/>
            <w:right w:w="108" w:type="dxa"/>
          </w:tblCellMar>
        </w:tblPrEx>
        <w:trPr>
          <w:trHeight w:val="348" w:hRule="atLeast"/>
          <w:jc w:val="center"/>
        </w:trPr>
        <w:tc>
          <w:tcPr>
            <w:tcW w:w="3784" w:type="dxa"/>
          </w:tcPr>
          <w:p>
            <w:pPr>
              <w:widowControl w:val="0"/>
              <w:ind w:left="0" w:right="0" w:firstLine="0"/>
              <w:jc w:val="left"/>
              <w:textAlignment w:val="auto"/>
              <w:rPr>
                <w:rFonts w:hint="eastAsia" w:ascii="仿宋" w:hAnsi="仿宋" w:eastAsia="仿宋" w:cs="仿宋"/>
                <w:color w:val="000000"/>
                <w:sz w:val="20"/>
              </w:rPr>
            </w:pPr>
          </w:p>
        </w:tc>
        <w:tc>
          <w:tcPr>
            <w:tcW w:w="1461" w:type="dxa"/>
          </w:tcPr>
          <w:p>
            <w:pPr>
              <w:widowControl w:val="0"/>
              <w:ind w:left="0" w:right="0" w:firstLine="0"/>
              <w:jc w:val="left"/>
              <w:textAlignment w:val="auto"/>
              <w:rPr>
                <w:rFonts w:hint="eastAsia" w:ascii="仿宋" w:hAnsi="仿宋" w:eastAsia="仿宋" w:cs="仿宋"/>
                <w:color w:val="000000"/>
                <w:sz w:val="20"/>
              </w:rPr>
            </w:pPr>
          </w:p>
        </w:tc>
        <w:tc>
          <w:tcPr>
            <w:tcW w:w="520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r>
      <w:tr>
        <w:tblPrEx>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color w:val="000000"/>
                <w:sz w:val="22"/>
                <w:szCs w:val="22"/>
                <w:lang w:eastAsia="ar-SA"/>
              </w:rPr>
              <w:t>江苏省伤残人康复中心</w:t>
            </w:r>
          </w:p>
        </w:tc>
        <w:tc>
          <w:tcPr>
            <w:tcW w:w="3167"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r>
      <w:tr>
        <w:tblPrEx>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r>
      <w:tr>
        <w:tblPrEx>
          <w:tblCellMar>
            <w:top w:w="0" w:type="dxa"/>
            <w:left w:w="108" w:type="dxa"/>
            <w:bottom w:w="0" w:type="dxa"/>
            <w:right w:w="108" w:type="dxa"/>
          </w:tblCellMar>
        </w:tblPrEx>
        <w:trPr>
          <w:trHeight w:val="39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ascii="仿宋" w:hAnsi="仿宋" w:cs="仿宋" w:eastAsia="仿宋"/>
                <w:color w:val="000000"/>
                <w:sz w:val="22"/>
              </w:rPr>
              <w:t>项目</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1,897.28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130.00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1,670.10</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25.00</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3,034.55</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481.43</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25.00</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val="0"/>
                <w:bCs w:val="0"/>
                <w:color w:val="000000"/>
                <w:sz w:val="22"/>
                <w:szCs w:val="22"/>
                <w:lang w:eastAsia="ar-SA"/>
              </w:rPr>
              <w:t/>
            </w:r>
            <w:r>
              <w:rPr>
                <w:rFonts w:hint="eastAsia" w:ascii="仿宋" w:hAnsi="仿宋" w:eastAsia="仿宋" w:cs="仿宋"/>
                <w:b/>
                <w:bCs/>
                <w:color w:val="000000"/>
                <w:sz w:val="22"/>
                <w:szCs w:val="22"/>
                <w:lang w:eastAsia="ar-SA"/>
              </w:rPr>
              <w:t>本年收入合计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3,697.38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3,565.98</w:t>
            </w:r>
          </w:p>
        </w:tc>
      </w:tr>
      <w:tr>
        <w:tblPrEx>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使用非财政拨款结余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结余分配</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1.40</w:t>
            </w:r>
          </w:p>
        </w:tc>
      </w:tr>
      <w:tr>
        <w:tblPrEx>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年初结转和结余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right="0" w:firstLine="220" w:firstLineChars="10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年末结转和结余</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130.00</w:t>
            </w:r>
          </w:p>
        </w:tc>
      </w:tr>
      <w:tr>
        <w:tblPrEx>
          <w:tblCellMar>
            <w:top w:w="0" w:type="dxa"/>
            <w:left w:w="108" w:type="dxa"/>
            <w:bottom w:w="0" w:type="dxa"/>
            <w:right w:w="108" w:type="dxa"/>
          </w:tblCellMar>
        </w:tblPrEx>
        <w:trPr>
          <w:trHeight w:val="383" w:hRule="atLeast"/>
          <w:jc w:val="center"/>
        </w:trPr>
        <w:tc>
          <w:tcPr>
            <w:tcW w:w="3784"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46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44"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45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r>
      <w:tr>
        <w:tblPrEx>
          <w:tblCellMar>
            <w:top w:w="0" w:type="dxa"/>
            <w:left w:w="108" w:type="dxa"/>
            <w:bottom w:w="0" w:type="dxa"/>
            <w:right w:w="108" w:type="dxa"/>
          </w:tblCellMar>
        </w:tblPrEx>
        <w:trPr>
          <w:cantSplit/>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6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3,697.38</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45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3,697.38</w:t>
            </w:r>
          </w:p>
        </w:tc>
      </w:tr>
    </w:tbl>
    <w:p>
      <w:pPr>
        <w:widowControl w:val="0"/>
        <w:suppressAutoHyphens/>
        <w:bidi w:val="0"/>
        <w:spacing w:before="66" w:after="0"/>
        <w:ind w:left="0" w:leftChars="0" w:right="0" w:rightChars="0" w:firstLine="0" w:firstLineChars="0"/>
        <w:jc w:val="both"/>
        <w:rPr>
          <w:rFonts w:hint="eastAsia" w:ascii="仿宋" w:hAnsi="仿宋" w:eastAsia="仿宋" w:cs="仿宋"/>
          <w:b w:val="0"/>
          <w:bCs w:val="0"/>
          <w:color w:val="000000"/>
          <w:sz w:val="22"/>
          <w:szCs w:val="22"/>
          <w:lang w:val="en-US" w:eastAsia="zh-CN"/>
        </w:rPr>
      </w:pPr>
      <w:r>
        <w:rPr>
          <w:rFonts w:hint="eastAsia" w:ascii="仿宋" w:hAnsi="仿宋" w:eastAsia="仿宋" w:cs="仿宋"/>
          <w:b w:val="0"/>
          <w:bCs w:val="0"/>
          <w:color w:val="000000"/>
          <w:sz w:val="22"/>
          <w:szCs w:val="22"/>
          <w:lang w:val="en-US" w:eastAsia="zh-CN"/>
        </w:rPr>
        <w:t>注：本表反映本年度的总收支和年末结转结余情况。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color w:val="000000"/>
          <w:sz w:val="22"/>
          <w:szCs w:val="22"/>
          <w:lang w:val="en-US" w:eastAsia="zh-CN"/>
        </w:rPr>
        <w:t>本表金额单位转换时可能存在尾数误差。</w:t>
      </w:r>
      <w:r>
        <w:rPr>
          <w:rFonts w:hint="eastAsia" w:ascii="仿宋" w:hAnsi="仿宋" w:eastAsia="仿宋" w:cs="仿宋"/>
          <w:b w:val="0"/>
          <w:bCs w:val="0"/>
          <w:sz w:val="22"/>
          <w:szCs w:val="22"/>
          <w:lang w:val="en-US" w:eastAsia="zh-CN"/>
        </w:rPr>
        <w:t/>
      </w:r>
    </w:p>
    <w:p>
      <w:pPr>
        <w:widowControl w:val="0"/>
        <w:suppressAutoHyphens/>
        <w:bidi w:val="0"/>
        <w:spacing w:before="66" w:after="0"/>
        <w:ind w:right="0"/>
        <w:jc w:val="both"/>
        <w:rPr>
          <w:rFonts w:hint="eastAsia" w:ascii="仿宋" w:hAnsi="仿宋" w:eastAsia="仿宋" w:cs="仿宋"/>
          <w:b w:val="0"/>
          <w:bCs w:val="0"/>
          <w:color w:val="000000"/>
          <w:sz w:val="22"/>
          <w:szCs w:val="22"/>
        </w:rPr>
        <w:sectPr>
          <w:footerReference r:id="rId8"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439" w:type="dxa"/>
        <w:jc w:val="center"/>
        <w:tblLayout w:type="fixed"/>
        <w:tblCellMar>
          <w:top w:w="0" w:type="dxa"/>
          <w:left w:w="108" w:type="dxa"/>
          <w:bottom w:w="0" w:type="dxa"/>
          <w:right w:w="108" w:type="dxa"/>
        </w:tblCellMar>
      </w:tblPr>
      <w:tblGrid>
        <w:gridCol w:w="1115"/>
        <w:gridCol w:w="2925"/>
        <w:gridCol w:w="1592"/>
        <w:gridCol w:w="1604"/>
        <w:gridCol w:w="1565"/>
        <w:gridCol w:w="1396"/>
        <w:gridCol w:w="1578"/>
        <w:gridCol w:w="1174"/>
        <w:gridCol w:w="1277"/>
        <w:gridCol w:w="1213"/>
      </w:tblGrid>
      <w:tr>
        <w:tblPrEx>
          <w:tblCellMar>
            <w:top w:w="0" w:type="dxa"/>
            <w:left w:w="108" w:type="dxa"/>
            <w:bottom w:w="0" w:type="dxa"/>
            <w:right w:w="108" w:type="dxa"/>
          </w:tblCellMar>
        </w:tblPrEx>
        <w:trPr>
          <w:trHeight w:val="627" w:hRule="atLeast"/>
          <w:jc w:val="center"/>
        </w:trPr>
        <w:tc>
          <w:tcPr>
            <w:tcW w:w="15439"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宋体" w:hAnsi="宋体" w:eastAsia="宋体" w:cs="宋体"/>
                <w:b/>
                <w:bCs/>
                <w:color w:val="000000"/>
                <w:kern w:val="0"/>
                <w:sz w:val="36"/>
                <w:szCs w:val="36"/>
                <w:lang w:val="zh-CN" w:eastAsia="ar-SA" w:bidi="zh-CN"/>
              </w:rPr>
              <w:t>收入决算表</w:t>
            </w:r>
          </w:p>
        </w:tc>
      </w:tr>
      <w:tr>
        <w:tblPrEx>
          <w:tblCellMar>
            <w:top w:w="0" w:type="dxa"/>
            <w:left w:w="108" w:type="dxa"/>
            <w:bottom w:w="0" w:type="dxa"/>
            <w:right w:w="108" w:type="dxa"/>
          </w:tblCellMar>
        </w:tblPrEx>
        <w:trPr>
          <w:trHeight w:val="314" w:hRule="atLeast"/>
          <w:jc w:val="center"/>
        </w:trPr>
        <w:tc>
          <w:tcPr>
            <w:tcW w:w="4040" w:type="dxa"/>
            <w:gridSpan w:val="2"/>
            <w:vAlign w:val="center"/>
          </w:tcPr>
          <w:p>
            <w:pPr>
              <w:pStyle w:val="22"/>
              <w:widowControl w:val="0"/>
              <w:jc w:val="center"/>
              <w:rPr>
                <w:rFonts w:hint="eastAsia" w:ascii="仿宋" w:hAnsi="仿宋" w:eastAsia="仿宋" w:cs="仿宋"/>
              </w:rPr>
            </w:pPr>
          </w:p>
        </w:tc>
        <w:tc>
          <w:tcPr>
            <w:tcW w:w="1592" w:type="dxa"/>
            <w:vAlign w:val="center"/>
          </w:tcPr>
          <w:p>
            <w:pPr>
              <w:pStyle w:val="22"/>
              <w:widowControl w:val="0"/>
              <w:jc w:val="center"/>
              <w:rPr>
                <w:rFonts w:hint="eastAsia" w:ascii="仿宋" w:hAnsi="仿宋" w:eastAsia="仿宋" w:cs="仿宋"/>
              </w:rPr>
            </w:pPr>
          </w:p>
        </w:tc>
        <w:tc>
          <w:tcPr>
            <w:tcW w:w="1604" w:type="dxa"/>
            <w:vAlign w:val="center"/>
          </w:tcPr>
          <w:p>
            <w:pPr>
              <w:pStyle w:val="22"/>
              <w:widowControl w:val="0"/>
              <w:jc w:val="center"/>
              <w:rPr>
                <w:rFonts w:hint="eastAsia" w:ascii="仿宋" w:hAnsi="仿宋" w:eastAsia="仿宋" w:cs="仿宋"/>
              </w:rPr>
            </w:pPr>
          </w:p>
        </w:tc>
        <w:tc>
          <w:tcPr>
            <w:tcW w:w="1565" w:type="dxa"/>
            <w:vAlign w:val="center"/>
          </w:tcPr>
          <w:p>
            <w:pPr>
              <w:pStyle w:val="22"/>
              <w:widowControl w:val="0"/>
              <w:jc w:val="center"/>
              <w:rPr>
                <w:rFonts w:hint="eastAsia" w:ascii="仿宋" w:hAnsi="仿宋" w:eastAsia="仿宋" w:cs="仿宋"/>
              </w:rPr>
            </w:pPr>
          </w:p>
        </w:tc>
        <w:tc>
          <w:tcPr>
            <w:tcW w:w="2974" w:type="dxa"/>
            <w:gridSpan w:val="2"/>
            <w:vAlign w:val="center"/>
          </w:tcPr>
          <w:p>
            <w:pPr>
              <w:pStyle w:val="22"/>
              <w:widowControl w:val="0"/>
              <w:jc w:val="center"/>
              <w:rPr>
                <w:rFonts w:hint="eastAsia" w:ascii="仿宋" w:hAnsi="仿宋" w:eastAsia="仿宋" w:cs="仿宋"/>
              </w:rPr>
            </w:pPr>
          </w:p>
        </w:tc>
        <w:tc>
          <w:tcPr>
            <w:tcW w:w="1174" w:type="dxa"/>
            <w:vAlign w:val="center"/>
          </w:tcPr>
          <w:p>
            <w:pPr>
              <w:pStyle w:val="22"/>
              <w:widowControl w:val="0"/>
              <w:jc w:val="center"/>
              <w:rPr>
                <w:rFonts w:hint="eastAsia" w:ascii="仿宋" w:hAnsi="仿宋" w:eastAsia="仿宋" w:cs="仿宋"/>
              </w:rPr>
            </w:pPr>
          </w:p>
        </w:tc>
        <w:tc>
          <w:tcPr>
            <w:tcW w:w="249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CellMar>
            <w:top w:w="0" w:type="dxa"/>
            <w:left w:w="108" w:type="dxa"/>
            <w:bottom w:w="0" w:type="dxa"/>
            <w:right w:w="108" w:type="dxa"/>
          </w:tblCellMar>
        </w:tblPrEx>
        <w:trPr>
          <w:trHeight w:val="376" w:hRule="atLeast"/>
          <w:jc w:val="center"/>
        </w:trPr>
        <w:tc>
          <w:tcPr>
            <w:tcW w:w="12949"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249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CellMar>
            <w:top w:w="0" w:type="dxa"/>
            <w:left w:w="108" w:type="dxa"/>
            <w:bottom w:w="0" w:type="dxa"/>
            <w:right w:w="108" w:type="dxa"/>
          </w:tblCellMar>
        </w:tblPrEx>
        <w:trPr>
          <w:cantSplit/>
          <w:trHeight w:val="312" w:hRule="atLeast"/>
          <w:jc w:val="center"/>
        </w:trPr>
        <w:tc>
          <w:tcPr>
            <w:tcW w:w="4040"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5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0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565"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1396"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财政专户管理教育收费</w:t>
            </w:r>
          </w:p>
        </w:tc>
        <w:tc>
          <w:tcPr>
            <w:tcW w:w="1578"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事业收入（不含专户管理教育收费）</w:t>
            </w:r>
          </w:p>
        </w:tc>
        <w:tc>
          <w:tcPr>
            <w:tcW w:w="117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27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21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CellMar>
            <w:top w:w="0" w:type="dxa"/>
            <w:left w:w="108" w:type="dxa"/>
            <w:bottom w:w="0" w:type="dxa"/>
            <w:right w:w="108" w:type="dxa"/>
          </w:tblCellMar>
        </w:tblPrEx>
        <w:trPr>
          <w:cantSplit/>
          <w:trHeight w:val="220" w:hRule="atLeast"/>
          <w:jc w:val="center"/>
        </w:trPr>
        <w:tc>
          <w:tcPr>
            <w:tcW w:w="111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92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5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0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65"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96"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1578"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117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27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21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CellMar>
            <w:top w:w="0" w:type="dxa"/>
            <w:left w:w="108" w:type="dxa"/>
            <w:bottom w:w="0" w:type="dxa"/>
            <w:right w:w="108" w:type="dxa"/>
          </w:tblCellMar>
        </w:tblPrEx>
        <w:trPr>
          <w:cantSplit/>
          <w:trHeight w:val="432" w:hRule="exact"/>
          <w:jc w:val="center"/>
        </w:trPr>
        <w:tc>
          <w:tcPr>
            <w:tcW w:w="40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合计</w:t>
            </w:r>
          </w:p>
        </w:tc>
        <w:tc>
          <w:tcPr>
            <w:tcW w:w="159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3,697.38</w:t>
            </w:r>
          </w:p>
        </w:tc>
        <w:tc>
          <w:tcPr>
            <w:tcW w:w="160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2,027.28</w:t>
            </w:r>
          </w:p>
        </w:tc>
        <w:tc>
          <w:tcPr>
            <w:tcW w:w="1565"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c>
          <w:tcPr>
            <w:tcW w:w="139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c>
          <w:tcPr>
            <w:tcW w:w="157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c>
          <w:tcPr>
            <w:tcW w:w="11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1,670.10</w:t>
            </w:r>
          </w:p>
        </w:tc>
        <w:tc>
          <w:tcPr>
            <w:tcW w:w="127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c>
          <w:tcPr>
            <w:tcW w:w="1213"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科学技术支出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20609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科技重大项目</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2060902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重点研发计划</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3,035.95</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1,507.30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1,528.65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77.37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77.37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机关事业单位基本养老保险缴费支出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51.58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51.58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2080506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机关事业单位职业年金缴费支出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抚恤</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2,958.58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1,429.93</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1,528.65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2080804</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优抚事业单位支出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2,958.58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1,429.93</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1,528.65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481.43</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住房改革支出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481.43</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住房公积金</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141.45</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提租补贴</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22960</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彩票公益金安排的支出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2296002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用于社会福利的彩票公益金支出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130.00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130.00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suppressAutoHyphens/>
        <w:bidi w:val="0"/>
        <w:spacing w:before="66" w:after="0"/>
        <w:ind w:left="0" w:leftChars="0" w:right="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color w:val="000000"/>
          <w:sz w:val="22"/>
          <w:szCs w:val="22"/>
        </w:rPr>
        <w:t>注：</w:t>
      </w:r>
      <w:r>
        <w:rPr>
          <w:rFonts w:hint="eastAsia" w:ascii="仿宋" w:hAnsi="仿宋" w:eastAsia="仿宋" w:cs="仿宋"/>
          <w:b w:val="0"/>
          <w:bCs w:val="0"/>
          <w:sz w:val="22"/>
          <w:szCs w:val="22"/>
        </w:rPr>
        <w:t>本表反映本年度取得的各项收入情况。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sz w:val="22"/>
          <w:szCs w:val="22"/>
        </w:rPr>
        <w:t>本表金额单位转换时可能存在尾数误差。</w:t>
      </w:r>
      <w:r>
        <w:rPr>
          <w:rFonts w:hint="eastAsia" w:ascii="仿宋" w:hAnsi="仿宋" w:eastAsia="仿宋" w:cs="仿宋"/>
          <w:b w:val="0"/>
          <w:bCs w:val="0"/>
          <w:sz w:val="22"/>
          <w:szCs w:val="22"/>
          <w:lang w:val="en-US" w:eastAsia="zh-CN"/>
        </w:rPr>
        <w:t/>
      </w:r>
    </w:p>
    <w:p>
      <w:pPr>
        <w:widowControl w:val="0"/>
        <w:suppressAutoHyphens/>
        <w:bidi w:val="0"/>
        <w:spacing w:before="66" w:after="0"/>
        <w:ind w:left="57" w:right="0" w:firstLine="220" w:firstLineChars="100"/>
        <w:jc w:val="both"/>
        <w:rPr>
          <w:rFonts w:hint="eastAsia" w:ascii="仿宋" w:hAnsi="仿宋" w:eastAsia="仿宋" w:cs="仿宋"/>
          <w:b w:val="0"/>
          <w:bCs w:val="0"/>
          <w:sz w:val="22"/>
          <w:szCs w:val="22"/>
        </w:rPr>
        <w:sectPr>
          <w:footerReference r:id="rId9"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4183"/>
        <w:gridCol w:w="2011"/>
        <w:gridCol w:w="1486"/>
        <w:gridCol w:w="1564"/>
        <w:gridCol w:w="1593"/>
        <w:gridCol w:w="1472"/>
        <w:gridCol w:w="1482"/>
      </w:tblGrid>
      <w:tr>
        <w:tblPrEx>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支出决算表</w:t>
            </w:r>
          </w:p>
        </w:tc>
      </w:tr>
      <w:tr>
        <w:tblPrEx>
          <w:tblCellMar>
            <w:top w:w="55" w:type="dxa"/>
            <w:left w:w="55" w:type="dxa"/>
            <w:bottom w:w="55" w:type="dxa"/>
            <w:right w:w="55" w:type="dxa"/>
          </w:tblCellMar>
        </w:tblPrEx>
        <w:trPr>
          <w:trHeight w:val="321" w:hRule="atLeast"/>
        </w:trPr>
        <w:tc>
          <w:tcPr>
            <w:tcW w:w="5739" w:type="dxa"/>
            <w:gridSpan w:val="2"/>
            <w:vAlign w:val="center"/>
          </w:tcPr>
          <w:p>
            <w:pPr>
              <w:pStyle w:val="22"/>
              <w:widowControl w:val="0"/>
              <w:jc w:val="center"/>
              <w:rPr>
                <w:rFonts w:hint="eastAsia" w:ascii="仿宋" w:hAnsi="仿宋" w:eastAsia="仿宋" w:cs="仿宋"/>
              </w:rPr>
            </w:pPr>
          </w:p>
        </w:tc>
        <w:tc>
          <w:tcPr>
            <w:tcW w:w="2011" w:type="dxa"/>
            <w:vAlign w:val="center"/>
          </w:tcPr>
          <w:p>
            <w:pPr>
              <w:pStyle w:val="22"/>
              <w:widowControl w:val="0"/>
              <w:spacing w:before="0" w:after="0"/>
              <w:ind w:firstLine="0"/>
              <w:jc w:val="center"/>
              <w:rPr>
                <w:rFonts w:hint="eastAsia" w:ascii="仿宋" w:hAnsi="仿宋" w:eastAsia="仿宋" w:cs="仿宋"/>
                <w:sz w:val="20"/>
              </w:rPr>
            </w:pPr>
          </w:p>
        </w:tc>
        <w:tc>
          <w:tcPr>
            <w:tcW w:w="1486" w:type="dxa"/>
            <w:vAlign w:val="center"/>
          </w:tcPr>
          <w:p>
            <w:pPr>
              <w:pStyle w:val="22"/>
              <w:widowControl w:val="0"/>
              <w:spacing w:before="0" w:after="0"/>
              <w:ind w:firstLine="0"/>
              <w:jc w:val="center"/>
              <w:rPr>
                <w:rFonts w:hint="eastAsia" w:ascii="仿宋" w:hAnsi="仿宋" w:eastAsia="仿宋" w:cs="仿宋"/>
                <w:sz w:val="20"/>
              </w:rPr>
            </w:pPr>
          </w:p>
        </w:tc>
        <w:tc>
          <w:tcPr>
            <w:tcW w:w="1564" w:type="dxa"/>
            <w:vAlign w:val="center"/>
          </w:tcPr>
          <w:p>
            <w:pPr>
              <w:pStyle w:val="22"/>
              <w:widowControl w:val="0"/>
              <w:spacing w:before="0" w:after="0"/>
              <w:ind w:firstLine="0"/>
              <w:jc w:val="center"/>
              <w:rPr>
                <w:rFonts w:hint="eastAsia" w:ascii="仿宋" w:hAnsi="仿宋" w:eastAsia="仿宋" w:cs="仿宋"/>
                <w:sz w:val="20"/>
              </w:rPr>
            </w:pPr>
          </w:p>
        </w:tc>
        <w:tc>
          <w:tcPr>
            <w:tcW w:w="1593" w:type="dxa"/>
            <w:vAlign w:val="center"/>
          </w:tcPr>
          <w:p>
            <w:pPr>
              <w:pStyle w:val="22"/>
              <w:widowControl w:val="0"/>
              <w:spacing w:before="0" w:after="0"/>
              <w:ind w:firstLine="0"/>
              <w:jc w:val="center"/>
              <w:rPr>
                <w:rFonts w:hint="eastAsia" w:ascii="仿宋" w:hAnsi="仿宋" w:eastAsia="仿宋" w:cs="仿宋"/>
                <w:sz w:val="20"/>
              </w:rPr>
            </w:pPr>
          </w:p>
        </w:tc>
        <w:tc>
          <w:tcPr>
            <w:tcW w:w="2954"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trHeight w:val="321" w:hRule="atLeast"/>
        </w:trPr>
        <w:tc>
          <w:tcPr>
            <w:tcW w:w="12393"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2954"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CellMar>
            <w:top w:w="55" w:type="dxa"/>
            <w:left w:w="55" w:type="dxa"/>
            <w:bottom w:w="55" w:type="dxa"/>
            <w:right w:w="55" w:type="dxa"/>
          </w:tblCellMar>
        </w:tblPrEx>
        <w:trPr>
          <w:trHeight w:val="321" w:hRule="atLeast"/>
        </w:trPr>
        <w:tc>
          <w:tcPr>
            <w:tcW w:w="573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2011"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486"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56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593"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472"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trHeight w:val="37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418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2011"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486"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56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593"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472"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482"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403" w:hRule="exact"/>
        </w:trPr>
        <w:tc>
          <w:tcPr>
            <w:tcW w:w="573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合计</w:t>
            </w:r>
          </w:p>
        </w:tc>
        <w:tc>
          <w:tcPr>
            <w:tcW w:w="201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3,565.98</w:t>
            </w:r>
          </w:p>
        </w:tc>
        <w:tc>
          <w:tcPr>
            <w:tcW w:w="148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947.28</w:t>
            </w:r>
          </w:p>
        </w:tc>
        <w:tc>
          <w:tcPr>
            <w:tcW w:w="156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950.00</w:t>
            </w:r>
          </w:p>
        </w:tc>
        <w:tc>
          <w:tcPr>
            <w:tcW w:w="159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c>
          <w:tcPr>
            <w:tcW w:w="1472"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1,668.70</w:t>
            </w:r>
          </w:p>
        </w:tc>
        <w:tc>
          <w:tcPr>
            <w:tcW w:w="1482"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科学技术支出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20609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科技重大项目</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2060902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重点研发计划</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3,034.55</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607.30</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900.00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1,527.25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行政事业单位养老支出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77.37</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77.37</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2080505</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机关事业单位基本养老保险缴费支出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51.58</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51.58</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2080506</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机关事业单位职业年金缴费支出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25.79</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25.79</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20808</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抚恤</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2,957.18</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529.93</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900.00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1,527.25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2080804</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优抚事业单位支出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2,957.18</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529.93</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900.00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1,527.25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481.43</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339.98</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141.45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住房改革支出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481.43</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339.98</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141.45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2210201</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住房公积金</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141.45</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141.45</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2210202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提租补贴</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339.98</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339.98</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22960</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彩票公益金安排的支出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r>
        <w:tblPrEx>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2296002</w:t>
            </w:r>
          </w:p>
        </w:tc>
        <w:tc>
          <w:tcPr>
            <w:tcW w:w="418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用于社会福利的彩票公益金支出</w:t>
            </w:r>
          </w:p>
        </w:tc>
        <w:tc>
          <w:tcPr>
            <w:tcW w:w="2011"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48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56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25.00</w:t>
            </w:r>
          </w:p>
        </w:tc>
        <w:tc>
          <w:tcPr>
            <w:tcW w:w="1593"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7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c>
          <w:tcPr>
            <w:tcW w:w="1482"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
            </w:r>
          </w:p>
        </w:tc>
      </w:tr>
    </w:tbl>
    <w:p>
      <w:pPr>
        <w:widowControl w:val="0"/>
        <w:suppressAutoHyphens/>
        <w:bidi w:val="0"/>
        <w:spacing w:before="59" w:after="0"/>
        <w:ind w:left="0" w:leftChars="0" w:right="0" w:firstLine="0" w:firstLineChars="0"/>
        <w:jc w:val="left"/>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注：本表反映本年度各项支出情况。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sz w:val="22"/>
          <w:szCs w:val="22"/>
        </w:rPr>
        <w:t>本表金额单位转换时可能存在尾数误差。</w:t>
      </w:r>
      <w:r>
        <w:rPr>
          <w:rFonts w:hint="eastAsia" w:ascii="仿宋" w:hAnsi="仿宋" w:eastAsia="仿宋" w:cs="仿宋"/>
          <w:b w:val="0"/>
          <w:bCs w:val="0"/>
          <w:sz w:val="22"/>
          <w:szCs w:val="22"/>
          <w:lang w:val="en-US" w:eastAsia="zh-CN"/>
        </w:rPr>
        <w:t/>
      </w:r>
    </w:p>
    <w:p>
      <w:pPr>
        <w:widowControl w:val="0"/>
        <w:suppressAutoHyphens/>
        <w:bidi w:val="0"/>
        <w:spacing w:before="59" w:after="0"/>
        <w:ind w:left="57" w:right="0" w:firstLine="0"/>
        <w:jc w:val="left"/>
        <w:rPr>
          <w:rFonts w:hint="eastAsia" w:ascii="仿宋" w:hAnsi="仿宋" w:eastAsia="仿宋" w:cs="仿宋"/>
          <w:b w:val="0"/>
          <w:bCs w:val="0"/>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tblPrEx>
          <w:tblCellMar>
            <w:top w:w="55" w:type="dxa"/>
            <w:left w:w="55" w:type="dxa"/>
            <w:bottom w:w="55" w:type="dxa"/>
            <w:right w:w="55" w:type="dxa"/>
          </w:tblCellMar>
        </w:tblPrEx>
        <w:trPr>
          <w:trHeight w:val="319" w:hRule="atLeast"/>
        </w:trPr>
        <w:tc>
          <w:tcPr>
            <w:tcW w:w="15372" w:type="dxa"/>
            <w:gridSpan w:val="10"/>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财政拨款收入支出决算总表</w:t>
            </w:r>
          </w:p>
        </w:tc>
      </w:tr>
      <w:tr>
        <w:tblPrEx>
          <w:tblCellMar>
            <w:top w:w="55" w:type="dxa"/>
            <w:left w:w="55" w:type="dxa"/>
            <w:bottom w:w="55" w:type="dxa"/>
            <w:right w:w="55" w:type="dxa"/>
          </w:tblCellMar>
        </w:tblPrEx>
        <w:trPr>
          <w:trHeight w:val="319" w:hRule="atLeast"/>
        </w:trPr>
        <w:tc>
          <w:tcPr>
            <w:tcW w:w="5562"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635" w:type="dxa"/>
            <w:gridSpan w:val="2"/>
          </w:tcPr>
          <w:p>
            <w:pPr>
              <w:pStyle w:val="22"/>
              <w:widowControl w:val="0"/>
              <w:rPr>
                <w:rFonts w:hint="eastAsia" w:ascii="仿宋" w:hAnsi="仿宋" w:eastAsia="仿宋" w:cs="仿宋"/>
                <w:sz w:val="20"/>
              </w:rPr>
            </w:pPr>
          </w:p>
        </w:tc>
        <w:tc>
          <w:tcPr>
            <w:tcW w:w="1194" w:type="dxa"/>
          </w:tcPr>
          <w:p>
            <w:pPr>
              <w:pStyle w:val="22"/>
              <w:widowControl w:val="0"/>
              <w:rPr>
                <w:rFonts w:hint="eastAsia" w:ascii="仿宋" w:hAnsi="仿宋" w:eastAsia="仿宋" w:cs="仿宋"/>
                <w:sz w:val="20"/>
              </w:rPr>
            </w:pPr>
          </w:p>
        </w:tc>
        <w:tc>
          <w:tcPr>
            <w:tcW w:w="3221"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trHeight w:val="319" w:hRule="atLeast"/>
        </w:trPr>
        <w:tc>
          <w:tcPr>
            <w:tcW w:w="12151"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sz w:val="22"/>
                <w:szCs w:val="22"/>
              </w:rPr>
              <w:t>江苏省伤残人康复中心</w:t>
            </w:r>
          </w:p>
        </w:tc>
        <w:tc>
          <w:tcPr>
            <w:tcW w:w="3221"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9810"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1837"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667"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143"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37"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667"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72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小计</w:t>
            </w:r>
          </w:p>
        </w:tc>
        <w:tc>
          <w:tcPr>
            <w:tcW w:w="141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5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50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1,897.28</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130.00</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1,507.30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1,507.30</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339.98</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339.98</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b/>
                <w:bCs/>
                <w:sz w:val="22"/>
                <w:szCs w:val="22"/>
              </w:rPr>
              <w:t>本年收入合计</w:t>
            </w:r>
          </w:p>
        </w:tc>
        <w:tc>
          <w:tcPr>
            <w:tcW w:w="1837"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2,027.28</w:t>
            </w:r>
          </w:p>
        </w:tc>
        <w:tc>
          <w:tcPr>
            <w:tcW w:w="3667"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本年支出合计</w:t>
            </w:r>
          </w:p>
        </w:tc>
        <w:tc>
          <w:tcPr>
            <w:tcW w:w="1728"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1,897.28</w:t>
            </w:r>
          </w:p>
        </w:tc>
        <w:tc>
          <w:tcPr>
            <w:tcW w:w="141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1,872.28</w:t>
            </w:r>
          </w:p>
        </w:tc>
        <w:tc>
          <w:tcPr>
            <w:tcW w:w="15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150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130.00</w:t>
            </w: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105.00</w:t>
            </w: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18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667"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172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41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50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83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2,027.28</w:t>
            </w:r>
          </w:p>
        </w:tc>
        <w:tc>
          <w:tcPr>
            <w:tcW w:w="3667"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rPr>
              <w:t>总计</w:t>
            </w:r>
          </w:p>
        </w:tc>
        <w:tc>
          <w:tcPr>
            <w:tcW w:w="172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2,027.28</w:t>
            </w:r>
          </w:p>
        </w:tc>
        <w:tc>
          <w:tcPr>
            <w:tcW w:w="141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1,897.28</w:t>
            </w:r>
          </w:p>
        </w:tc>
        <w:tc>
          <w:tcPr>
            <w:tcW w:w="15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130.00</w:t>
            </w:r>
          </w:p>
        </w:tc>
        <w:tc>
          <w:tcPr>
            <w:tcW w:w="1500"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ind w:left="0" w:leftChars="0" w:firstLine="0" w:firstLineChars="0"/>
        <w:jc w:val="both"/>
        <w:rPr>
          <w:rFonts w:hint="eastAsia" w:ascii="仿宋" w:hAnsi="仿宋" w:eastAsia="仿宋" w:cs="仿宋"/>
          <w:b w:val="0"/>
          <w:bCs w:val="0"/>
        </w:rPr>
      </w:pPr>
      <w:r>
        <w:rPr>
          <w:rFonts w:hint="eastAsia" w:ascii="仿宋" w:hAnsi="仿宋" w:eastAsia="仿宋" w:cs="仿宋"/>
          <w:b w:val="0"/>
          <w:bCs w:val="0"/>
          <w:lang w:val="en-US" w:eastAsia="zh-CN"/>
        </w:rPr>
        <w:t>注：</w:t>
      </w:r>
      <w:r>
        <w:rPr>
          <w:rFonts w:hint="eastAsia" w:ascii="仿宋" w:hAnsi="仿宋" w:eastAsia="仿宋" w:cs="仿宋"/>
          <w:b w:val="0"/>
          <w:bCs w:val="0"/>
        </w:rPr>
        <w:t>本表反映本年度一般公共预算财政拨款、政府性基金预算财政拨款和国有资本经营预算财政拨款的总收支和年末结转结余情况。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rPr>
        <w:t>本表金额单位转换时可能存在尾数误差。</w:t>
      </w:r>
      <w:r>
        <w:rPr>
          <w:rFonts w:hint="eastAsia" w:ascii="仿宋" w:hAnsi="仿宋" w:eastAsia="仿宋" w:cs="仿宋"/>
          <w:b w:val="0"/>
          <w:bCs w:val="0"/>
          <w:sz w:val="22"/>
          <w:szCs w:val="22"/>
          <w:lang w:val="en-US" w:eastAsia="zh-CN"/>
        </w:rPr>
        <w:t/>
      </w:r>
    </w:p>
    <w:p>
      <w:pPr>
        <w:jc w:val="both"/>
        <w:rPr>
          <w:rFonts w:hint="eastAsia" w:ascii="仿宋" w:hAnsi="仿宋" w:eastAsia="仿宋" w:cs="仿宋"/>
          <w:b w:val="0"/>
          <w:bCs w:val="0"/>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tblPrEx>
          <w:tblCellMar>
            <w:top w:w="55" w:type="dxa"/>
            <w:left w:w="55" w:type="dxa"/>
            <w:bottom w:w="55" w:type="dxa"/>
            <w:right w:w="55" w:type="dxa"/>
          </w:tblCellMar>
        </w:tblPrEx>
        <w:trPr>
          <w:trHeight w:val="321" w:hRule="atLeast"/>
        </w:trPr>
        <w:tc>
          <w:tcPr>
            <w:tcW w:w="15417"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财政拨款支出决算表（功能科目）</w:t>
            </w:r>
          </w:p>
        </w:tc>
      </w:tr>
      <w:tr>
        <w:tblPrEx>
          <w:tblCellMar>
            <w:top w:w="55" w:type="dxa"/>
            <w:left w:w="55" w:type="dxa"/>
            <w:bottom w:w="55" w:type="dxa"/>
            <w:right w:w="55" w:type="dxa"/>
          </w:tblCellMar>
        </w:tblPrEx>
        <w:trPr>
          <w:trHeight w:val="321" w:hRule="atLeast"/>
        </w:trPr>
        <w:tc>
          <w:tcPr>
            <w:tcW w:w="6300" w:type="dxa"/>
            <w:gridSpan w:val="2"/>
          </w:tcPr>
          <w:p>
            <w:pPr>
              <w:pStyle w:val="22"/>
              <w:widowControl w:val="0"/>
              <w:rPr>
                <w:rFonts w:hint="eastAsia" w:ascii="仿宋" w:hAnsi="仿宋" w:eastAsia="仿宋" w:cs="仿宋"/>
                <w:sz w:val="20"/>
              </w:rPr>
            </w:pPr>
          </w:p>
        </w:tc>
        <w:tc>
          <w:tcPr>
            <w:tcW w:w="3184" w:type="dxa"/>
          </w:tcPr>
          <w:p>
            <w:pPr>
              <w:pStyle w:val="22"/>
              <w:widowControl w:val="0"/>
              <w:rPr>
                <w:rFonts w:hint="eastAsia" w:ascii="仿宋" w:hAnsi="仿宋" w:eastAsia="仿宋" w:cs="仿宋"/>
                <w:sz w:val="27"/>
              </w:rPr>
            </w:pPr>
          </w:p>
        </w:tc>
        <w:tc>
          <w:tcPr>
            <w:tcW w:w="593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CellMar>
            <w:top w:w="55" w:type="dxa"/>
            <w:left w:w="55" w:type="dxa"/>
            <w:bottom w:w="55" w:type="dxa"/>
            <w:right w:w="55" w:type="dxa"/>
          </w:tblCellMar>
        </w:tblPrEx>
        <w:trPr>
          <w:trHeight w:val="288" w:hRule="atLeast"/>
        </w:trPr>
        <w:tc>
          <w:tcPr>
            <w:tcW w:w="6300"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3184"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15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84"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w:t>
            </w:r>
          </w:p>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5022"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84"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15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84"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15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3184"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1,897.28</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947.28</w:t>
            </w:r>
          </w:p>
        </w:tc>
        <w:tc>
          <w:tcPr>
            <w:tcW w:w="315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950.00</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科学技术支出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20609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科技重大项目</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2060902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重点研发计划</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1,507.30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607.30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900.00</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77.37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77.37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51.58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51.58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25.79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25.79</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抚恤</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1,429.93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529.93</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900.00</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2080804</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优抚事业单位支出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1,429.93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529.93</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900.00</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339.98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339.98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339.98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339.98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339.98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339.98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22960</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彩票公益金安排的支出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r>
      <w:tr>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2296002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用于社会福利的彩票公益金支出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25.00</w:t>
            </w:r>
          </w:p>
        </w:tc>
      </w:tr>
    </w:tbl>
    <w:p>
      <w:pPr>
        <w:widowControl w:val="0"/>
        <w:tabs>
          <w:tab w:val="left" w:pos="0"/>
        </w:tabs>
        <w:suppressAutoHyphens/>
        <w:bidi w:val="0"/>
        <w:spacing w:before="0" w:after="0"/>
        <w:ind w:left="0" w:leftChars="0" w:right="0" w:firstLine="0" w:firstLineChars="0"/>
        <w:jc w:val="both"/>
        <w:rPr>
          <w:rFonts w:hint="eastAsia" w:ascii="仿宋" w:hAnsi="仿宋" w:eastAsia="仿宋" w:cs="仿宋"/>
          <w:b w:val="0"/>
          <w:bCs w:val="0"/>
        </w:rPr>
      </w:pPr>
      <w:r>
        <w:rPr>
          <w:rFonts w:hint="eastAsia" w:ascii="仿宋" w:hAnsi="仿宋" w:eastAsia="仿宋" w:cs="仿宋"/>
          <w:b w:val="0"/>
          <w:bCs w:val="0"/>
        </w:rPr>
        <w:t>注：本表反映本年度一般公共预算财政拨款、政府性基金预算财政拨款和国有资本经营预算财政拨款支出情况。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rPr>
        <w:t>本表金额单位转换时可能存在尾数误差。</w:t>
      </w:r>
      <w:r>
        <w:rPr>
          <w:rFonts w:hint="eastAsia" w:ascii="仿宋" w:hAnsi="仿宋" w:eastAsia="仿宋" w:cs="仿宋"/>
          <w:b w:val="0"/>
          <w:bCs w:val="0"/>
          <w:sz w:val="22"/>
          <w:szCs w:val="22"/>
          <w:lang w:val="en-US" w:eastAsia="zh-CN"/>
        </w:rPr>
        <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val="0"/>
          <w:bCs w:val="0"/>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tblPrEx>
          <w:tblCellMar>
            <w:top w:w="55" w:type="dxa"/>
            <w:left w:w="55" w:type="dxa"/>
            <w:bottom w:w="55" w:type="dxa"/>
            <w:right w:w="55" w:type="dxa"/>
          </w:tblCellMar>
        </w:tblPrEx>
        <w:trPr>
          <w:trHeight w:val="319" w:hRule="atLeast"/>
        </w:trPr>
        <w:tc>
          <w:tcPr>
            <w:tcW w:w="10515"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财政拨款基本支出决算表（经济科目）</w:t>
            </w:r>
          </w:p>
        </w:tc>
      </w:tr>
      <w:tr>
        <w:tblPrEx>
          <w:tblCellMar>
            <w:top w:w="55" w:type="dxa"/>
            <w:left w:w="55" w:type="dxa"/>
            <w:bottom w:w="55" w:type="dxa"/>
            <w:right w:w="55" w:type="dxa"/>
          </w:tblCellMar>
        </w:tblPrEx>
        <w:trPr>
          <w:trHeight w:val="319" w:hRule="atLeast"/>
        </w:trPr>
        <w:tc>
          <w:tcPr>
            <w:tcW w:w="4532"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189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CellMar>
            <w:top w:w="55" w:type="dxa"/>
            <w:left w:w="55" w:type="dxa"/>
            <w:bottom w:w="55" w:type="dxa"/>
            <w:right w:w="55" w:type="dxa"/>
          </w:tblCellMar>
        </w:tblPrEx>
        <w:trPr>
          <w:trHeight w:val="319" w:hRule="atLeast"/>
        </w:trPr>
        <w:tc>
          <w:tcPr>
            <w:tcW w:w="8619"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sz w:val="22"/>
                <w:szCs w:val="22"/>
              </w:rPr>
              <w:t>江苏省伤残人康复中心</w:t>
            </w:r>
          </w:p>
        </w:tc>
        <w:tc>
          <w:tcPr>
            <w:tcW w:w="189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947.28</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802.30</w:t>
            </w:r>
          </w:p>
        </w:tc>
        <w:tc>
          <w:tcPr>
            <w:tcW w:w="189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144.98</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460.91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460.91</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141.47</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29.61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29.61</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172.40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172.40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51.58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51.58</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25.79</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144.98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144.98</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40.00</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11.00</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85.18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85.18</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341.39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341.39</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341.35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341.35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tabs>
          <w:tab w:val="left" w:pos="660"/>
          <w:tab w:val="left" w:pos="10780"/>
        </w:tabs>
        <w:suppressAutoHyphens/>
        <w:bidi w:val="0"/>
        <w:spacing w:before="25" w:after="0" w:line="290" w:lineRule="auto"/>
        <w:ind w:left="0" w:leftChars="0" w:right="0"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注：本表反映本年度一般公共预算财政拨款、政府性基金预算财政拨款和国有资本经营预算财政拨款基本支出情况。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sz w:val="22"/>
          <w:szCs w:val="22"/>
        </w:rPr>
        <w:t>本表金额单位转换时可能存在尾数误差。</w:t>
      </w:r>
      <w:r>
        <w:rPr>
          <w:rFonts w:hint="eastAsia" w:ascii="仿宋" w:hAnsi="仿宋" w:eastAsia="仿宋" w:cs="仿宋"/>
          <w:b w:val="0"/>
          <w:bCs w:val="0"/>
          <w:sz w:val="22"/>
          <w:szCs w:val="22"/>
          <w:lang w:val="en-US" w:eastAsia="zh-CN"/>
        </w:rPr>
        <w:t/>
      </w:r>
    </w:p>
    <w:p>
      <w:pPr>
        <w:widowControl w:val="0"/>
        <w:numPr>
          <w:ilvl w:val="0"/>
          <w:numId w:val="0"/>
        </w:numPr>
        <w:suppressAutoHyphens/>
        <w:bidi w:val="0"/>
        <w:spacing w:before="0" w:after="0" w:line="255" w:lineRule="exact"/>
        <w:jc w:val="both"/>
        <w:rPr>
          <w:rFonts w:hint="eastAsia" w:ascii="仿宋" w:hAnsi="仿宋" w:eastAsia="仿宋" w:cs="仿宋"/>
          <w:b w:val="0"/>
          <w:bCs w:val="0"/>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tblPrEx>
          <w:tblCellMar>
            <w:top w:w="55" w:type="dxa"/>
            <w:left w:w="55" w:type="dxa"/>
            <w:bottom w:w="55" w:type="dxa"/>
            <w:right w:w="55" w:type="dxa"/>
          </w:tblCellMar>
        </w:tblPrEx>
        <w:trPr>
          <w:trHeight w:val="560" w:hRule="atLeast"/>
        </w:trPr>
        <w:tc>
          <w:tcPr>
            <w:tcW w:w="10446"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一般公共预算支出决算表（功能科目）</w:t>
            </w:r>
          </w:p>
        </w:tc>
      </w:tr>
      <w:tr>
        <w:tblPrEx>
          <w:tblCellMar>
            <w:top w:w="55" w:type="dxa"/>
            <w:left w:w="55" w:type="dxa"/>
            <w:bottom w:w="55" w:type="dxa"/>
            <w:right w:w="55" w:type="dxa"/>
          </w:tblCellMar>
        </w:tblPrEx>
        <w:trPr>
          <w:trHeight w:val="147" w:hRule="atLeast"/>
        </w:trPr>
        <w:tc>
          <w:tcPr>
            <w:tcW w:w="5466" w:type="dxa"/>
            <w:gridSpan w:val="2"/>
          </w:tcPr>
          <w:p>
            <w:pPr>
              <w:pStyle w:val="22"/>
              <w:widowControl w:val="0"/>
              <w:rPr>
                <w:rFonts w:hint="eastAsia" w:ascii="仿宋" w:hAnsi="仿宋" w:eastAsia="仿宋" w:cs="仿宋"/>
                <w:sz w:val="20"/>
              </w:rPr>
            </w:pPr>
          </w:p>
        </w:tc>
        <w:tc>
          <w:tcPr>
            <w:tcW w:w="1969" w:type="dxa"/>
          </w:tcPr>
          <w:p>
            <w:pPr>
              <w:pStyle w:val="22"/>
              <w:widowControl w:val="0"/>
              <w:rPr>
                <w:rFonts w:hint="eastAsia" w:ascii="仿宋" w:hAnsi="仿宋" w:eastAsia="仿宋" w:cs="仿宋"/>
                <w:sz w:val="20"/>
              </w:rPr>
            </w:pPr>
          </w:p>
        </w:tc>
        <w:tc>
          <w:tcPr>
            <w:tcW w:w="1499" w:type="dxa"/>
          </w:tcPr>
          <w:p>
            <w:pPr>
              <w:pStyle w:val="22"/>
              <w:widowControl w:val="0"/>
              <w:rPr>
                <w:rFonts w:hint="eastAsia" w:ascii="仿宋" w:hAnsi="仿宋" w:eastAsia="仿宋" w:cs="仿宋"/>
                <w:sz w:val="20"/>
              </w:rPr>
            </w:pPr>
          </w:p>
        </w:tc>
        <w:tc>
          <w:tcPr>
            <w:tcW w:w="1512"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CellMar>
            <w:top w:w="55" w:type="dxa"/>
            <w:left w:w="55" w:type="dxa"/>
            <w:bottom w:w="55" w:type="dxa"/>
            <w:right w:w="55" w:type="dxa"/>
          </w:tblCellMar>
        </w:tblPrEx>
        <w:trPr>
          <w:trHeight w:val="303" w:hRule="atLeast"/>
        </w:trPr>
        <w:tc>
          <w:tcPr>
            <w:tcW w:w="7435"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3011"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499"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512"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
            </w: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1,872.28</w:t>
            </w:r>
          </w:p>
        </w:tc>
        <w:tc>
          <w:tcPr>
            <w:tcW w:w="1499"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947.28</w:t>
            </w:r>
          </w:p>
        </w:tc>
        <w:tc>
          <w:tcPr>
            <w:tcW w:w="1512"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925.00</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科学技术支出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20609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科技重大项目</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2060902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重点研发计划</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1,507.30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607.30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900.00</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77.37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77.37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51.58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51.58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25.79</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1,429.93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529.93</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900.00</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2080804</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优抚事业单位支出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1,429.93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529.93</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900.00</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339.98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tabs>
          <w:tab w:val="left" w:pos="0"/>
        </w:tabs>
        <w:spacing w:before="25" w:after="0"/>
        <w:ind w:left="0" w:leftChars="0" w:right="0"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注：本表反映本年度一般公共预算财政拨款支出情况。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sz w:val="22"/>
          <w:szCs w:val="22"/>
        </w:rPr>
        <w:t>本表金额单位转换时可能存在尾数误差。</w:t>
      </w:r>
      <w:r>
        <w:rPr>
          <w:rFonts w:hint="eastAsia" w:ascii="仿宋" w:hAnsi="仿宋" w:eastAsia="仿宋" w:cs="仿宋"/>
          <w:b w:val="0"/>
          <w:bCs w:val="0"/>
          <w:sz w:val="22"/>
          <w:szCs w:val="22"/>
          <w:lang w:val="en-US" w:eastAsia="zh-CN"/>
        </w:rPr>
        <w:t/>
      </w:r>
    </w:p>
    <w:p>
      <w:pPr>
        <w:widowControl w:val="0"/>
        <w:numPr>
          <w:ilvl w:val="0"/>
          <w:numId w:val="0"/>
        </w:numPr>
        <w:suppressAutoHyphens/>
        <w:bidi w:val="0"/>
        <w:spacing w:before="25" w:after="0"/>
        <w:jc w:val="both"/>
        <w:rPr>
          <w:rFonts w:hint="eastAsia" w:ascii="仿宋" w:hAnsi="仿宋" w:eastAsia="仿宋" w:cs="仿宋"/>
          <w:b w:val="0"/>
          <w:bCs w:val="0"/>
          <w:sz w:val="22"/>
          <w:szCs w:val="22"/>
        </w:rPr>
        <w:sectPr>
          <w:footerReference r:id="rId14"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tblPrEx>
          <w:tblCellMar>
            <w:top w:w="55" w:type="dxa"/>
            <w:left w:w="55" w:type="dxa"/>
            <w:bottom w:w="55" w:type="dxa"/>
            <w:right w:w="55" w:type="dxa"/>
          </w:tblCellMar>
        </w:tblPrEx>
        <w:trPr>
          <w:trHeight w:val="319" w:hRule="atLeast"/>
        </w:trPr>
        <w:tc>
          <w:tcPr>
            <w:tcW w:w="10473" w:type="dxa"/>
            <w:gridSpan w:val="5"/>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一般公共预算基本支出决算表（经济科目）</w:t>
            </w:r>
          </w:p>
        </w:tc>
      </w:tr>
      <w:tr>
        <w:tblPrEx>
          <w:tblCellMar>
            <w:top w:w="55" w:type="dxa"/>
            <w:left w:w="55" w:type="dxa"/>
            <w:bottom w:w="55" w:type="dxa"/>
            <w:right w:w="55" w:type="dxa"/>
          </w:tblCellMar>
        </w:tblPrEx>
        <w:trPr>
          <w:trHeight w:val="199" w:hRule="atLeast"/>
        </w:trPr>
        <w:tc>
          <w:tcPr>
            <w:tcW w:w="8595" w:type="dxa"/>
            <w:gridSpan w:val="4"/>
            <w:vAlign w:val="center"/>
          </w:tcPr>
          <w:p>
            <w:pPr>
              <w:pStyle w:val="22"/>
              <w:widowControl w:val="0"/>
              <w:jc w:val="right"/>
              <w:rPr>
                <w:rFonts w:hint="eastAsia" w:ascii="仿宋" w:hAnsi="仿宋" w:eastAsia="仿宋" w:cs="仿宋"/>
                <w:color w:val="000000"/>
                <w:sz w:val="22"/>
                <w:szCs w:val="22"/>
                <w:lang w:eastAsia="zh-CN"/>
              </w:rPr>
            </w:pPr>
          </w:p>
        </w:tc>
        <w:tc>
          <w:tcPr>
            <w:tcW w:w="1878" w:type="dxa"/>
            <w:vAlign w:val="center"/>
          </w:tcPr>
          <w:p>
            <w:pPr>
              <w:pStyle w:val="22"/>
              <w:widowControl w:val="0"/>
              <w:jc w:val="right"/>
              <w:rPr>
                <w:rFonts w:hint="eastAsia" w:ascii="仿宋" w:hAnsi="仿宋" w:eastAsia="仿宋" w:cs="仿宋"/>
              </w:rPr>
            </w:pPr>
            <w:r>
              <w:rPr>
                <w:rFonts w:hint="eastAsia" w:ascii="仿宋" w:hAnsi="仿宋" w:eastAsia="仿宋" w:cs="仿宋"/>
              </w:rPr>
              <w:t>公开08表</w:t>
            </w:r>
          </w:p>
        </w:tc>
      </w:tr>
      <w:tr>
        <w:tblPrEx>
          <w:tblCellMar>
            <w:top w:w="55" w:type="dxa"/>
            <w:left w:w="55" w:type="dxa"/>
            <w:bottom w:w="55" w:type="dxa"/>
            <w:right w:w="55" w:type="dxa"/>
          </w:tblCellMar>
        </w:tblPrEx>
        <w:trPr>
          <w:trHeight w:val="320" w:hRule="atLeast"/>
        </w:trPr>
        <w:tc>
          <w:tcPr>
            <w:tcW w:w="8595"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1878"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947.28</w:t>
            </w:r>
          </w:p>
        </w:tc>
        <w:tc>
          <w:tcPr>
            <w:tcW w:w="170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802.30</w:t>
            </w:r>
          </w:p>
        </w:tc>
        <w:tc>
          <w:tcPr>
            <w:tcW w:w="187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144.98</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460.91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460.91</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141.47</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29.61</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29.61</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172.40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172.40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51.58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51.58</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25.79</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144.98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144.98</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40.00</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11.00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11.00</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85.18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85.18</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341.39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341.39</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341.35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341.35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0.04</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b w:val="true"/>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spacing w:before="25" w:after="0"/>
        <w:ind w:left="0" w:leftChars="0" w:right="-92" w:rightChars="-42"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注：本表反映本年度一般公共预算财政拨款基本支出情况。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sz w:val="22"/>
          <w:szCs w:val="22"/>
        </w:rPr>
        <w:t>本表金额单位转换时可能存在尾数误差。</w:t>
      </w:r>
      <w:r>
        <w:rPr>
          <w:rFonts w:hint="eastAsia" w:ascii="仿宋" w:hAnsi="仿宋" w:eastAsia="仿宋" w:cs="仿宋"/>
          <w:b w:val="0"/>
          <w:bCs w:val="0"/>
          <w:sz w:val="22"/>
          <w:szCs w:val="22"/>
          <w:lang w:val="en-US" w:eastAsia="zh-CN"/>
        </w:rPr>
        <w:t/>
      </w:r>
    </w:p>
    <w:p>
      <w:pPr>
        <w:widowControl w:val="0"/>
        <w:numPr>
          <w:ilvl w:val="0"/>
          <w:numId w:val="0"/>
        </w:numPr>
        <w:suppressAutoHyphens/>
        <w:bidi w:val="0"/>
        <w:spacing w:before="25" w:after="0"/>
        <w:jc w:val="both"/>
        <w:rPr>
          <w:rFonts w:hint="eastAsia" w:ascii="仿宋" w:hAnsi="仿宋" w:eastAsia="仿宋" w:cs="仿宋"/>
          <w:b w:val="0"/>
          <w:bCs w:val="0"/>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tblPrEx>
          <w:tblCellMar>
            <w:top w:w="55" w:type="dxa"/>
            <w:left w:w="55" w:type="dxa"/>
            <w:bottom w:w="55" w:type="dxa"/>
            <w:right w:w="55" w:type="dxa"/>
          </w:tblCellMar>
        </w:tblPrEx>
        <w:trPr>
          <w:trHeight w:val="321" w:hRule="atLeast"/>
        </w:trPr>
        <w:tc>
          <w:tcPr>
            <w:tcW w:w="16486" w:type="dxa"/>
            <w:gridSpan w:val="16"/>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一般公共预算“三公”经费、会议费、培训费支出决算表</w:t>
            </w:r>
          </w:p>
        </w:tc>
      </w:tr>
      <w:tr>
        <w:tblPrEx>
          <w:tblCellMar>
            <w:top w:w="55" w:type="dxa"/>
            <w:left w:w="55" w:type="dxa"/>
            <w:bottom w:w="55" w:type="dxa"/>
            <w:right w:w="55" w:type="dxa"/>
          </w:tblCellMar>
        </w:tblPrEx>
        <w:trPr>
          <w:trHeight w:val="207" w:hRule="atLeast"/>
        </w:trPr>
        <w:tc>
          <w:tcPr>
            <w:tcW w:w="16486" w:type="dxa"/>
            <w:gridSpan w:val="16"/>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8274" w:type="dxa"/>
            <w:gridSpan w:val="8"/>
            <w:tcBorders>
              <w:bottom w:val="single" w:color="auto" w:sz="4" w:space="0"/>
            </w:tcBorders>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pPr>
              <w:pStyle w:val="22"/>
              <w:widowControl w:val="0"/>
              <w:jc w:val="center"/>
              <w:rPr>
                <w:rFonts w:hint="eastAsia" w:ascii="仿宋" w:hAnsi="仿宋" w:eastAsia="仿宋" w:cs="仿宋"/>
              </w:rPr>
            </w:pPr>
            <w:r>
              <w:rPr>
                <w:rFonts w:hint="eastAsia" w:ascii="仿宋" w:hAnsi="仿宋" w:eastAsia="仿宋" w:cs="仿宋"/>
                <w:lang w:val="en-US" w:eastAsia="zh-CN"/>
              </w:rPr>
              <w:t>预算数</w:t>
            </w:r>
          </w:p>
        </w:tc>
        <w:tc>
          <w:tcPr>
            <w:tcW w:w="8274" w:type="dxa"/>
            <w:gridSpan w:val="8"/>
            <w:tcBorders>
              <w:top w:val="single" w:color="auto" w:sz="4" w:space="0"/>
              <w:left w:val="single" w:color="auto" w:sz="4" w:space="0"/>
              <w:bottom w:val="single" w:color="auto" w:sz="4" w:space="0"/>
              <w:right w:val="single" w:color="auto" w:sz="4" w:space="0"/>
            </w:tcBorders>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决算数</w:t>
            </w:r>
          </w:p>
        </w:tc>
      </w:tr>
      <w:tr>
        <w:tblPrEx>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w:t>
            </w:r>
          </w:p>
          <w:p>
            <w:pPr>
              <w:pStyle w:val="22"/>
              <w:widowControl w:val="0"/>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w:t>
            </w:r>
          </w:p>
          <w:p>
            <w:pPr>
              <w:pStyle w:val="22"/>
              <w:widowControl w:val="0"/>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小计</w:t>
            </w:r>
          </w:p>
        </w:tc>
        <w:tc>
          <w:tcPr>
            <w:tcW w:w="102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
                <w:szCs w:val="2"/>
              </w:rPr>
            </w:pPr>
            <w:r>
              <w:rPr>
                <w:rFonts w:hint="eastAsia" w:ascii="仿宋" w:hAnsi="仿宋" w:eastAsia="仿宋" w:cs="仿宋"/>
              </w:rPr>
              <w:t/>
            </w:r>
            <w:r>
              <w:rPr>
                <w:rFonts w:ascii="仿宋" w:hAnsi="仿宋" w:cs="仿宋" w:eastAsia="仿宋"/>
              </w:rPr>
              <w:t>小计</w:t>
            </w:r>
          </w:p>
        </w:tc>
        <w:tc>
          <w:tcPr>
            <w:tcW w:w="1089"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vAlign w:val="top"/>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5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89"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c>
          <w:tcPr>
            <w:tcW w:w="102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18"/>
                <w:szCs w:val="18"/>
              </w:rPr>
            </w:pPr>
            <w:r>
              <w:rPr>
                <w:rFonts w:hint="eastAsia" w:ascii="仿宋" w:hAnsi="仿宋" w:eastAsia="仿宋" w:cs="仿宋"/>
                <w:sz w:val="18"/>
                <w:szCs w:val="18"/>
              </w:rPr>
              <w:t>0.00</w:t>
            </w:r>
          </w:p>
        </w:tc>
      </w:tr>
    </w:tbl>
    <w:p>
      <w:pPr>
        <w:spacing w:before="30" w:after="33"/>
        <w:ind w:left="220" w:leftChars="100" w:firstLine="0" w:firstLineChars="0"/>
        <w:rPr>
          <w:rFonts w:hint="eastAsia" w:ascii="仿宋" w:hAnsi="仿宋" w:eastAsia="仿宋" w:cs="仿宋"/>
          <w:sz w:val="22"/>
          <w:szCs w:val="22"/>
        </w:rPr>
      </w:pPr>
      <w:r>
        <w:rPr>
          <w:rFonts w:hint="eastAsia" w:ascii="仿宋" w:hAnsi="仿宋" w:eastAsia="仿宋" w:cs="仿宋"/>
          <w:sz w:val="22"/>
          <w:szCs w:val="22"/>
        </w:rPr>
        <w:t>相关统计数：</w:t>
      </w:r>
    </w:p>
    <w:tbl>
      <w:tblPr>
        <w:tblStyle w:val="12"/>
        <w:tblW w:w="11798" w:type="dxa"/>
        <w:tblInd w:w="62" w:type="dxa"/>
        <w:tblLayout w:type="fixed"/>
        <w:tblCellMar>
          <w:top w:w="55" w:type="dxa"/>
          <w:left w:w="55" w:type="dxa"/>
          <w:bottom w:w="55" w:type="dxa"/>
          <w:right w:w="55" w:type="dxa"/>
        </w:tblCellMar>
      </w:tblPr>
      <w:tblGrid>
        <w:gridCol w:w="4028"/>
        <w:gridCol w:w="1976"/>
        <w:gridCol w:w="3908"/>
        <w:gridCol w:w="1886"/>
      </w:tblGrid>
      <w:tr>
        <w:trPr>
          <w:cantSplit/>
          <w:trHeight w:val="214"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
            </w:r>
            <w:r>
              <w:rPr>
                <w:rFonts w:ascii="仿宋" w:hAnsi="仿宋" w:cs="仿宋" w:eastAsia="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r>
      <w:tr>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r>
      <w:tr>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r>
      <w:tr>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r>
      <w:tr>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r>
      <w:tr>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r>
    </w:tbl>
    <w:p>
      <w:pPr>
        <w:widowControl w:val="0"/>
        <w:suppressAutoHyphens/>
        <w:bidi w:val="0"/>
        <w:spacing w:before="0" w:after="0"/>
        <w:ind w:left="0" w:leftChars="0" w:right="-2"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本表反映本年度一般公共预算“三公”经费、会议费和培训费支出情况。其中，预算数为全年预算数，反映按规定程序调整后的预算数；决算数是包括当年一般公共预算财政拨款和以前年度结转资金安排的实际支出。</w:t>
      </w:r>
      <w:r>
        <w:rPr>
          <w:rFonts w:ascii="仿宋" w:hAnsi="仿宋" w:cs="仿宋" w:eastAsia="仿宋"/>
          <w:sz w:val="22"/>
        </w:rPr>
        <w:t/>
      </w:r>
      <w:r>
        <w:rPr>
          <w:rFonts w:hint="eastAsia" w:ascii="仿宋" w:hAnsi="仿宋" w:eastAsia="仿宋" w:cs="仿宋"/>
          <w:b w:val="0"/>
          <w:bCs w:val="0"/>
          <w:sz w:val="22"/>
          <w:szCs w:val="22"/>
          <w:lang w:val="en-US" w:eastAsia="zh-CN"/>
        </w:rPr>
        <w:t/>
      </w:r>
    </w:p>
    <w:p>
      <w:pPr>
        <w:widowControl w:val="0"/>
        <w:numPr>
          <w:ilvl w:val="0"/>
          <w:numId w:val="0"/>
        </w:numPr>
        <w:suppressAutoHyphens/>
        <w:bidi w:val="0"/>
        <w:spacing w:before="0" w:after="0"/>
        <w:ind w:left="440" w:leftChars="200" w:right="0" w:righ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
      </w:r>
      <w:r>
        <w:rPr>
          <w:rFonts w:hint="eastAsia" w:ascii="仿宋" w:hAnsi="仿宋" w:eastAsia="仿宋" w:cs="仿宋"/>
          <w:b w:val="0"/>
          <w:bCs w:val="0"/>
          <w:sz w:val="22"/>
          <w:szCs w:val="22"/>
          <w:lang w:eastAsia="zh-CN"/>
        </w:rPr>
        <w:t>本</w:t>
      </w:r>
      <w:r>
        <w:rPr>
          <w:rFonts w:ascii="仿宋" w:hAnsi="仿宋" w:cs="仿宋" w:eastAsia="仿宋"/>
          <w:sz w:val="22"/>
        </w:rPr>
        <w:t>单位</w:t>
      </w:r>
      <w:r>
        <w:rPr>
          <w:rFonts w:hint="eastAsia" w:ascii="仿宋" w:hAnsi="仿宋" w:eastAsia="仿宋" w:cs="仿宋"/>
          <w:b w:val="0"/>
          <w:bCs w:val="0"/>
          <w:sz w:val="22"/>
          <w:szCs w:val="22"/>
        </w:rPr>
        <w:t>无一般公共预算“三公”经费、会议费、培训费支出决算，故本表为空。</w:t>
      </w:r>
      <w:r>
        <w:rPr>
          <w:rFonts w:ascii="仿宋" w:hAnsi="仿宋" w:cs="仿宋" w:eastAsia="仿宋"/>
          <w:sz w:val="22"/>
        </w:rPr>
        <w:t/>
      </w:r>
    </w:p>
    <w:p>
      <w:pPr>
        <w:widowControl w:val="0"/>
        <w:suppressAutoHyphens/>
        <w:bidi w:val="0"/>
        <w:spacing w:before="0" w:after="0"/>
        <w:ind w:left="227" w:right="0" w:firstLine="220" w:firstLineChars="100"/>
        <w:jc w:val="both"/>
        <w:rPr>
          <w:rFonts w:hint="eastAsia" w:ascii="仿宋" w:hAnsi="仿宋" w:eastAsia="仿宋" w:cs="仿宋"/>
          <w:b w:val="0"/>
          <w:bCs w:val="0"/>
          <w:sz w:val="22"/>
          <w:szCs w:val="22"/>
        </w:rPr>
        <w:sectPr>
          <w:footerReference r:id="rId16" w:type="default"/>
          <w:pgSz w:w="16838" w:h="11906" w:orient="landscape"/>
          <w:pgMar w:top="720" w:right="153" w:bottom="720" w:left="153"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tblPrEx>
          <w:tblCellMar>
            <w:top w:w="55" w:type="dxa"/>
            <w:left w:w="55" w:type="dxa"/>
            <w:bottom w:w="55" w:type="dxa"/>
            <w:right w:w="55" w:type="dxa"/>
          </w:tblCellMar>
        </w:tblPrEx>
        <w:trPr>
          <w:trHeight w:val="395" w:hRule="atLeast"/>
        </w:trPr>
        <w:tc>
          <w:tcPr>
            <w:tcW w:w="15400"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政府性基金预算支出决算表</w:t>
            </w:r>
          </w:p>
        </w:tc>
      </w:tr>
      <w:tr>
        <w:trPr>
          <w:trHeight w:val="323" w:hRule="atLeast"/>
        </w:trPr>
        <w:tc>
          <w:tcPr>
            <w:tcW w:w="8426" w:type="dxa"/>
            <w:gridSpan w:val="2"/>
          </w:tcPr>
          <w:p>
            <w:pPr>
              <w:pStyle w:val="22"/>
              <w:widowControl w:val="0"/>
              <w:rPr>
                <w:rFonts w:hint="eastAsia" w:ascii="仿宋" w:hAnsi="仿宋" w:eastAsia="仿宋" w:cs="仿宋"/>
                <w:sz w:val="20"/>
              </w:rPr>
            </w:pPr>
          </w:p>
        </w:tc>
        <w:tc>
          <w:tcPr>
            <w:tcW w:w="2684" w:type="dxa"/>
          </w:tcPr>
          <w:p>
            <w:pPr>
              <w:pStyle w:val="22"/>
              <w:widowControl w:val="0"/>
              <w:rPr>
                <w:rFonts w:hint="eastAsia" w:ascii="仿宋" w:hAnsi="仿宋" w:eastAsia="仿宋" w:cs="仿宋"/>
                <w:sz w:val="27"/>
              </w:rPr>
            </w:pPr>
          </w:p>
        </w:tc>
        <w:tc>
          <w:tcPr>
            <w:tcW w:w="2432" w:type="dxa"/>
          </w:tcPr>
          <w:p>
            <w:pPr>
              <w:pStyle w:val="22"/>
              <w:widowControl w:val="0"/>
              <w:rPr>
                <w:rFonts w:hint="eastAsia" w:ascii="仿宋" w:hAnsi="仿宋" w:eastAsia="仿宋" w:cs="仿宋"/>
                <w:sz w:val="20"/>
              </w:rPr>
            </w:pPr>
          </w:p>
        </w:tc>
        <w:tc>
          <w:tcPr>
            <w:tcW w:w="1858"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CellMar>
            <w:top w:w="55" w:type="dxa"/>
            <w:left w:w="55" w:type="dxa"/>
            <w:bottom w:w="55" w:type="dxa"/>
            <w:right w:w="55" w:type="dxa"/>
          </w:tblCellMar>
        </w:tblPrEx>
        <w:trPr>
          <w:trHeight w:val="152" w:hRule="atLeast"/>
        </w:trPr>
        <w:tc>
          <w:tcPr>
            <w:tcW w:w="13542"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1858"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rPr>
          <w:trHeight w:val="267" w:hRule="atLeast"/>
        </w:trPr>
        <w:tc>
          <w:tcPr>
            <w:tcW w:w="8426"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43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c>
          <w:tcPr>
            <w:tcW w:w="24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858"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25.00</w:t>
            </w:r>
          </w:p>
        </w:tc>
      </w:tr>
      <w:tr>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25.00</w:t>
            </w: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25.00</w:t>
            </w:r>
          </w:p>
        </w:tc>
      </w:tr>
      <w:tr>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22960</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彩票公益金安排的支出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25.00</w:t>
            </w: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25.00</w:t>
            </w:r>
          </w:p>
        </w:tc>
      </w:tr>
      <w:tr>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2296002</w:t>
            </w: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用于社会福利的彩票公益金支出</w:t>
            </w:r>
          </w:p>
        </w:tc>
        <w:tc>
          <w:tcPr>
            <w:tcW w:w="268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25.00</w:t>
            </w:r>
          </w:p>
        </w:tc>
        <w:tc>
          <w:tcPr>
            <w:tcW w:w="2432"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
            </w:r>
          </w:p>
        </w:tc>
        <w:tc>
          <w:tcPr>
            <w:tcW w:w="1858"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25.00</w:t>
            </w:r>
          </w:p>
        </w:tc>
      </w:tr>
    </w:tbl>
    <w:p>
      <w:pPr>
        <w:spacing w:before="25" w:after="0"/>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注：本表反映本年度政府性基金预算财政拨款支出情况。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sz w:val="22"/>
          <w:szCs w:val="22"/>
        </w:rPr>
        <w:t>本表金额单位转换时可能存在尾数误差。</w:t>
      </w:r>
      <w:r>
        <w:rPr>
          <w:rFonts w:hint="eastAsia" w:ascii="仿宋" w:hAnsi="仿宋" w:eastAsia="仿宋" w:cs="仿宋"/>
          <w:b w:val="0"/>
          <w:bCs w:val="0"/>
          <w:sz w:val="22"/>
          <w:szCs w:val="22"/>
          <w:lang w:val="en-US" w:eastAsia="zh-CN"/>
        </w:rPr>
        <w:t/>
      </w:r>
    </w:p>
    <w:p>
      <w:pPr>
        <w:widowControl w:val="0"/>
        <w:numPr>
          <w:ilvl w:val="0"/>
          <w:numId w:val="0"/>
        </w:numPr>
        <w:suppressAutoHyphens/>
        <w:bidi w:val="0"/>
        <w:spacing w:before="25" w:after="0"/>
        <w:jc w:val="both"/>
        <w:rPr>
          <w:rFonts w:hint="default" w:ascii="仿宋" w:hAnsi="仿宋" w:eastAsia="仿宋" w:cs="仿宋"/>
          <w:b w:val="0"/>
          <w:bCs w:val="0"/>
          <w:sz w:val="22"/>
          <w:szCs w:val="22"/>
          <w:lang w:val="en-US" w:eastAsia="zh-CN"/>
        </w:rPr>
        <w:sectPr>
          <w:footerReference r:id="rId17"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tblPrEx>
          <w:tblCellMar>
            <w:top w:w="55" w:type="dxa"/>
            <w:left w:w="55" w:type="dxa"/>
            <w:bottom w:w="55" w:type="dxa"/>
            <w:right w:w="55" w:type="dxa"/>
          </w:tblCellMar>
        </w:tblPrEx>
        <w:trPr>
          <w:trHeight w:val="395" w:hRule="atLeast"/>
        </w:trPr>
        <w:tc>
          <w:tcPr>
            <w:tcW w:w="15400" w:type="dxa"/>
            <w:gridSpan w:val="5"/>
            <w:vAlign w:val="center"/>
          </w:tcPr>
          <w:p>
            <w:pPr>
              <w:pStyle w:val="22"/>
              <w:widowControl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国有资本经营预算支出决算表</w:t>
            </w:r>
          </w:p>
        </w:tc>
      </w:tr>
      <w:tr>
        <w:tblPrEx>
          <w:tblCellMar>
            <w:top w:w="55" w:type="dxa"/>
            <w:left w:w="55" w:type="dxa"/>
            <w:bottom w:w="55" w:type="dxa"/>
            <w:right w:w="55" w:type="dxa"/>
          </w:tblCellMar>
        </w:tblPrEx>
        <w:trPr>
          <w:trHeight w:val="323" w:hRule="atLeast"/>
        </w:trPr>
        <w:tc>
          <w:tcPr>
            <w:tcW w:w="8520" w:type="dxa"/>
            <w:gridSpan w:val="2"/>
          </w:tcPr>
          <w:p>
            <w:pPr>
              <w:pStyle w:val="22"/>
              <w:widowControl w:val="0"/>
              <w:rPr>
                <w:rFonts w:hint="eastAsia" w:ascii="仿宋" w:hAnsi="仿宋" w:eastAsia="仿宋" w:cs="仿宋"/>
                <w:sz w:val="20"/>
              </w:rPr>
            </w:pPr>
          </w:p>
        </w:tc>
        <w:tc>
          <w:tcPr>
            <w:tcW w:w="2510" w:type="dxa"/>
          </w:tcPr>
          <w:p>
            <w:pPr>
              <w:pStyle w:val="22"/>
              <w:widowControl w:val="0"/>
              <w:rPr>
                <w:rFonts w:hint="eastAsia" w:ascii="仿宋" w:hAnsi="仿宋" w:eastAsia="仿宋" w:cs="仿宋"/>
                <w:sz w:val="27"/>
              </w:rPr>
            </w:pPr>
          </w:p>
        </w:tc>
        <w:tc>
          <w:tcPr>
            <w:tcW w:w="2309" w:type="dxa"/>
          </w:tcPr>
          <w:p>
            <w:pPr>
              <w:pStyle w:val="22"/>
              <w:widowControl w:val="0"/>
              <w:rPr>
                <w:rFonts w:hint="eastAsia" w:ascii="仿宋" w:hAnsi="仿宋" w:eastAsia="仿宋" w:cs="仿宋"/>
                <w:sz w:val="20"/>
              </w:rPr>
            </w:pPr>
          </w:p>
        </w:tc>
        <w:tc>
          <w:tcPr>
            <w:tcW w:w="206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eastAsia="zh-CN"/>
              </w:rPr>
              <w:t>1</w:t>
            </w:r>
            <w:r>
              <w:rPr>
                <w:rFonts w:hint="eastAsia" w:ascii="仿宋" w:hAnsi="仿宋" w:eastAsia="仿宋" w:cs="仿宋"/>
              </w:rPr>
              <w:t>表</w:t>
            </w:r>
          </w:p>
        </w:tc>
      </w:tr>
      <w:tr>
        <w:tblPrEx>
          <w:tblCellMar>
            <w:top w:w="55" w:type="dxa"/>
            <w:left w:w="55" w:type="dxa"/>
            <w:bottom w:w="55" w:type="dxa"/>
            <w:right w:w="55" w:type="dxa"/>
          </w:tblCellMar>
        </w:tblPrEx>
        <w:trPr>
          <w:trHeight w:val="152" w:hRule="atLeast"/>
        </w:trPr>
        <w:tc>
          <w:tcPr>
            <w:tcW w:w="13339"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206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230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2</w:t>
            </w:r>
          </w:p>
        </w:tc>
      </w:tr>
      <w:tr>
        <w:tblPrEx>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30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61"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w: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w: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
            </w: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
            </w: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w: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w:r>
          </w:p>
        </w:tc>
        <w:tc>
          <w:tcPr>
            <w:tcW w:w="2510"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
            </w:r>
          </w:p>
        </w:tc>
        <w:tc>
          <w:tcPr>
            <w:tcW w:w="2309"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
            </w:r>
          </w:p>
        </w:tc>
        <w:tc>
          <w:tcPr>
            <w:tcW w:w="2061"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rPr>
            </w:pPr>
            <w:r>
              <w:rPr>
                <w:rFonts w:hint="eastAsia" w:ascii="仿宋" w:hAnsi="仿宋" w:eastAsia="仿宋" w:cs="仿宋"/>
              </w:rPr>
              <w:t/>
            </w:r>
          </w:p>
        </w:tc>
      </w:tr>
    </w:tbl>
    <w:p>
      <w:pPr>
        <w:bidi w:val="0"/>
        <w:ind w:left="0" w:leftChars="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注：本表反映本年度国有资本经营预算财政拨款支出情况。</w:t>
      </w:r>
      <w:r>
        <w:rPr>
          <w:rFonts w:hint="eastAsia" w:ascii="仿宋" w:hAnsi="仿宋" w:eastAsia="仿宋" w:cs="仿宋"/>
          <w:b w:val="0"/>
          <w:bCs w:val="0"/>
          <w:sz w:val="22"/>
          <w:szCs w:val="22"/>
          <w:lang w:val="en-US" w:eastAsia="zh-CN"/>
        </w:rPr>
        <w:t/>
      </w:r>
      <w:r>
        <w:rPr>
          <w:rFonts w:hint="eastAsia" w:ascii="仿宋" w:hAnsi="仿宋" w:eastAsia="仿宋" w:cs="仿宋"/>
          <w:b w:val="0"/>
          <w:bCs w:val="0"/>
          <w:sz w:val="22"/>
          <w:szCs w:val="22"/>
          <w:lang w:val="en-US" w:eastAsia="zh-CN"/>
        </w:rPr>
        <w:t/>
      </w:r>
    </w:p>
    <w:p>
      <w:pPr>
        <w:numPr>
          <w:ilvl w:val="0"/>
          <w:numId w:val="0"/>
        </w:numPr>
        <w:bidi w:val="0"/>
        <w:ind w:left="440" w:leftChars="200" w:firstLine="0" w:firstLineChars="0"/>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lang w:val="en-US" w:eastAsia="zh-CN"/>
        </w:rPr>
        <w:t/>
      </w:r>
      <w:r>
        <w:rPr>
          <w:rFonts w:ascii="仿宋" w:hAnsi="仿宋" w:cs="仿宋" w:eastAsia="仿宋"/>
          <w:sz w:val="22"/>
        </w:rPr>
        <w:t>本</w:t>
      </w:r>
      <w:r>
        <w:rPr>
          <w:rFonts w:ascii="仿宋" w:hAnsi="仿宋" w:cs="仿宋" w:eastAsia="仿宋"/>
          <w:sz w:val="22"/>
        </w:rPr>
        <w:t>单位</w:t>
      </w:r>
      <w:r>
        <w:rPr>
          <w:rFonts w:ascii="仿宋" w:hAnsi="仿宋" w:cs="仿宋" w:eastAsia="仿宋"/>
          <w:sz w:val="22"/>
        </w:rPr>
        <w:t>无</w:t>
      </w:r>
      <w:r>
        <w:rPr>
          <w:rFonts w:hint="eastAsia" w:ascii="仿宋" w:hAnsi="仿宋" w:eastAsia="仿宋" w:cs="仿宋"/>
          <w:b w:val="0"/>
          <w:bCs w:val="0"/>
          <w:sz w:val="22"/>
          <w:szCs w:val="22"/>
        </w:rPr>
        <w:t>国有资本经营预算支出</w:t>
      </w:r>
      <w:r>
        <w:rPr>
          <w:rFonts w:hint="eastAsia" w:ascii="仿宋" w:hAnsi="仿宋" w:eastAsia="仿宋" w:cs="仿宋"/>
          <w:b w:val="0"/>
          <w:bCs w:val="0"/>
          <w:sz w:val="22"/>
          <w:szCs w:val="22"/>
          <w:lang w:val="en-US" w:eastAsia="zh-CN"/>
        </w:rPr>
        <w:t>决算，故本表为空。</w:t>
      </w:r>
      <w:r>
        <w:rPr>
          <w:rFonts w:ascii="仿宋" w:hAnsi="仿宋" w:cs="仿宋" w:eastAsia="仿宋"/>
          <w:sz w:val="22"/>
        </w:rPr>
        <w:t/>
      </w:r>
    </w:p>
    <w:p>
      <w:pPr>
        <w:spacing w:before="25" w:after="0"/>
        <w:ind w:left="-220" w:leftChars="-100" w:firstLine="0" w:firstLineChars="0"/>
        <w:jc w:val="both"/>
        <w:rPr>
          <w:rFonts w:hint="default" w:ascii="仿宋" w:hAnsi="仿宋" w:eastAsia="仿宋" w:cs="仿宋"/>
          <w:b w:val="0"/>
          <w:bCs w:val="0"/>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466" w:type="dxa"/>
        <w:tblInd w:w="53" w:type="dxa"/>
        <w:tblLayout w:type="fixed"/>
        <w:tblCellMar>
          <w:top w:w="55" w:type="dxa"/>
          <w:left w:w="55" w:type="dxa"/>
          <w:bottom w:w="55" w:type="dxa"/>
          <w:right w:w="55" w:type="dxa"/>
        </w:tblCellMar>
      </w:tblPr>
      <w:tblGrid>
        <w:gridCol w:w="1642"/>
        <w:gridCol w:w="4990"/>
        <w:gridCol w:w="3834"/>
      </w:tblGrid>
      <w:tr>
        <w:tblPrEx>
          <w:tblCellMar>
            <w:top w:w="55" w:type="dxa"/>
            <w:left w:w="55" w:type="dxa"/>
            <w:bottom w:w="55" w:type="dxa"/>
            <w:right w:w="55" w:type="dxa"/>
          </w:tblCellMar>
        </w:tblPrEx>
        <w:trPr>
          <w:trHeight w:val="319" w:hRule="atLeast"/>
        </w:trPr>
        <w:tc>
          <w:tcPr>
            <w:tcW w:w="10466" w:type="dxa"/>
            <w:gridSpan w:val="3"/>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一般公共预算机关运行经费支出决算表</w:t>
            </w:r>
          </w:p>
        </w:tc>
      </w:tr>
      <w:tr>
        <w:tblPrEx>
          <w:tblCellMar>
            <w:top w:w="55" w:type="dxa"/>
            <w:left w:w="55" w:type="dxa"/>
            <w:bottom w:w="55" w:type="dxa"/>
            <w:right w:w="55" w:type="dxa"/>
          </w:tblCellMar>
        </w:tblPrEx>
        <w:trPr>
          <w:trHeight w:val="90" w:hRule="atLeast"/>
        </w:trPr>
        <w:tc>
          <w:tcPr>
            <w:tcW w:w="6632" w:type="dxa"/>
            <w:gridSpan w:val="2"/>
          </w:tcPr>
          <w:p>
            <w:pPr>
              <w:pStyle w:val="22"/>
              <w:widowControl w:val="0"/>
              <w:rPr>
                <w:rFonts w:hint="eastAsia" w:ascii="仿宋" w:hAnsi="仿宋" w:eastAsia="仿宋" w:cs="仿宋"/>
                <w:sz w:val="20"/>
              </w:rPr>
            </w:pPr>
          </w:p>
        </w:tc>
        <w:tc>
          <w:tcPr>
            <w:tcW w:w="3834" w:type="dxa"/>
            <w:vAlign w:val="center"/>
          </w:tcPr>
          <w:p>
            <w:pPr>
              <w:pStyle w:val="22"/>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CellMar>
            <w:top w:w="55" w:type="dxa"/>
            <w:left w:w="55" w:type="dxa"/>
            <w:bottom w:w="55" w:type="dxa"/>
            <w:right w:w="55" w:type="dxa"/>
          </w:tblCellMar>
        </w:tblPrEx>
        <w:trPr>
          <w:trHeight w:val="90" w:hRule="atLeast"/>
        </w:trPr>
        <w:tc>
          <w:tcPr>
            <w:tcW w:w="6632" w:type="dxa"/>
            <w:gridSpan w:val="2"/>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3834"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99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834"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3834"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咨询费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r>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b w:val="true"/>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
            </w:r>
          </w:p>
        </w:tc>
      </w:tr>
    </w:tbl>
    <w:p>
      <w:pPr>
        <w:spacing w:before="25" w:after="0"/>
        <w:ind w:left="0" w:leftChars="0" w:right="-92" w:rightChars="-42" w:firstLine="0" w:firstLineChars="0"/>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r>
        <w:rPr>
          <w:rFonts w:hint="eastAsia" w:ascii="仿宋" w:hAnsi="仿宋" w:eastAsia="仿宋" w:cs="仿宋"/>
          <w:b w:val="0"/>
          <w:bCs w:val="0"/>
          <w:sz w:val="22"/>
          <w:szCs w:val="22"/>
          <w:lang w:val="en-US" w:eastAsia="zh-CN"/>
        </w:rPr>
        <w:t/>
      </w:r>
      <w:r>
        <w:rPr>
          <w:rFonts w:hint="eastAsia" w:ascii="仿宋" w:hAnsi="仿宋" w:eastAsia="仿宋" w:cs="仿宋"/>
          <w:b w:val="0"/>
          <w:bCs w:val="0"/>
          <w:sz w:val="22"/>
          <w:szCs w:val="22"/>
          <w:lang w:val="en-US" w:eastAsia="zh-CN"/>
        </w:rPr>
        <w:t/>
      </w:r>
    </w:p>
    <w:p>
      <w:pPr>
        <w:numPr>
          <w:ilvl w:val="0"/>
          <w:numId w:val="0"/>
        </w:numPr>
        <w:tabs>
          <w:tab w:val="left" w:pos="440"/>
        </w:tabs>
        <w:spacing w:before="25" w:after="0"/>
        <w:ind w:left="440" w:leftChars="200" w:firstLine="0" w:firstLineChars="0"/>
        <w:jc w:val="both"/>
        <w:rPr>
          <w:rFonts w:hint="eastAsia" w:ascii="仿宋" w:hAnsi="仿宋" w:eastAsia="仿宋" w:cs="仿宋"/>
          <w:b w:val="0"/>
          <w:bCs w:val="0"/>
          <w:sz w:val="22"/>
          <w:szCs w:val="22"/>
        </w:rPr>
      </w:pPr>
      <w:r>
        <w:rPr>
          <w:rFonts w:hint="eastAsia" w:ascii="仿宋" w:hAnsi="仿宋" w:eastAsia="仿宋" w:cs="仿宋"/>
          <w:b w:val="0"/>
          <w:bCs w:val="0"/>
          <w:sz w:val="22"/>
          <w:szCs w:val="22"/>
        </w:rPr>
        <w:t/>
      </w:r>
      <w:r>
        <w:rPr>
          <w:rFonts w:hint="eastAsia" w:ascii="仿宋" w:hAnsi="仿宋" w:eastAsia="仿宋" w:cs="仿宋"/>
          <w:b w:val="0"/>
          <w:bCs w:val="0"/>
          <w:sz w:val="22"/>
          <w:szCs w:val="22"/>
          <w:lang w:eastAsia="zh-CN"/>
        </w:rPr>
        <w:t>本</w:t>
      </w:r>
      <w:r>
        <w:rPr>
          <w:rFonts w:ascii="仿宋" w:hAnsi="仿宋" w:cs="仿宋" w:eastAsia="仿宋"/>
          <w:sz w:val="22"/>
        </w:rPr>
        <w:t>单位</w:t>
      </w:r>
      <w:r>
        <w:rPr>
          <w:rFonts w:hint="eastAsia" w:ascii="仿宋" w:hAnsi="仿宋" w:eastAsia="仿宋" w:cs="仿宋"/>
          <w:b w:val="0"/>
          <w:bCs w:val="0"/>
          <w:sz w:val="22"/>
          <w:szCs w:val="22"/>
        </w:rPr>
        <w:t>无一般公共预算机关运行经费支出决算，故本表为空。</w:t>
      </w:r>
      <w:r>
        <w:rPr>
          <w:rFonts w:ascii="仿宋" w:hAnsi="仿宋" w:cs="仿宋" w:eastAsia="仿宋"/>
          <w:sz w:val="22"/>
        </w:rPr>
        <w:t/>
      </w:r>
    </w:p>
    <w:p>
      <w:pPr>
        <w:numPr>
          <w:ilvl w:val="0"/>
          <w:numId w:val="0"/>
        </w:numPr>
        <w:tabs>
          <w:tab w:val="left" w:pos="440"/>
        </w:tabs>
        <w:spacing w:before="25" w:after="0"/>
        <w:ind w:left="440" w:leftChars="200" w:firstLine="0" w:firstLineChars="0"/>
        <w:jc w:val="both"/>
        <w:rPr>
          <w:rFonts w:hint="eastAsia" w:ascii="仿宋" w:hAnsi="仿宋" w:eastAsia="仿宋" w:cs="仿宋"/>
          <w:b w:val="0"/>
          <w:bCs w:val="0"/>
          <w:sz w:val="22"/>
          <w:szCs w:val="22"/>
          <w:lang w:val="en-US" w:eastAsia="zh-CN"/>
        </w:rPr>
        <w:sectPr>
          <w:footerReference r:id="rId18" w:type="default"/>
          <w:type w:val="continuous"/>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459" w:type="dxa"/>
        <w:tblInd w:w="45" w:type="dxa"/>
        <w:tblLayout w:type="fixed"/>
        <w:tblCellMar>
          <w:top w:w="55" w:type="dxa"/>
          <w:left w:w="55" w:type="dxa"/>
          <w:bottom w:w="55" w:type="dxa"/>
          <w:right w:w="55" w:type="dxa"/>
        </w:tblCellMar>
      </w:tblPr>
      <w:tblGrid>
        <w:gridCol w:w="4472"/>
        <w:gridCol w:w="722"/>
        <w:gridCol w:w="1992"/>
        <w:gridCol w:w="3273"/>
      </w:tblGrid>
      <w:tr>
        <w:tblPrEx>
          <w:tblCellMar>
            <w:top w:w="55" w:type="dxa"/>
            <w:left w:w="55" w:type="dxa"/>
            <w:bottom w:w="55" w:type="dxa"/>
            <w:right w:w="55" w:type="dxa"/>
          </w:tblCellMar>
        </w:tblPrEx>
        <w:trPr>
          <w:trHeight w:val="333" w:hRule="atLeast"/>
        </w:trPr>
        <w:tc>
          <w:tcPr>
            <w:tcW w:w="10459" w:type="dxa"/>
            <w:gridSpan w:val="4"/>
            <w:vAlign w:val="center"/>
          </w:tcPr>
          <w:p>
            <w:pPr>
              <w:pStyle w:val="22"/>
              <w:widowControl w:val="0"/>
              <w:bidi w:val="0"/>
              <w:jc w:val="center"/>
              <w:rPr>
                <w:rFonts w:hint="eastAsia" w:ascii="仿宋" w:hAnsi="仿宋" w:eastAsia="仿宋" w:cs="仿宋"/>
                <w:b/>
                <w:bCs/>
                <w:sz w:val="44"/>
                <w:szCs w:val="44"/>
              </w:rPr>
            </w:pPr>
            <w:r>
              <w:rPr>
                <w:rFonts w:hint="eastAsia" w:ascii="宋体" w:hAnsi="宋体" w:eastAsia="宋体" w:cs="宋体"/>
                <w:b/>
                <w:bCs/>
                <w:color w:val="000000"/>
                <w:kern w:val="0"/>
                <w:sz w:val="36"/>
                <w:szCs w:val="36"/>
                <w:lang w:val="zh-CN" w:eastAsia="ar-SA" w:bidi="zh-CN"/>
              </w:rPr>
              <w:t>政府采购支出决算表</w:t>
            </w:r>
          </w:p>
        </w:tc>
      </w:tr>
      <w:tr>
        <w:tblPrEx>
          <w:tblCellMar>
            <w:top w:w="55" w:type="dxa"/>
            <w:left w:w="55" w:type="dxa"/>
            <w:bottom w:w="55" w:type="dxa"/>
            <w:right w:w="55" w:type="dxa"/>
          </w:tblCellMar>
        </w:tblPrEx>
        <w:trPr>
          <w:trHeight w:val="333" w:hRule="atLeast"/>
        </w:trPr>
        <w:tc>
          <w:tcPr>
            <w:tcW w:w="4472" w:type="dxa"/>
          </w:tcPr>
          <w:p>
            <w:pPr>
              <w:pStyle w:val="22"/>
              <w:widowControl w:val="0"/>
              <w:bidi w:val="0"/>
              <w:rPr>
                <w:rFonts w:hint="eastAsia" w:ascii="仿宋" w:hAnsi="仿宋" w:eastAsia="仿宋" w:cs="仿宋"/>
              </w:rPr>
            </w:pPr>
          </w:p>
        </w:tc>
        <w:tc>
          <w:tcPr>
            <w:tcW w:w="72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3273" w:type="dxa"/>
            <w:vAlign w:val="center"/>
          </w:tcPr>
          <w:p>
            <w:pPr>
              <w:pStyle w:val="22"/>
              <w:widowControl w:val="0"/>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名称：</w:t>
            </w:r>
            <w:r>
              <w:rPr>
                <w:rFonts w:hint="eastAsia" w:ascii="仿宋" w:hAnsi="仿宋" w:eastAsia="仿宋" w:cs="仿宋"/>
              </w:rPr>
              <w:t>江苏省伤残人康复中心</w:t>
            </w:r>
          </w:p>
        </w:tc>
        <w:tc>
          <w:tcPr>
            <w:tcW w:w="3273"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lang w:val="en-US" w:eastAsia="zh-CN"/>
              </w:rPr>
            </w:pPr>
            <w:r>
              <w:rPr>
                <w:rFonts w:hint="eastAsia" w:ascii="仿宋" w:hAnsi="仿宋" w:eastAsia="仿宋" w:cs="仿宋"/>
                <w:lang w:val="en-US" w:eastAsia="zh-CN"/>
              </w:rPr>
              <w:t/>
            </w:r>
            <w:r>
              <w:rPr>
                <w:rFonts w:ascii="仿宋" w:hAnsi="仿宋" w:cs="仿宋" w:eastAsia="仿宋"/>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112.80</w:t>
            </w:r>
          </w:p>
        </w:tc>
      </w:tr>
      <w:tr>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112.80</w:t>
            </w:r>
          </w:p>
        </w:tc>
      </w:tr>
      <w:tr>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112.80</w:t>
            </w:r>
          </w:p>
        </w:tc>
      </w:tr>
      <w:tr>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21.60</w:t>
            </w:r>
          </w:p>
        </w:tc>
      </w:tr>
    </w:tbl>
    <w:p>
      <w:pPr>
        <w:bidi w:val="0"/>
        <w:jc w:val="both"/>
        <w:rPr>
          <w:rFonts w:hint="default" w:ascii="仿宋" w:hAnsi="仿宋" w:eastAsia="仿宋" w:cs="仿宋"/>
          <w:b w:val="0"/>
          <w:bCs w:val="0"/>
          <w:sz w:val="22"/>
          <w:szCs w:val="22"/>
          <w:lang w:val="en-US" w:eastAsia="zh-CN"/>
        </w:rPr>
      </w:pPr>
      <w:r>
        <w:rPr>
          <w:rFonts w:hint="eastAsia" w:ascii="仿宋" w:hAnsi="仿宋" w:eastAsia="仿宋" w:cs="仿宋"/>
          <w:b w:val="0"/>
          <w:bCs w:val="0"/>
          <w:sz w:val="22"/>
          <w:szCs w:val="22"/>
        </w:rPr>
        <w:t>注：</w:t>
      </w:r>
      <w:r>
        <w:rPr>
          <w:rFonts w:hint="eastAsia" w:ascii="仿宋" w:hAnsi="仿宋" w:eastAsia="仿宋" w:cs="仿宋"/>
          <w:b w:val="0"/>
          <w:bCs w:val="0"/>
          <w:sz w:val="22"/>
          <w:szCs w:val="22"/>
          <w:lang w:val="en-US" w:eastAsia="zh-CN"/>
        </w:rPr>
        <w:t>政府采购支出信息为单位纳入部门预算范围的各项政府采购支出情况。</w:t>
      </w:r>
      <w:r>
        <w:rPr>
          <w:rFonts w:ascii="仿宋" w:hAnsi="仿宋" w:cs="仿宋" w:eastAsia="仿宋"/>
          <w:sz w:val="22"/>
        </w:rPr>
        <w:t/>
      </w:r>
      <w:r>
        <w:rPr>
          <w:rFonts w:hint="eastAsia" w:ascii="仿宋" w:hAnsi="仿宋" w:eastAsia="仿宋" w:cs="仿宋"/>
          <w:b w:val="0"/>
          <w:bCs w:val="0"/>
          <w:sz w:val="22"/>
          <w:szCs w:val="22"/>
          <w:lang w:val="en-US" w:eastAsia="zh-CN"/>
        </w:rPr>
        <w:t>本表金额单位转换时可能存在尾数误差</w:t>
      </w:r>
      <w:r>
        <w:rPr>
          <w:rFonts w:hint="eastAsia" w:ascii="仿宋" w:hAnsi="仿宋" w:eastAsia="仿宋" w:cs="仿宋"/>
          <w:b w:val="0"/>
          <w:bCs w:val="0"/>
          <w:sz w:val="22"/>
          <w:szCs w:val="22"/>
        </w:rPr>
        <w:t>。</w:t>
      </w:r>
      <w:r>
        <w:rPr>
          <w:rFonts w:hint="eastAsia" w:ascii="仿宋" w:hAnsi="仿宋" w:eastAsia="仿宋" w:cs="仿宋"/>
          <w:b w:val="0"/>
          <w:bCs w:val="0"/>
          <w:sz w:val="22"/>
          <w:szCs w:val="22"/>
          <w:lang w:val="en-US" w:eastAsia="zh-CN"/>
        </w:rPr>
        <w:t/>
      </w:r>
    </w:p>
    <w:p>
      <w:pPr>
        <w:numPr>
          <w:ilvl w:val="0"/>
          <w:numId w:val="0"/>
        </w:numPr>
        <w:bidi w:val="0"/>
        <w:ind w:left="440" w:leftChars="200" w:firstLine="0" w:firstLineChars="0"/>
        <w:jc w:val="both"/>
        <w:rPr>
          <w:rFonts w:hint="eastAsia" w:ascii="仿宋" w:hAnsi="仿宋" w:eastAsia="仿宋" w:cs="仿宋"/>
          <w:b w:val="0"/>
          <w:bCs w:val="0"/>
          <w:sz w:val="22"/>
          <w:szCs w:val="22"/>
        </w:rPr>
        <w:sectPr>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outlineLvl w:val="0"/>
        <w:rPr>
          <w:rFonts w:hint="eastAsia" w:ascii="宋体" w:hAnsi="宋体" w:eastAsia="宋体" w:cs="宋体"/>
          <w:b/>
          <w:bCs/>
          <w:color w:val="000000"/>
          <w:kern w:val="0"/>
          <w:sz w:val="36"/>
          <w:szCs w:val="36"/>
          <w:lang w:val="zh-CN" w:eastAsia="ar-SA" w:bidi="zh-CN"/>
        </w:rPr>
      </w:pPr>
      <w:r>
        <w:rPr>
          <w:rFonts w:hint="eastAsia" w:ascii="宋体" w:hAnsi="宋体" w:eastAsia="宋体" w:cs="宋体"/>
          <w:b/>
          <w:bCs/>
          <w:color w:val="000000"/>
          <w:kern w:val="0"/>
          <w:sz w:val="36"/>
          <w:szCs w:val="36"/>
          <w:lang w:val="zh-CN" w:eastAsia="ar-SA" w:bidi="zh-CN"/>
        </w:rPr>
        <w:t>第三部分</w:t>
      </w:r>
      <w:r>
        <w:rPr>
          <w:rFonts w:hint="eastAsia" w:ascii="宋体" w:hAnsi="宋体" w:eastAsia="宋体" w:cs="宋体"/>
          <w:b/>
          <w:bCs/>
          <w:color w:val="000000"/>
          <w:kern w:val="0"/>
          <w:sz w:val="36"/>
          <w:szCs w:val="36"/>
          <w:lang w:val="en-US" w:eastAsia="zh-CN" w:bidi="zh-CN"/>
        </w:rPr>
        <w:t xml:space="preserve"> </w:t>
      </w:r>
      <w:r>
        <w:rPr>
          <w:rFonts w:hint="eastAsia" w:ascii="宋体" w:hAnsi="宋体" w:eastAsia="宋体" w:cs="宋体"/>
          <w:b/>
          <w:bCs/>
          <w:color w:val="000000"/>
          <w:kern w:val="0"/>
          <w:sz w:val="36"/>
          <w:szCs w:val="36"/>
          <w:lang w:val="zh-CN" w:eastAsia="zh-CN" w:bidi="zh-CN"/>
        </w:rPr>
        <w:t>2021</w:t>
      </w:r>
      <w:r>
        <w:rPr>
          <w:rFonts w:hint="eastAsia" w:ascii="宋体" w:hAnsi="宋体" w:eastAsia="宋体" w:cs="宋体"/>
          <w:b/>
          <w:bCs/>
          <w:color w:val="000000"/>
          <w:kern w:val="0"/>
          <w:sz w:val="36"/>
          <w:szCs w:val="36"/>
          <w:lang w:val="zh-CN" w:eastAsia="ar-SA" w:bidi="zh-CN"/>
        </w:rPr>
        <w:t>年度</w:t>
      </w:r>
      <w:r>
        <w:rPr>
          <w:rFonts w:ascii="宋体" w:hAnsi="宋体" w:cs="宋体" w:eastAsia="宋体"/>
          <w:b w:val="true"/>
          <w:color w:val="000000"/>
          <w:sz w:val="36"/>
        </w:rPr>
        <w:t>单位</w:t>
      </w:r>
      <w:r>
        <w:rPr>
          <w:rFonts w:ascii="宋体" w:hAnsi="宋体" w:cs="宋体" w:eastAsia="宋体"/>
          <w:b w:val="true"/>
          <w:color w:val="000000"/>
          <w:sz w:val="36"/>
        </w:rPr>
        <w:t>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一、收入支出决算总体情况说明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2021年度收入、支出决算总计3,697.38万元。与上年相比，收、支总计各减少1,443.35万元，减少28.08%。其中：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（一）收入决算总计3,697.38万元。包括：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1.本年收入决算合计3,697.38万元。与上年相比，减少840.26万元，减少18.52%，变动原因：本年度一般公共预算资金比去年增加12.10万元；政府性基金预算财政拨款比去年减少882.10万元；经营收入比去年增加29.74万元。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2.使用非财政拨款结余0万元。与上年决算数相同。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3.年初结转和结余0万元。与上年相比，减少603.09万元，减少100%，变动原因：2020年度无结余结转项目，故年初结转和结余0万元。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（二）支出决算总计3,697.38万元。包括：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1.本年支出决算合计3,565.98万元。与上年相比，减少1,570.25万元，减少30.57%，变动原因：本年度项目支出比去年减少1600万元，经营支出增加29.75万元。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结余分配1.4万元。结余分配事项：主要是江苏省伤残人康复中心对非财政补助结余按规定计算缴纳的企业所得税、提取的职工福利基金和转入非财政拨款结余等。与上年相比，减少3.1万元，减少68.89%，变动原因：主要原因是本年度经营结余减少3.1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年末结转和结余130万元。结转和结余事项：本年度机构能力提升项目结余结转105万元，主动膝关节研发项目结余结转25万元。与上年相比，增加130万元（上年决算数为0万元，无法计算增减比率），变动原因：本年度新增项目结余结转130万元（其中：机构能力提升项目结余结转105万元，主动膝关节研发项目结余结转25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二、收入决算情况说明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本年收入决算合计3,697.38万元，其中：财政拨款收入2,027.28万元，占54.83%；上级补助收入0万元，占0%；财政专户管理教育收费0万元，占0%；事业收入（不含专户管理教育收费）0万元，占0%；经营收入1,670.1万元，占45.17%；附属单位上缴收入0万元，占0%；其他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2021年度本年支出决算合计3,565.98万元，其中：基本支出947.28万元，占26.56%；项目支出950万元，占26.64%；上缴上级支出0万元，占0%；经营支出1,668.7万元，占46.8%；对附属单位补助支出0万元，占0%。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四、财政拨款收入支出决算总体情况说明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财政拨款收入、支出决算总计2,027.28万元。与上年相比，收、支总计各减少1,470万元，减少42.03%，变动原因：本年度一般公共预算资金支出比去年增加12.10万元；政府性基金预算财政拨款支出比去年减少1482.10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五、财政拨款支出决算情况说明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2021年度财政拨款支出决算1,897.28万元，占本年支出合计的53.21%。与2021年度财政拨款支出年初预算1,872.28万元相比，完成年初预算的101.34%。其中：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（一）科学技术支出（类）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科技重大项目（款）重点研发计划（项）。年初预算0万元，支出决算25万元，（年初预算数为0万元，无法计算完成比率）。决算数与年初预算数的差异原因：2021年10月新增主动膝关节研发项目50万元，本年度该项目支出25万元，年末结余结转25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（二）社会保障和就业支出（类）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1.行政事业单位养老支出（款）机关事业单位基本养老保险缴费支出（项）。年初预算51.58万元，支出决算51.58万元，完成年初预算的100%。决算数与年初预算数相同。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2.行政事业单位养老支出（款）机关事业单位职业年金缴费支出（项）。年初预算25.79万元，支出决算25.79万元，完成年初预算的100%。决算数与年初预算数相同。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3.抚恤（款）优抚事业单位支出（项）。年初预算1,429.93万元，支出决算1,429.93万元，完成年初预算的100%。决算数与年初预算数相同。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（三）住房保障支出（类）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住房改革支出（款）提租补贴（项）。年初预算339.98万元，支出决算339.98万元，完成年初预算的100%。决算数与年初预算数相同。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（四）其他支出（类）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彩票公益金安排的支出（款）用于社会福利的彩票公益金支出（项）。年初预算25万元，支出决算25万元，完成年初预算的100%。决算数与年初预算数相同。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六、财政拨款基本支出决算情况说明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2021年度财政拨款基本支出决算947.28万元，其中：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hint="eastAsia" w:ascii="楷体" w:hAnsi="楷体" w:eastAsia="楷体" w:cs="楷体"/>
          <w:b w:val="0"/>
          <w:bCs w:val="0"/>
          <w:lang w:val="en-US"/>
        </w:rPr>
        <w:t/>
      </w:r>
      <w:r>
        <w:rPr>
          <w:rFonts w:ascii="楷体" w:hAnsi="楷体" w:cs="楷体" w:eastAsia="楷体"/>
        </w:rPr>
        <w:t>（一）人员经费802.3万元。</w:t>
      </w:r>
      <w:r>
        <w:rPr>
          <w:rFonts w:ascii="楷体" w:hAnsi="楷体" w:cs="楷体" w:eastAsia="楷体"/>
        </w:rPr>
        <w:t/>
      </w:r>
      <w:r>
        <w:rPr>
          <w:rFonts w:hint="eastAsia" w:ascii="仿宋" w:hAnsi="仿宋" w:eastAsia="仿宋" w:cs="仿宋"/>
          <w:b w:val="0"/>
          <w:bCs w:val="0"/>
          <w:lang w:val="en-US"/>
        </w:rPr>
        <w:t/>
      </w:r>
      <w:r>
        <w:rPr>
          <w:rFonts w:ascii="仿宋" w:hAnsi="仿宋" w:cs="仿宋" w:eastAsia="仿宋"/>
        </w:rPr>
        <w:t/>
      </w:r>
      <w:r>
        <w:rPr>
          <w:rFonts w:hint="eastAsia" w:ascii="楷体" w:hAnsi="楷体" w:eastAsia="楷体" w:cs="楷体"/>
          <w:b w:val="0"/>
          <w:bCs w:val="0"/>
          <w:lang w:val="en-US"/>
        </w:rPr>
        <w:t/>
      </w:r>
      <w:r>
        <w:rPr>
          <w:rFonts w:ascii="楷体" w:hAnsi="楷体" w:cs="楷体" w:eastAsia="楷体"/>
        </w:rPr>
        <w:t/>
      </w:r>
      <w:r>
        <w:rPr>
          <w:rFonts w:hint="eastAsia" w:ascii="仿宋" w:hAnsi="仿宋" w:eastAsia="仿宋" w:cs="仿宋"/>
          <w:b w:val="0"/>
          <w:bCs w:val="0"/>
          <w:lang w:val="en-US"/>
        </w:rPr>
        <w:t/>
      </w:r>
      <w:r>
        <w:rPr>
          <w:rFonts w:ascii="仿宋" w:hAnsi="仿宋" w:cs="仿宋" w:eastAsia="仿宋"/>
        </w:rPr>
        <w:t>主要包括：基本工资、津贴补贴、绩效工资、机关事业单位基本养老保险缴费、职业年金缴费、职工基本医疗保险缴费、退休费、奖励金。</w:t>
      </w:r>
      <w:r>
        <w:rPr>
          <w:rFonts w:ascii="仿宋" w:hAnsi="仿宋" w:cs="仿宋" w:eastAsia="仿宋"/>
        </w:rPr>
        <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hint="eastAsia" w:ascii="楷体" w:hAnsi="楷体" w:eastAsia="楷体" w:cs="楷体"/>
          <w:b w:val="0"/>
          <w:bCs w:val="0"/>
          <w:lang w:val="en-US"/>
        </w:rPr>
        <w:t/>
      </w:r>
      <w:r>
        <w:rPr>
          <w:rFonts w:ascii="楷体" w:hAnsi="楷体" w:cs="楷体" w:eastAsia="楷体"/>
        </w:rPr>
        <w:t>（二）公用经费144.98万元。</w:t>
      </w:r>
      <w:r>
        <w:rPr>
          <w:rFonts w:ascii="楷体" w:hAnsi="楷体" w:cs="楷体" w:eastAsia="楷体"/>
        </w:rPr>
        <w:t/>
      </w:r>
      <w:r>
        <w:rPr>
          <w:rFonts w:hint="eastAsia" w:ascii="仿宋" w:hAnsi="仿宋" w:eastAsia="仿宋" w:cs="仿宋"/>
          <w:b w:val="0"/>
          <w:bCs w:val="0"/>
          <w:lang w:val="en-US"/>
        </w:rPr>
        <w:t/>
      </w:r>
      <w:r>
        <w:rPr>
          <w:rFonts w:ascii="仿宋" w:hAnsi="仿宋" w:cs="仿宋" w:eastAsia="仿宋"/>
        </w:rPr>
        <w:t/>
      </w:r>
      <w:r>
        <w:rPr>
          <w:rFonts w:hint="eastAsia" w:ascii="楷体" w:hAnsi="楷体" w:eastAsia="楷体" w:cs="楷体"/>
          <w:b w:val="0"/>
          <w:bCs w:val="0"/>
          <w:lang w:val="en-US"/>
        </w:rPr>
        <w:t/>
      </w:r>
      <w:r>
        <w:rPr>
          <w:rFonts w:ascii="楷体" w:hAnsi="楷体" w:cs="楷体" w:eastAsia="楷体"/>
        </w:rPr>
        <w:t/>
      </w:r>
      <w:r>
        <w:rPr>
          <w:rFonts w:hint="eastAsia" w:ascii="仿宋" w:hAnsi="仿宋" w:eastAsia="仿宋" w:cs="仿宋"/>
          <w:b w:val="0"/>
          <w:bCs w:val="0"/>
          <w:lang w:val="en-US"/>
        </w:rPr>
        <w:t/>
      </w:r>
      <w:r>
        <w:rPr>
          <w:rFonts w:ascii="仿宋" w:hAnsi="仿宋" w:cs="仿宋" w:eastAsia="仿宋"/>
        </w:rPr>
        <w:t>主要包括：办公费、水费、电费、邮电费、差旅费、其他商品和服务支出。</w:t>
      </w:r>
      <w:r>
        <w:rPr>
          <w:rFonts w:ascii="仿宋" w:hAnsi="仿宋" w:cs="仿宋" w:eastAsia="仿宋"/>
        </w:rPr>
        <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七、一般公共预算支出决算情况说明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一般公共预算财政拨款支出决算1,872.28万元。与上年相比，减少12.9万元，减少0.68%，变动原因：本年度社会保障和就业支出比去年减少88.37万元，科学技术支出比去年增加25万元，住房保障支出比去年增加50.47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八、一般公共预算基本支出决算情况说明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2021年度一般公共预算财政拨款基本支出决算947.28万元，其中：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hint="eastAsia" w:ascii="楷体" w:hAnsi="楷体" w:eastAsia="楷体" w:cs="楷体"/>
          <w:b w:val="0"/>
          <w:bCs w:val="0"/>
          <w:lang w:val="en-US"/>
        </w:rPr>
        <w:t/>
      </w:r>
      <w:r>
        <w:rPr>
          <w:rFonts w:ascii="楷体" w:hAnsi="楷体" w:cs="楷体" w:eastAsia="楷体"/>
        </w:rPr>
        <w:t>（一）人员经费802.3万元。</w:t>
      </w:r>
      <w:r>
        <w:rPr>
          <w:rFonts w:ascii="楷体" w:hAnsi="楷体" w:cs="楷体" w:eastAsia="楷体"/>
        </w:rPr>
        <w:t/>
      </w:r>
      <w:r>
        <w:rPr>
          <w:rFonts w:hint="eastAsia" w:ascii="仿宋" w:hAnsi="仿宋" w:eastAsia="仿宋" w:cs="仿宋"/>
          <w:b w:val="0"/>
          <w:bCs w:val="0"/>
          <w:lang w:val="en-US"/>
        </w:rPr>
        <w:t/>
      </w:r>
      <w:r>
        <w:rPr>
          <w:rFonts w:ascii="仿宋" w:hAnsi="仿宋" w:cs="仿宋" w:eastAsia="仿宋"/>
        </w:rPr>
        <w:t/>
      </w:r>
      <w:r>
        <w:rPr>
          <w:rFonts w:hint="eastAsia" w:ascii="楷体" w:hAnsi="楷体" w:eastAsia="楷体" w:cs="楷体"/>
          <w:b w:val="0"/>
          <w:bCs w:val="0"/>
          <w:lang w:val="en-US"/>
        </w:rPr>
        <w:t/>
      </w:r>
      <w:r>
        <w:rPr>
          <w:rFonts w:ascii="楷体" w:hAnsi="楷体" w:cs="楷体" w:eastAsia="楷体"/>
        </w:rPr>
        <w:t/>
      </w:r>
      <w:r>
        <w:rPr>
          <w:rFonts w:hint="eastAsia" w:ascii="仿宋" w:hAnsi="仿宋" w:eastAsia="仿宋" w:cs="仿宋"/>
          <w:b w:val="0"/>
          <w:bCs w:val="0"/>
          <w:lang w:val="en-US"/>
        </w:rPr>
        <w:t/>
      </w:r>
      <w:r>
        <w:rPr>
          <w:rFonts w:ascii="仿宋" w:hAnsi="仿宋" w:cs="仿宋" w:eastAsia="仿宋"/>
        </w:rPr>
        <w:t>主要包括：基本工资、津贴补贴、绩效工资、机关事业单位基本养老保险缴费、职业年金缴费、职工基本医疗保险缴费、退休费、奖励金。</w:t>
      </w:r>
      <w:r>
        <w:rPr>
          <w:rFonts w:ascii="仿宋" w:hAnsi="仿宋" w:cs="仿宋" w:eastAsia="仿宋"/>
        </w:rPr>
        <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hint="eastAsia" w:ascii="楷体" w:hAnsi="楷体" w:eastAsia="楷体" w:cs="楷体"/>
          <w:b w:val="0"/>
          <w:bCs w:val="0"/>
          <w:lang w:val="en-US"/>
        </w:rPr>
        <w:t/>
      </w:r>
      <w:r>
        <w:rPr>
          <w:rFonts w:ascii="楷体" w:hAnsi="楷体" w:cs="楷体" w:eastAsia="楷体"/>
        </w:rPr>
        <w:t>（二）公用经费144.98万元。</w:t>
      </w:r>
      <w:r>
        <w:rPr>
          <w:rFonts w:ascii="楷体" w:hAnsi="楷体" w:cs="楷体" w:eastAsia="楷体"/>
        </w:rPr>
        <w:t/>
      </w:r>
      <w:r>
        <w:rPr>
          <w:rFonts w:hint="eastAsia" w:ascii="仿宋" w:hAnsi="仿宋" w:eastAsia="仿宋" w:cs="仿宋"/>
          <w:b w:val="0"/>
          <w:bCs w:val="0"/>
          <w:lang w:val="en-US"/>
        </w:rPr>
        <w:t/>
      </w:r>
      <w:r>
        <w:rPr>
          <w:rFonts w:ascii="仿宋" w:hAnsi="仿宋" w:cs="仿宋" w:eastAsia="仿宋"/>
        </w:rPr>
        <w:t/>
      </w:r>
      <w:r>
        <w:rPr>
          <w:rFonts w:hint="eastAsia" w:ascii="楷体" w:hAnsi="楷体" w:eastAsia="楷体" w:cs="楷体"/>
          <w:b w:val="0"/>
          <w:bCs w:val="0"/>
          <w:lang w:val="en-US"/>
        </w:rPr>
        <w:t/>
      </w:r>
      <w:r>
        <w:rPr>
          <w:rFonts w:ascii="楷体" w:hAnsi="楷体" w:cs="楷体" w:eastAsia="楷体"/>
        </w:rPr>
        <w:t/>
      </w:r>
      <w:r>
        <w:rPr>
          <w:rFonts w:hint="eastAsia" w:ascii="仿宋" w:hAnsi="仿宋" w:eastAsia="仿宋" w:cs="仿宋"/>
          <w:b w:val="0"/>
          <w:bCs w:val="0"/>
          <w:lang w:val="en-US"/>
        </w:rPr>
        <w:t/>
      </w:r>
      <w:r>
        <w:rPr>
          <w:rFonts w:ascii="仿宋" w:hAnsi="仿宋" w:cs="仿宋" w:eastAsia="仿宋"/>
        </w:rPr>
        <w:t>主要包括：办公费、水费、电费、邮电费、差旅费、其他商品和服务支出。</w:t>
      </w:r>
      <w:r>
        <w:rPr>
          <w:rFonts w:ascii="仿宋" w:hAnsi="仿宋" w:cs="仿宋" w:eastAsia="仿宋"/>
        </w:rPr>
        <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九、一般公共预算“三公”经费、会议费、培训费支出情况说明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（一）一般公共预算“三公”经费支出总体情况说明。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2021年度一般公共预算“三公”经费支出决算0万元。与上年决算数相同。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（二）一般公共预算“三公”经费支出具体情况说明。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1．因公出国（境）费支出预算0万元，支出决算0万元，完成预算的100%，决算数与预算数相同。全年使用一般公共预算财政拨款涉及的出国（境）团组0个，累计0人次。</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2．公务用车购置及运行维护费支出预算0万元，支出决算0万元，完成预算的100%，决算数与预算数相同。其中：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（1）公务用车购置支出决算0万元。本年度使用一般公共预算财政拨款购置公务用车0辆。</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运行维护费支出决算0万元。公务用车运行维护费主要用于按规定保留的公务用车的燃料费、维修费、过桥过路费、保险费、安全奖励费用等支出。截至2021年12月31日，使用一般公共预算财政拨款开支的公务用车保有量为0辆。</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3．公务接待费支出预算0万元，支出决算0万元，完成预算的100%，决算数与预算数相同。其中：国内公务接待支出0万元，接待0批次，0人次；国（境）外公务接待支出0万元，接待0批次0人次。</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（三）一般公共预算会议费支出决算情况说明。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2021年度一般公共预算财政拨款会议费支出预算0万元，支出决算0万元，完成预算的100%，决算数与预算数相同。2021年度全年召开会议0个，参加会议0人次。</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（四）一般公共预算培训费支出决算情况说明。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2021年度一般公共预算财政拨款培训费支出预算0万元，支出决算0万元，完成预算的100%，决算数与预算数相同。2021年度全年组织培训0个，组织培训0人次。</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十、政府性基金预算财政拨款支出决算情况说明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2021年度政府性基金预算财政拨款支出决算25万元。与上年相比，减少1,587.1万元，减少98.45%，变动原因：本年度政府性基金预算财政拨款项目支出比去年减少1587.10万元。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十一、国有资本经营预算财政拨款支出决算情况说明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2021年度国有资本经营预算财政拨款支出决算0万元。与上年决算数相同。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十二、一般公共预算机关运行经费支出决算情况说明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2021年度机关运行经费支出决算0万元。与上年决算数相同。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十三、政府采购支出决算情况说明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政府采购支出总额112.8万元，其中：政府采购货物支出112.8万元、政府采购工程支出0万元、政府采购服务支出0万元。政府采购授予中小企业合同金额112.8万元，占政府采购支出总额的100%，其中：授予小微企业合同金额21.6万元，占政府采购支出总额的19.15%。</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十四、国有资产占用情况说明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截至2021年12月31日，本单位共有车辆8辆，其中：副部(省)级及以上领导用车0辆、主要领导干部用车0辆、机要通信用车0辆、应急保障用车0辆、执法执勤用车0辆、特种专业技术用车0辆、离退休干部用车0辆、其他用车8辆；单价50万元（含）以上的通用设备5台（套），单价100万元（含）以上的专用设备4台（套）。</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十五、预算绩效评价工作开展情况</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2021年度，本单位共0个项目开展了财政重点绩效评价，涉及财政性资金合计0万元；本单位未开展单位整体支出财政重点绩效评价，涉及财政性资金0万元。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本单位共对上年度已实施完成的4个项目开展了绩效自评价，涉及财政性资金合计925万元；本单位共开展1项单位整体支出绩效自评价，涉及财政性资金合计1,897.28万元。</w:t>
      </w:r>
      <w:r>
        <w:rPr>
          <w:rFonts w:ascii="仿宋" w:hAnsi="仿宋" w:cs="仿宋" w:eastAsia="仿宋"/>
        </w:rPr>
        <w:t/>
      </w:r>
    </w:p>
    <w:p>
      <w:pPr>
        <w:pStyle w:val="5"/>
        <w:tabs>
          <w:tab w:val="left" w:pos="3077"/>
        </w:tabs>
        <w:spacing w:line="616" w:lineRule="exact"/>
        <w:jc w:val="center"/>
        <w:outlineLvl w:val="0"/>
        <w:rPr>
          <w:rFonts w:hint="eastAsia" w:ascii="宋体" w:hAnsi="宋体" w:eastAsia="宋体" w:cs="宋体"/>
          <w:b/>
          <w:bCs/>
          <w:sz w:val="36"/>
          <w:szCs w:val="36"/>
        </w:rPr>
      </w:pPr>
      <w:r>
        <w:rPr>
          <w:rFonts w:hint="eastAsia" w:ascii="宋体" w:hAnsi="宋体" w:eastAsia="宋体" w:cs="宋体"/>
          <w:b/>
          <w:bCs/>
          <w:sz w:val="36"/>
          <w:szCs w:val="36"/>
        </w:rPr>
        <w:t>第四部分 名词</w:t>
      </w:r>
      <w:r>
        <w:rPr>
          <w:rFonts w:hint="eastAsia" w:ascii="宋体" w:hAnsi="宋体" w:eastAsia="宋体" w:cs="宋体"/>
          <w:b/>
          <w:bCs/>
          <w:color w:val="000000"/>
          <w:kern w:val="0"/>
          <w:sz w:val="36"/>
          <w:szCs w:val="36"/>
          <w:lang w:val="zh-CN" w:eastAsia="ar-SA" w:bidi="zh-CN"/>
        </w:rPr>
        <w:t>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cs="仿宋" w:eastAsia="仿宋"/>
          <w:b w:val="true"/>
        </w:rPr>
        <w:t>：</w:t>
      </w:r>
      <w:r>
        <w:rPr>
          <w:rFonts w:hint="eastAsia" w:ascii="仿宋" w:hAnsi="仿宋" w:eastAsia="仿宋" w:cs="仿宋"/>
        </w:rPr>
        <w:t>指单位从同级财政部门取得的各类财政拨款，包括一般公共预算财政拨款、政府性基金预算财政拨款、国有资本经营预算财政拨款。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cs="仿宋" w:eastAsia="仿宋"/>
          <w:b w:val="true"/>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三、财政专户管理教育收费</w:t>
      </w:r>
      <w:r>
        <w:rPr>
          <w:rFonts w:ascii="仿宋" w:hAnsi="仿宋" w:cs="仿宋" w:eastAsia="仿宋"/>
          <w:b w:val="true"/>
        </w:rPr>
        <w:t>：</w:t>
      </w:r>
      <w:r>
        <w:rPr>
          <w:rFonts w:hint="eastAsia" w:ascii="仿宋" w:hAnsi="仿宋" w:eastAsia="仿宋" w:cs="仿宋"/>
        </w:rPr>
        <w:t>指缴入财政专户、实行专项管理的高中以上学费、住宿费、高校委托培养费、函大、电大、夜大及短训班培训费等教育收费。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四、事业收入</w:t>
      </w:r>
      <w:r>
        <w:rPr>
          <w:rFonts w:ascii="仿宋" w:hAnsi="仿宋" w:cs="仿宋" w:eastAsia="仿宋"/>
          <w:b w:val="true"/>
        </w:rPr>
        <w:t>：</w:t>
      </w:r>
      <w:r>
        <w:rPr>
          <w:rFonts w:hint="eastAsia" w:ascii="仿宋" w:hAnsi="仿宋" w:eastAsia="仿宋" w:cs="仿宋"/>
        </w:rPr>
        <w:t>指事业单位开展专业业务活动及其辅助活动取得的收入。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五、经营收入</w:t>
      </w:r>
      <w:r>
        <w:rPr>
          <w:rFonts w:ascii="仿宋" w:hAnsi="仿宋" w:cs="仿宋" w:eastAsia="仿宋"/>
          <w:b w:val="true"/>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六、附属单位上缴收入</w:t>
      </w:r>
      <w:r>
        <w:rPr>
          <w:rFonts w:ascii="仿宋" w:hAnsi="仿宋" w:cs="仿宋" w:eastAsia="仿宋"/>
          <w:b w:val="true"/>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七、其他收入</w:t>
      </w:r>
      <w:r>
        <w:rPr>
          <w:rFonts w:ascii="仿宋" w:hAnsi="仿宋" w:cs="仿宋" w:eastAsia="仿宋"/>
          <w:b w:val="true"/>
        </w:rPr>
        <w:t>：</w:t>
      </w:r>
      <w:r>
        <w:rPr>
          <w:rFonts w:hint="eastAsia" w:ascii="仿宋" w:hAnsi="仿宋" w:eastAsia="仿宋" w:cs="仿宋"/>
        </w:rPr>
        <w:t>指单位取得的除上述“财政拨款收入”、 “上级补助收入”、“事业收入”、“经营收入”、“附属单位上缴收入”等以外的各项收入。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八、使用非财政拨款结余</w:t>
      </w:r>
      <w:r>
        <w:rPr>
          <w:rFonts w:ascii="仿宋" w:hAnsi="仿宋" w:cs="仿宋" w:eastAsia="仿宋"/>
          <w:b w:val="true"/>
        </w:rPr>
        <w:t>：</w:t>
      </w:r>
      <w:r>
        <w:rPr>
          <w:rFonts w:hint="eastAsia" w:ascii="仿宋" w:hAnsi="仿宋" w:eastAsia="仿宋" w:cs="仿宋"/>
        </w:rPr>
        <w:t>指事业单位按照预算管理要求使用非财政拨款结余（原事业基金）弥补当年收支差额的数额。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九、年初结转和结余</w:t>
      </w:r>
      <w:r>
        <w:rPr>
          <w:rFonts w:ascii="仿宋" w:hAnsi="仿宋" w:cs="仿宋" w:eastAsia="仿宋"/>
          <w:b w:val="true"/>
        </w:rPr>
        <w:t>：</w:t>
      </w:r>
      <w:r>
        <w:rPr>
          <w:rFonts w:hint="eastAsia" w:ascii="仿宋" w:hAnsi="仿宋" w:eastAsia="仿宋" w:cs="仿宋"/>
        </w:rPr>
        <w:t>指单位上年结转本年使用的基本支出结转、项目支出结转和结余、经营结余。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十、结余分配</w:t>
      </w:r>
      <w:r>
        <w:rPr>
          <w:rFonts w:ascii="仿宋" w:hAnsi="仿宋" w:cs="仿宋" w:eastAsia="仿宋"/>
          <w:b w:val="true"/>
        </w:rPr>
        <w:t>：</w:t>
      </w:r>
      <w:r>
        <w:rPr>
          <w:rFonts w:hint="eastAsia" w:ascii="仿宋" w:hAnsi="仿宋" w:eastAsia="仿宋" w:cs="仿宋"/>
        </w:rPr>
        <w:t>指事业单位按规定缴纳的所得税以及从非财政拨款结余中提取各类结余的情况。</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十一、年末结转和结余资金</w:t>
      </w:r>
      <w:r>
        <w:rPr>
          <w:rFonts w:ascii="仿宋" w:hAnsi="仿宋" w:cs="仿宋" w:eastAsia="仿宋"/>
          <w:b w:val="true"/>
        </w:rPr>
        <w:t>：</w:t>
      </w:r>
      <w:r>
        <w:rPr>
          <w:rFonts w:hint="eastAsia" w:ascii="仿宋" w:hAnsi="仿宋" w:eastAsia="仿宋" w:cs="仿宋"/>
        </w:rPr>
        <w:t>指单位结转下年的基本支出结转、项目支出结转和结余、经营结余。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十二、基本支出</w:t>
      </w:r>
      <w:r>
        <w:rPr>
          <w:rFonts w:ascii="仿宋" w:hAnsi="仿宋" w:cs="仿宋" w:eastAsia="仿宋"/>
          <w:b w:val="true"/>
        </w:rPr>
        <w:t>：</w:t>
      </w:r>
      <w:r>
        <w:rPr>
          <w:rFonts w:hint="eastAsia" w:ascii="仿宋" w:hAnsi="仿宋" w:eastAsia="仿宋" w:cs="仿宋"/>
        </w:rPr>
        <w:t>指为保障机构正常运转、完成日常工作任务所发生的支出，包括人员经费和公用经费。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十三、项目支出</w:t>
      </w:r>
      <w:r>
        <w:rPr>
          <w:rFonts w:ascii="仿宋" w:hAnsi="仿宋" w:cs="仿宋" w:eastAsia="仿宋"/>
          <w:b w:val="true"/>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十四、上缴上级支出</w:t>
      </w:r>
      <w:r>
        <w:rPr>
          <w:rFonts w:ascii="仿宋" w:hAnsi="仿宋" w:cs="仿宋" w:eastAsia="仿宋"/>
          <w:b w:val="true"/>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十五、经营支出</w:t>
      </w:r>
      <w:r>
        <w:rPr>
          <w:rFonts w:ascii="仿宋" w:hAnsi="仿宋" w:cs="仿宋" w:eastAsia="仿宋"/>
          <w:b w:val="true"/>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十六、对附属单位补助支出</w:t>
      </w:r>
      <w:r>
        <w:rPr>
          <w:rFonts w:ascii="仿宋" w:hAnsi="仿宋" w:cs="仿宋" w:eastAsia="仿宋"/>
          <w:b w:val="true"/>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十七、“三公”经费</w:t>
      </w:r>
      <w:r>
        <w:rPr>
          <w:rFonts w:ascii="仿宋" w:hAnsi="仿宋" w:cs="仿宋" w:eastAsia="仿宋"/>
          <w:b w:val="true"/>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十八、机关运行经费</w:t>
      </w:r>
      <w:r>
        <w:rPr>
          <w:rFonts w:ascii="仿宋" w:hAnsi="仿宋" w:cs="仿宋" w:eastAsia="仿宋"/>
          <w:b w:val="true"/>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十九、科学技术支出(类)科技重大项目(款)重点研发计划(项)</w:t>
      </w:r>
      <w:r>
        <w:rPr>
          <w:rFonts w:ascii="仿宋" w:hAnsi="仿宋" w:cs="仿宋" w:eastAsia="仿宋"/>
          <w:b w:val="true"/>
        </w:rPr>
        <w:t>：</w:t>
      </w:r>
      <w:r>
        <w:rPr>
          <w:rFonts w:hint="eastAsia" w:ascii="仿宋" w:hAnsi="仿宋" w:eastAsia="仿宋" w:cs="仿宋"/>
        </w:rPr>
        <w:t>反映用于重点研发计划的有关经费支出。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二十、社会保障和就业支出(类)行政事业单位养老支出(款)机关事业单位基本养老保险缴费支出(项)</w:t>
      </w:r>
      <w:r>
        <w:rPr>
          <w:rFonts w:ascii="仿宋" w:hAnsi="仿宋" w:cs="仿宋" w:eastAsia="仿宋"/>
          <w:b w:val="true"/>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二十一、社会保障和就业支出(类)行政事业单位养老支出(款)机关事业单位职业年金缴费支出(项)</w:t>
      </w:r>
      <w:r>
        <w:rPr>
          <w:rFonts w:ascii="仿宋" w:hAnsi="仿宋" w:cs="仿宋" w:eastAsia="仿宋"/>
          <w:b w:val="true"/>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二十二、社会保障和就业支出(类)抚恤(款)优抚事业单位支出(项)</w:t>
      </w:r>
      <w:r>
        <w:rPr>
          <w:rFonts w:ascii="仿宋" w:hAnsi="仿宋" w:cs="仿宋" w:eastAsia="仿宋"/>
          <w:b w:val="true"/>
        </w:rPr>
        <w:t>：</w:t>
      </w:r>
      <w:r>
        <w:rPr>
          <w:rFonts w:hint="eastAsia" w:ascii="仿宋" w:hAnsi="仿宋" w:eastAsia="仿宋" w:cs="仿宋"/>
        </w:rPr>
        <w:t>反映民政部门管理的优抚事业单位支出，对集体优抚事业单位的补助，对烈士纪念设施的维修改造和管理保护支出，以及全国重点军供站设施维修改造和设备更新支出。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二十三、住房保障支出(类)住房改革支出(款)住房公积金(项)</w:t>
      </w:r>
      <w:r>
        <w:rPr>
          <w:rFonts w:ascii="仿宋" w:hAnsi="仿宋" w:cs="仿宋" w:eastAsia="仿宋"/>
          <w:b w:val="true"/>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二十四、住房保障支出(类)住房改革支出(款)提租补贴(项)</w:t>
      </w:r>
      <w:r>
        <w:rPr>
          <w:rFonts w:ascii="仿宋" w:hAnsi="仿宋" w:cs="仿宋" w:eastAsia="仿宋"/>
          <w:b w:val="true"/>
        </w:rPr>
        <w:t>：</w:t>
      </w:r>
      <w:r>
        <w:rPr>
          <w:rFonts w:hint="eastAsia" w:ascii="仿宋" w:hAnsi="仿宋" w:eastAsia="仿宋" w:cs="仿宋"/>
        </w:rPr>
        <w:t>反映按房改政策规定的标准，行政事业单位向职工（含离退休人员）发放的租金补贴。</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二十五、其他支出(类)彩票公益金安排的支出(款)用于社会福利的彩票公益金支出(项)</w:t>
      </w:r>
      <w:r>
        <w:rPr>
          <w:rFonts w:ascii="仿宋" w:hAnsi="仿宋" w:cs="仿宋" w:eastAsia="仿宋"/>
          <w:b w:val="true"/>
        </w:rPr>
        <w:t>：</w:t>
      </w:r>
      <w:r>
        <w:rPr>
          <w:rFonts w:hint="eastAsia" w:ascii="仿宋" w:hAnsi="仿宋" w:eastAsia="仿宋" w:cs="仿宋"/>
        </w:rPr>
        <w:t>反映用于社会福利和社会救助的彩票公益金支出。</w:t>
      </w:r>
    </w:p>
    <w:sectPr>
      <w:pgSz w:w="11906" w:h="16838"/>
      <w:pgMar w:top="1440" w:right="1080" w:bottom="1440" w:left="1080"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panose1 w:val="020B0604020202020204"/>
    <w:charset w:val="86"/>
    <w:family w:val="roman"/>
    <w:pitch w:val="default"/>
    <w:sig w:usb0="E0000AFF" w:usb1="500078FF" w:usb2="00000021" w:usb3="00000000" w:csb0="600001BF" w:csb1="DFF70000"/>
  </w:font>
  <w:font w:name="Liberation Mono">
    <w:panose1 w:val="02070409020205020404"/>
    <w:charset w:val="86"/>
    <w:family w:val="roman"/>
    <w:pitch w:val="default"/>
    <w:sig w:usb0="E0000AFF" w:usb1="400078FF" w:usb2="00000001" w:usb3="00000000" w:csb0="600001BF" w:csb1="DFF7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江苏省伤残人康复中心</w:t>
    </w:r>
    <w:r>
      <w:t>2021年度</w:t>
    </w:r>
    <w:r>
      <w:t>单位</w:t>
    </w:r>
    <w:r>
      <w:t>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789"/>
    <w:rsid w:val="000F12AB"/>
    <w:rsid w:val="001C31F9"/>
    <w:rsid w:val="002E63B1"/>
    <w:rsid w:val="00407CA7"/>
    <w:rsid w:val="00413AD8"/>
    <w:rsid w:val="004C0647"/>
    <w:rsid w:val="00671ED7"/>
    <w:rsid w:val="00672164"/>
    <w:rsid w:val="006732F1"/>
    <w:rsid w:val="008322BB"/>
    <w:rsid w:val="00867423"/>
    <w:rsid w:val="008B5B05"/>
    <w:rsid w:val="009965EA"/>
    <w:rsid w:val="00A6752E"/>
    <w:rsid w:val="00B92181"/>
    <w:rsid w:val="00BD7F33"/>
    <w:rsid w:val="00C15920"/>
    <w:rsid w:val="00C82582"/>
    <w:rsid w:val="00FA3233"/>
    <w:rsid w:val="010F1E77"/>
    <w:rsid w:val="01536131"/>
    <w:rsid w:val="01657C13"/>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461F7D"/>
    <w:rsid w:val="044E689B"/>
    <w:rsid w:val="0458580D"/>
    <w:rsid w:val="045E5FB7"/>
    <w:rsid w:val="049256F0"/>
    <w:rsid w:val="0495610D"/>
    <w:rsid w:val="04C730A4"/>
    <w:rsid w:val="04DA4474"/>
    <w:rsid w:val="04DF580C"/>
    <w:rsid w:val="04E946A2"/>
    <w:rsid w:val="04EA46EB"/>
    <w:rsid w:val="05185546"/>
    <w:rsid w:val="052126A9"/>
    <w:rsid w:val="05247FC3"/>
    <w:rsid w:val="05346113"/>
    <w:rsid w:val="05423E9C"/>
    <w:rsid w:val="05600A24"/>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A6451"/>
    <w:rsid w:val="064C13A1"/>
    <w:rsid w:val="06542957"/>
    <w:rsid w:val="0681129C"/>
    <w:rsid w:val="06824DC3"/>
    <w:rsid w:val="0695552F"/>
    <w:rsid w:val="069B5E85"/>
    <w:rsid w:val="06C87B62"/>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DA70C2"/>
    <w:rsid w:val="0AFD463B"/>
    <w:rsid w:val="0B05614C"/>
    <w:rsid w:val="0B134992"/>
    <w:rsid w:val="0B160131"/>
    <w:rsid w:val="0B2B4189"/>
    <w:rsid w:val="0B392278"/>
    <w:rsid w:val="0B675A6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E7568"/>
    <w:rsid w:val="0E662847"/>
    <w:rsid w:val="0E854C8B"/>
    <w:rsid w:val="0E94230E"/>
    <w:rsid w:val="0E946F22"/>
    <w:rsid w:val="0EA37FCC"/>
    <w:rsid w:val="0EE7610B"/>
    <w:rsid w:val="0EF65551"/>
    <w:rsid w:val="0EFE25F0"/>
    <w:rsid w:val="0F135152"/>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868DE"/>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5A4782"/>
    <w:rsid w:val="1D623037"/>
    <w:rsid w:val="1D660B43"/>
    <w:rsid w:val="1D672CB3"/>
    <w:rsid w:val="1D7C0925"/>
    <w:rsid w:val="1D817975"/>
    <w:rsid w:val="1D951979"/>
    <w:rsid w:val="1DAF110E"/>
    <w:rsid w:val="1DB61054"/>
    <w:rsid w:val="1DC835AB"/>
    <w:rsid w:val="1DC94431"/>
    <w:rsid w:val="1DD41F50"/>
    <w:rsid w:val="1DF7725D"/>
    <w:rsid w:val="1DFC3255"/>
    <w:rsid w:val="1DFD14A7"/>
    <w:rsid w:val="1E107489"/>
    <w:rsid w:val="1E120047"/>
    <w:rsid w:val="1E2456FC"/>
    <w:rsid w:val="1E387717"/>
    <w:rsid w:val="1E426EBA"/>
    <w:rsid w:val="1E5227F5"/>
    <w:rsid w:val="1E5B1486"/>
    <w:rsid w:val="1E6037E4"/>
    <w:rsid w:val="1E6C2CB1"/>
    <w:rsid w:val="1E86604F"/>
    <w:rsid w:val="1E8B2478"/>
    <w:rsid w:val="1EA55F87"/>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3F3B84"/>
    <w:rsid w:val="2148186B"/>
    <w:rsid w:val="21776D10"/>
    <w:rsid w:val="218F0CEB"/>
    <w:rsid w:val="21A47E8B"/>
    <w:rsid w:val="21B52099"/>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655593"/>
    <w:rsid w:val="23873CA0"/>
    <w:rsid w:val="23A668C2"/>
    <w:rsid w:val="23B5012E"/>
    <w:rsid w:val="23C6058D"/>
    <w:rsid w:val="23CC2CE3"/>
    <w:rsid w:val="23E97DD8"/>
    <w:rsid w:val="23F81D1C"/>
    <w:rsid w:val="24004EF0"/>
    <w:rsid w:val="242552B4"/>
    <w:rsid w:val="242D23BA"/>
    <w:rsid w:val="24361C71"/>
    <w:rsid w:val="245222E6"/>
    <w:rsid w:val="2455798C"/>
    <w:rsid w:val="246851A0"/>
    <w:rsid w:val="246E4FE1"/>
    <w:rsid w:val="247771B1"/>
    <w:rsid w:val="24797436"/>
    <w:rsid w:val="24893698"/>
    <w:rsid w:val="248A0DA1"/>
    <w:rsid w:val="248B0DC9"/>
    <w:rsid w:val="24AC7248"/>
    <w:rsid w:val="24B228BF"/>
    <w:rsid w:val="24DE364C"/>
    <w:rsid w:val="24EF440E"/>
    <w:rsid w:val="25007ACF"/>
    <w:rsid w:val="25076767"/>
    <w:rsid w:val="25191A92"/>
    <w:rsid w:val="25290357"/>
    <w:rsid w:val="253C3B25"/>
    <w:rsid w:val="25513E86"/>
    <w:rsid w:val="255F5B0A"/>
    <w:rsid w:val="25664EB1"/>
    <w:rsid w:val="257302A1"/>
    <w:rsid w:val="2573629D"/>
    <w:rsid w:val="257B7E43"/>
    <w:rsid w:val="25A7022D"/>
    <w:rsid w:val="25C32FD6"/>
    <w:rsid w:val="25C603D0"/>
    <w:rsid w:val="25E1520A"/>
    <w:rsid w:val="25E2513A"/>
    <w:rsid w:val="25F45922"/>
    <w:rsid w:val="25FD2F48"/>
    <w:rsid w:val="261E645E"/>
    <w:rsid w:val="262E21CA"/>
    <w:rsid w:val="26713F63"/>
    <w:rsid w:val="26753166"/>
    <w:rsid w:val="267B561B"/>
    <w:rsid w:val="267C5A99"/>
    <w:rsid w:val="2682148D"/>
    <w:rsid w:val="268D22B5"/>
    <w:rsid w:val="269240CC"/>
    <w:rsid w:val="269A47B4"/>
    <w:rsid w:val="269E759F"/>
    <w:rsid w:val="26A526DC"/>
    <w:rsid w:val="26A5448A"/>
    <w:rsid w:val="26BF5BA2"/>
    <w:rsid w:val="26CB1A16"/>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1B36C2"/>
    <w:rsid w:val="2B3C1AAA"/>
    <w:rsid w:val="2B77216D"/>
    <w:rsid w:val="2B7A42C1"/>
    <w:rsid w:val="2B82668D"/>
    <w:rsid w:val="2B8C19B3"/>
    <w:rsid w:val="2B9A7EB4"/>
    <w:rsid w:val="2BB8407D"/>
    <w:rsid w:val="2BBE24DE"/>
    <w:rsid w:val="2BBF0C02"/>
    <w:rsid w:val="2BDD28EB"/>
    <w:rsid w:val="2BE5357A"/>
    <w:rsid w:val="2BEC66B7"/>
    <w:rsid w:val="2BF43094"/>
    <w:rsid w:val="2BF909AA"/>
    <w:rsid w:val="2BFC0D12"/>
    <w:rsid w:val="2C016606"/>
    <w:rsid w:val="2C0757B7"/>
    <w:rsid w:val="2C153E60"/>
    <w:rsid w:val="2C1E422F"/>
    <w:rsid w:val="2C3818FC"/>
    <w:rsid w:val="2C5950A4"/>
    <w:rsid w:val="2C660130"/>
    <w:rsid w:val="2C73502A"/>
    <w:rsid w:val="2CB9711D"/>
    <w:rsid w:val="2CEA52EC"/>
    <w:rsid w:val="2CF3363A"/>
    <w:rsid w:val="2D000C25"/>
    <w:rsid w:val="2D0F4DB4"/>
    <w:rsid w:val="2D2D36A5"/>
    <w:rsid w:val="2D365B16"/>
    <w:rsid w:val="2D4B38B1"/>
    <w:rsid w:val="2D5646DC"/>
    <w:rsid w:val="2D584691"/>
    <w:rsid w:val="2D6D2070"/>
    <w:rsid w:val="2D9D0838"/>
    <w:rsid w:val="2D9E1C33"/>
    <w:rsid w:val="2DB652A4"/>
    <w:rsid w:val="2DB943B8"/>
    <w:rsid w:val="2DBB2419"/>
    <w:rsid w:val="2DBF7001"/>
    <w:rsid w:val="2DC26166"/>
    <w:rsid w:val="2DD13DB6"/>
    <w:rsid w:val="2DD903A8"/>
    <w:rsid w:val="2DEA2F76"/>
    <w:rsid w:val="2DF041FF"/>
    <w:rsid w:val="2DF76E1B"/>
    <w:rsid w:val="2DFD2DFD"/>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7BE"/>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A0575D"/>
    <w:rsid w:val="38A14437"/>
    <w:rsid w:val="38AC16A8"/>
    <w:rsid w:val="38B577A9"/>
    <w:rsid w:val="38B74C05"/>
    <w:rsid w:val="38CC421D"/>
    <w:rsid w:val="38D16635"/>
    <w:rsid w:val="38D373E7"/>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814A4"/>
    <w:rsid w:val="3C3D7460"/>
    <w:rsid w:val="3C616C4D"/>
    <w:rsid w:val="3C6248AD"/>
    <w:rsid w:val="3C820BF8"/>
    <w:rsid w:val="3C9A772E"/>
    <w:rsid w:val="3CB974FB"/>
    <w:rsid w:val="3CD16A6C"/>
    <w:rsid w:val="3CFF2A56"/>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ED50AE"/>
    <w:rsid w:val="45FD0891"/>
    <w:rsid w:val="46185D52"/>
    <w:rsid w:val="46192347"/>
    <w:rsid w:val="46252A99"/>
    <w:rsid w:val="462C285E"/>
    <w:rsid w:val="4639249F"/>
    <w:rsid w:val="463A0304"/>
    <w:rsid w:val="464A4975"/>
    <w:rsid w:val="465670F7"/>
    <w:rsid w:val="4665558C"/>
    <w:rsid w:val="467C2D95"/>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8B2726"/>
    <w:rsid w:val="4F8B4457"/>
    <w:rsid w:val="4FA41146"/>
    <w:rsid w:val="4FA90297"/>
    <w:rsid w:val="4FD80B7D"/>
    <w:rsid w:val="4FDA01F8"/>
    <w:rsid w:val="4FE561E5"/>
    <w:rsid w:val="4FF221C3"/>
    <w:rsid w:val="4FF5172F"/>
    <w:rsid w:val="4FFA0634"/>
    <w:rsid w:val="500032A2"/>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1024103"/>
    <w:rsid w:val="51025571"/>
    <w:rsid w:val="51071719"/>
    <w:rsid w:val="510819A0"/>
    <w:rsid w:val="51200E5F"/>
    <w:rsid w:val="5123009E"/>
    <w:rsid w:val="512C2CA7"/>
    <w:rsid w:val="512D289E"/>
    <w:rsid w:val="514152FB"/>
    <w:rsid w:val="51434ED1"/>
    <w:rsid w:val="514D0397"/>
    <w:rsid w:val="51595CED"/>
    <w:rsid w:val="516445A0"/>
    <w:rsid w:val="518956A9"/>
    <w:rsid w:val="521D4F6D"/>
    <w:rsid w:val="523A416D"/>
    <w:rsid w:val="52490C2A"/>
    <w:rsid w:val="5253273C"/>
    <w:rsid w:val="525505B5"/>
    <w:rsid w:val="5261544F"/>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8686F"/>
    <w:rsid w:val="59B86AAB"/>
    <w:rsid w:val="59BF5B8E"/>
    <w:rsid w:val="59D027D3"/>
    <w:rsid w:val="59DE0C7A"/>
    <w:rsid w:val="59F04D56"/>
    <w:rsid w:val="59FD5DAF"/>
    <w:rsid w:val="5A125C89"/>
    <w:rsid w:val="5A417D7A"/>
    <w:rsid w:val="5A4C2893"/>
    <w:rsid w:val="5A4F7A61"/>
    <w:rsid w:val="5A6279C1"/>
    <w:rsid w:val="5A690D4F"/>
    <w:rsid w:val="5A852ECF"/>
    <w:rsid w:val="5A9C1659"/>
    <w:rsid w:val="5AA026B8"/>
    <w:rsid w:val="5AA116D7"/>
    <w:rsid w:val="5AAC7C87"/>
    <w:rsid w:val="5ADA1FF9"/>
    <w:rsid w:val="5AE821DA"/>
    <w:rsid w:val="5AED557F"/>
    <w:rsid w:val="5AF20641"/>
    <w:rsid w:val="5AFD1904"/>
    <w:rsid w:val="5B1552F3"/>
    <w:rsid w:val="5B2B4256"/>
    <w:rsid w:val="5B2C0607"/>
    <w:rsid w:val="5B3034F1"/>
    <w:rsid w:val="5B424CC5"/>
    <w:rsid w:val="5B4672E2"/>
    <w:rsid w:val="5B57504B"/>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D1281"/>
    <w:rsid w:val="63921C8F"/>
    <w:rsid w:val="63974B7F"/>
    <w:rsid w:val="639F7B81"/>
    <w:rsid w:val="63A252D2"/>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29477F"/>
    <w:rsid w:val="682F4FA9"/>
    <w:rsid w:val="68310698"/>
    <w:rsid w:val="68323C50"/>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423186"/>
    <w:rsid w:val="69432BE1"/>
    <w:rsid w:val="694D728A"/>
    <w:rsid w:val="69594684"/>
    <w:rsid w:val="6988057F"/>
    <w:rsid w:val="699906A2"/>
    <w:rsid w:val="69A973BA"/>
    <w:rsid w:val="69AC12C2"/>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456F6D"/>
    <w:rsid w:val="7A5F16CA"/>
    <w:rsid w:val="7A710D8E"/>
    <w:rsid w:val="7AAA2F92"/>
    <w:rsid w:val="7AB1300F"/>
    <w:rsid w:val="7AB64E52"/>
    <w:rsid w:val="7ADA0EA4"/>
    <w:rsid w:val="7AE75FBC"/>
    <w:rsid w:val="7AFC56D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A73F44"/>
    <w:rsid w:val="7FAD2052"/>
    <w:rsid w:val="7FB0411E"/>
    <w:rsid w:val="7FCA5021"/>
    <w:rsid w:val="7FEA3B6F"/>
    <w:rsid w:val="7FEE5147"/>
    <w:rsid w:val="7FF32CE5"/>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theme/theme1.xml" Type="http://schemas.openxmlformats.org/officeDocument/2006/relationships/theme"/><Relationship Id="rId2" Target="settings.xml" Type="http://schemas.openxmlformats.org/officeDocument/2006/relationships/settings"/><Relationship Id="rId20" Target="../customXml/item1.xml" Type="http://schemas.openxmlformats.org/officeDocument/2006/relationships/customXml"/><Relationship Id="rId21" Target="fontTable.xml" Type="http://schemas.openxmlformats.org/officeDocument/2006/relationships/fontTable"/><Relationship Id="rId22" Target="media/image1.jpeg" Type="http://schemas.openxmlformats.org/officeDocument/2006/relationships/image"/><Relationship Id="rId23"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2754</Words>
  <Characters>7511</Characters>
  <Paragraphs>501</Paragraphs>
  <TotalTime>0</TotalTime>
  <ScaleCrop>false</ScaleCrop>
  <LinksUpToDate>false</LinksUpToDate>
  <CharactersWithSpaces>7532</CharactersWithSpaces>
  <Application>WPS Office_11.1.0.11875_F1E327BC-269C-435d-A152-05C5408002CA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Tree Know</cp:lastModifiedBy>
  <dcterms:modified xsi:type="dcterms:W3CDTF">2022-07-29T09:20:09Z</dcterms:modified>
  <cp:revision>175</cp:revision>
  <dc:title>部门决算公开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2533214665424557B16CF4115249519F</vt:lpwstr>
  </property>
  <property fmtid="{D5CDD505-2E9C-101B-9397-08002B2CF9AE}" pid="5" name="KSOProductBuildVer">
    <vt:lpwstr>2052-11.1.0.11875</vt:lpwstr>
  </property>
  <property fmtid="{D5CDD505-2E9C-101B-9397-08002B2CF9AE}" pid="6" name="LastSaved">
    <vt:filetime>2021-04-15T00:00:00Z</vt:filetime>
  </property>
</Properties>
</file>