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EF4ED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件2</w:t>
      </w:r>
    </w:p>
    <w:p w14:paraId="1968ED4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67090AA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《关于推进殡葬</w:t>
      </w:r>
      <w:r>
        <w:rPr>
          <w:rFonts w:hint="eastAsia" w:ascii="方正小标宋_GBK" w:eastAsia="方正小标宋_GBK"/>
          <w:sz w:val="44"/>
          <w:szCs w:val="44"/>
          <w:lang w:val="en-US" w:eastAsia="zh-CN"/>
        </w:rPr>
        <w:t>行业</w:t>
      </w:r>
      <w:r>
        <w:rPr>
          <w:rFonts w:hint="eastAsia" w:ascii="方正小标宋_GBK" w:eastAsia="方正小标宋_GBK"/>
          <w:sz w:val="44"/>
          <w:szCs w:val="44"/>
        </w:rPr>
        <w:t>跨部门综合监管</w:t>
      </w:r>
    </w:p>
    <w:p w14:paraId="6FC9D14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的指导意见》起草说明</w:t>
      </w:r>
    </w:p>
    <w:p w14:paraId="125630E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eastAsia="方正黑体_GBK"/>
          <w:sz w:val="32"/>
          <w:szCs w:val="32"/>
        </w:rPr>
      </w:pPr>
    </w:p>
    <w:p w14:paraId="0BCC8F45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为进一步加强殡葬</w:t>
      </w:r>
      <w:r>
        <w:rPr>
          <w:rFonts w:hint="eastAsia" w:eastAsia="方正仿宋_GBK"/>
          <w:sz w:val="32"/>
          <w:szCs w:val="32"/>
          <w:lang w:val="en-US" w:eastAsia="zh-CN"/>
        </w:rPr>
        <w:t>行业</w:t>
      </w:r>
      <w:r>
        <w:rPr>
          <w:rFonts w:hint="eastAsia" w:eastAsia="方正仿宋_GBK"/>
          <w:sz w:val="32"/>
          <w:szCs w:val="32"/>
        </w:rPr>
        <w:t>服务管理，建立健全殡葬</w:t>
      </w:r>
      <w:r>
        <w:rPr>
          <w:rFonts w:hint="eastAsia" w:eastAsia="方正仿宋_GBK"/>
          <w:sz w:val="32"/>
          <w:szCs w:val="32"/>
          <w:lang w:val="en-US" w:eastAsia="zh-CN"/>
        </w:rPr>
        <w:t>行业</w:t>
      </w:r>
      <w:r>
        <w:rPr>
          <w:rFonts w:hint="eastAsia" w:eastAsia="方正仿宋_GBK"/>
          <w:sz w:val="32"/>
          <w:szCs w:val="32"/>
        </w:rPr>
        <w:t>跨部门综合监管工作机制，提升殡葬监管的</w:t>
      </w:r>
      <w:r>
        <w:rPr>
          <w:rFonts w:hint="eastAsia" w:eastAsia="方正仿宋_GBK"/>
          <w:sz w:val="32"/>
          <w:szCs w:val="32"/>
          <w:lang w:val="en-US" w:eastAsia="zh-CN"/>
        </w:rPr>
        <w:t>协同</w:t>
      </w:r>
      <w:r>
        <w:rPr>
          <w:rFonts w:hint="eastAsia" w:eastAsia="方正仿宋_GBK"/>
          <w:sz w:val="32"/>
          <w:szCs w:val="32"/>
        </w:rPr>
        <w:t>性和有效性，推动殡葬事业高质量发展，制定《关于推进殡葬</w:t>
      </w:r>
      <w:r>
        <w:rPr>
          <w:rFonts w:hint="eastAsia" w:eastAsia="方正仿宋_GBK"/>
          <w:sz w:val="32"/>
          <w:szCs w:val="32"/>
          <w:lang w:val="en-US" w:eastAsia="zh-CN"/>
        </w:rPr>
        <w:t>行业</w:t>
      </w:r>
      <w:r>
        <w:rPr>
          <w:rFonts w:hint="eastAsia" w:eastAsia="方正仿宋_GBK"/>
          <w:sz w:val="32"/>
          <w:szCs w:val="32"/>
        </w:rPr>
        <w:t>跨部门综合监管的指导意见》，</w:t>
      </w:r>
      <w:r>
        <w:rPr>
          <w:rFonts w:hint="eastAsia" w:eastAsia="方正仿宋_GBK"/>
          <w:sz w:val="32"/>
          <w:szCs w:val="32"/>
          <w:lang w:val="en-US" w:eastAsia="zh-CN"/>
        </w:rPr>
        <w:t>以</w:t>
      </w:r>
      <w:r>
        <w:rPr>
          <w:rFonts w:hint="eastAsia" w:eastAsia="方正仿宋_GBK"/>
          <w:sz w:val="32"/>
          <w:szCs w:val="32"/>
        </w:rPr>
        <w:t>指导各地有序开展跨部门综合监管工作。</w:t>
      </w:r>
    </w:p>
    <w:p w14:paraId="259C839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eastAsia="方正黑体_GBK"/>
          <w:sz w:val="32"/>
          <w:szCs w:val="32"/>
        </w:rPr>
      </w:pPr>
      <w:r>
        <w:rPr>
          <w:rFonts w:hint="eastAsia" w:eastAsia="方正黑体_GBK"/>
          <w:sz w:val="32"/>
          <w:szCs w:val="32"/>
        </w:rPr>
        <w:t>一、起草背景和过程</w:t>
      </w:r>
    </w:p>
    <w:p w14:paraId="5A75864C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2023</w:t>
      </w:r>
      <w:r>
        <w:rPr>
          <w:rFonts w:hint="eastAsia" w:eastAsia="方正仿宋_GBK"/>
          <w:sz w:val="32"/>
          <w:szCs w:val="32"/>
        </w:rPr>
        <w:t>年</w:t>
      </w:r>
      <w:r>
        <w:rPr>
          <w:rFonts w:eastAsia="方正仿宋_GBK"/>
          <w:sz w:val="32"/>
          <w:szCs w:val="32"/>
        </w:rPr>
        <w:t>1</w:t>
      </w:r>
      <w:r>
        <w:rPr>
          <w:rFonts w:hint="eastAsia" w:eastAsia="方正仿宋_GBK"/>
          <w:sz w:val="32"/>
          <w:szCs w:val="32"/>
        </w:rPr>
        <w:t>月</w:t>
      </w:r>
      <w:r>
        <w:rPr>
          <w:rFonts w:eastAsia="方正仿宋_GBK"/>
          <w:sz w:val="32"/>
          <w:szCs w:val="32"/>
        </w:rPr>
        <w:t>13</w:t>
      </w:r>
      <w:r>
        <w:rPr>
          <w:rFonts w:hint="eastAsia" w:eastAsia="方正仿宋_GBK"/>
          <w:sz w:val="32"/>
          <w:szCs w:val="32"/>
        </w:rPr>
        <w:t>日，国务院办公厅印发《关于深入推进跨部门综合监管的指导意见》（国办发〔</w:t>
      </w:r>
      <w:r>
        <w:rPr>
          <w:rFonts w:eastAsia="方正仿宋_GBK"/>
          <w:sz w:val="32"/>
          <w:szCs w:val="32"/>
        </w:rPr>
        <w:t>2023</w:t>
      </w:r>
      <w:r>
        <w:rPr>
          <w:rFonts w:hint="eastAsia" w:eastAsia="方正仿宋_GBK"/>
          <w:sz w:val="32"/>
          <w:szCs w:val="32"/>
        </w:rPr>
        <w:t>〕</w:t>
      </w:r>
      <w:r>
        <w:rPr>
          <w:rFonts w:eastAsia="方正仿宋_GBK"/>
          <w:sz w:val="32"/>
          <w:szCs w:val="32"/>
        </w:rPr>
        <w:t>1</w:t>
      </w:r>
      <w:r>
        <w:rPr>
          <w:rFonts w:hint="eastAsia" w:eastAsia="方正仿宋_GBK"/>
          <w:sz w:val="32"/>
          <w:szCs w:val="32"/>
        </w:rPr>
        <w:t>号），提出在部分领域开展跨部门综合监管试点，按事项建立健全跨部门综合监管制度。</w:t>
      </w:r>
      <w:r>
        <w:rPr>
          <w:rFonts w:eastAsia="方正仿宋_GBK"/>
          <w:sz w:val="32"/>
          <w:szCs w:val="32"/>
        </w:rPr>
        <w:t>2023</w:t>
      </w:r>
      <w:r>
        <w:rPr>
          <w:rFonts w:hint="eastAsia" w:eastAsia="方正仿宋_GBK"/>
          <w:sz w:val="32"/>
          <w:szCs w:val="32"/>
        </w:rPr>
        <w:t>年</w:t>
      </w:r>
      <w:r>
        <w:rPr>
          <w:rFonts w:eastAsia="方正仿宋_GBK"/>
          <w:sz w:val="32"/>
          <w:szCs w:val="32"/>
        </w:rPr>
        <w:t>7</w:t>
      </w:r>
      <w:r>
        <w:rPr>
          <w:rFonts w:hint="eastAsia" w:eastAsia="方正仿宋_GBK"/>
          <w:sz w:val="32"/>
          <w:szCs w:val="32"/>
        </w:rPr>
        <w:t>月</w:t>
      </w:r>
      <w:r>
        <w:rPr>
          <w:rFonts w:eastAsia="方正仿宋_GBK"/>
          <w:sz w:val="32"/>
          <w:szCs w:val="32"/>
        </w:rPr>
        <w:t>3</w:t>
      </w:r>
      <w:r>
        <w:rPr>
          <w:rFonts w:hint="eastAsia" w:eastAsia="方正仿宋_GBK"/>
          <w:sz w:val="32"/>
          <w:szCs w:val="32"/>
        </w:rPr>
        <w:t>日，民政部办公厅印发《关于开展全国殡葬领域跨部门综合监管试点工作的通知》（民办函〔</w:t>
      </w:r>
      <w:r>
        <w:rPr>
          <w:rFonts w:eastAsia="方正仿宋_GBK"/>
          <w:sz w:val="32"/>
          <w:szCs w:val="32"/>
        </w:rPr>
        <w:t>2023</w:t>
      </w:r>
      <w:r>
        <w:rPr>
          <w:rFonts w:hint="eastAsia" w:eastAsia="方正仿宋_GBK"/>
          <w:sz w:val="32"/>
          <w:szCs w:val="32"/>
        </w:rPr>
        <w:t>〕</w:t>
      </w:r>
      <w:r>
        <w:rPr>
          <w:rFonts w:eastAsia="方正仿宋_GBK"/>
          <w:sz w:val="32"/>
          <w:szCs w:val="32"/>
        </w:rPr>
        <w:t>55</w:t>
      </w:r>
      <w:r>
        <w:rPr>
          <w:rFonts w:hint="eastAsia" w:eastAsia="方正仿宋_GBK"/>
          <w:sz w:val="32"/>
          <w:szCs w:val="32"/>
        </w:rPr>
        <w:t>号）。为贯彻落实国务院、民政部文件精神，推动殡葬行业健康有序发展，实现“逝有所安”的工作目标，在深入总结殡葬领域跨部门综合监管试点地区经验、借鉴其他</w:t>
      </w:r>
      <w:r>
        <w:rPr>
          <w:rFonts w:hint="eastAsia" w:eastAsia="方正仿宋_GBK"/>
          <w:sz w:val="32"/>
          <w:szCs w:val="32"/>
          <w:lang w:val="en-US" w:eastAsia="zh-CN"/>
        </w:rPr>
        <w:t>领域</w:t>
      </w:r>
      <w:r>
        <w:rPr>
          <w:rFonts w:hint="eastAsia" w:eastAsia="方正仿宋_GBK"/>
          <w:sz w:val="32"/>
          <w:szCs w:val="32"/>
        </w:rPr>
        <w:t>综合监管工作做法基础上，</w:t>
      </w:r>
      <w:r>
        <w:rPr>
          <w:rFonts w:hint="eastAsia" w:eastAsia="方正仿宋_GBK"/>
          <w:sz w:val="32"/>
          <w:szCs w:val="32"/>
          <w:lang w:val="en-US" w:eastAsia="zh-CN"/>
        </w:rPr>
        <w:t>省民政厅</w:t>
      </w:r>
      <w:r>
        <w:rPr>
          <w:rFonts w:hint="eastAsia" w:eastAsia="方正仿宋_GBK"/>
          <w:sz w:val="32"/>
          <w:szCs w:val="32"/>
        </w:rPr>
        <w:t>起草了《关于推进殡葬</w:t>
      </w:r>
      <w:r>
        <w:rPr>
          <w:rFonts w:hint="eastAsia" w:eastAsia="方正仿宋_GBK"/>
          <w:sz w:val="32"/>
          <w:szCs w:val="32"/>
          <w:lang w:val="en-US" w:eastAsia="zh-CN"/>
        </w:rPr>
        <w:t>行业</w:t>
      </w:r>
      <w:r>
        <w:rPr>
          <w:rFonts w:hint="eastAsia" w:eastAsia="方正仿宋_GBK"/>
          <w:sz w:val="32"/>
          <w:szCs w:val="32"/>
        </w:rPr>
        <w:t>跨部门综合监管的指导意见》（下简称《指导意见》）。《指导意见》</w:t>
      </w:r>
      <w:r>
        <w:rPr>
          <w:rFonts w:eastAsia="方正仿宋_GBK"/>
          <w:sz w:val="32"/>
          <w:szCs w:val="32"/>
        </w:rPr>
        <w:t>起草过程中，</w:t>
      </w:r>
      <w:r>
        <w:rPr>
          <w:rFonts w:hint="eastAsia" w:eastAsia="方正仿宋_GBK"/>
          <w:sz w:val="32"/>
          <w:szCs w:val="32"/>
          <w:lang w:val="en-US" w:eastAsia="zh-CN"/>
        </w:rPr>
        <w:t>积极</w:t>
      </w:r>
      <w:r>
        <w:rPr>
          <w:rFonts w:eastAsia="方正仿宋_GBK"/>
          <w:sz w:val="32"/>
          <w:szCs w:val="32"/>
        </w:rPr>
        <w:t>与</w:t>
      </w:r>
      <w:r>
        <w:rPr>
          <w:rFonts w:hint="eastAsia" w:eastAsia="方正仿宋_GBK"/>
          <w:sz w:val="32"/>
          <w:szCs w:val="32"/>
          <w:lang w:val="en-US" w:eastAsia="zh-CN"/>
        </w:rPr>
        <w:t>省</w:t>
      </w:r>
      <w:r>
        <w:rPr>
          <w:rFonts w:eastAsia="方正仿宋_GBK"/>
          <w:sz w:val="32"/>
          <w:szCs w:val="32"/>
        </w:rPr>
        <w:t>发</w:t>
      </w:r>
      <w:r>
        <w:rPr>
          <w:rFonts w:hint="eastAsia" w:eastAsia="方正仿宋_GBK"/>
          <w:sz w:val="32"/>
          <w:szCs w:val="32"/>
          <w:lang w:val="en-US" w:eastAsia="zh-CN"/>
        </w:rPr>
        <w:t>展</w:t>
      </w:r>
      <w:r>
        <w:rPr>
          <w:rFonts w:eastAsia="方正仿宋_GBK"/>
          <w:sz w:val="32"/>
          <w:szCs w:val="32"/>
        </w:rPr>
        <w:t>改</w:t>
      </w:r>
      <w:r>
        <w:rPr>
          <w:rFonts w:hint="eastAsia" w:eastAsia="方正仿宋_GBK"/>
          <w:sz w:val="32"/>
          <w:szCs w:val="32"/>
          <w:lang w:val="en-US" w:eastAsia="zh-CN"/>
        </w:rPr>
        <w:t>革</w:t>
      </w:r>
      <w:r>
        <w:rPr>
          <w:rFonts w:eastAsia="方正仿宋_GBK"/>
          <w:sz w:val="32"/>
          <w:szCs w:val="32"/>
        </w:rPr>
        <w:t>、公安、</w:t>
      </w:r>
      <w:r>
        <w:rPr>
          <w:rFonts w:hint="eastAsia" w:eastAsia="方正仿宋_GBK"/>
          <w:sz w:val="32"/>
          <w:szCs w:val="32"/>
          <w:lang w:val="en-US" w:eastAsia="zh-CN"/>
        </w:rPr>
        <w:t>自然资源</w:t>
      </w:r>
      <w:r>
        <w:rPr>
          <w:rFonts w:eastAsia="方正仿宋_GBK"/>
          <w:sz w:val="32"/>
          <w:szCs w:val="32"/>
        </w:rPr>
        <w:t>、市</w:t>
      </w:r>
      <w:r>
        <w:rPr>
          <w:rFonts w:hint="eastAsia" w:eastAsia="方正仿宋_GBK"/>
          <w:sz w:val="32"/>
          <w:szCs w:val="32"/>
          <w:lang w:val="en-US" w:eastAsia="zh-CN"/>
        </w:rPr>
        <w:t>场监管等相关部门及</w:t>
      </w:r>
      <w:r>
        <w:rPr>
          <w:rFonts w:hint="eastAsia" w:eastAsia="方正仿宋_GBK"/>
          <w:sz w:val="32"/>
          <w:szCs w:val="32"/>
        </w:rPr>
        <w:t>各</w:t>
      </w:r>
      <w:r>
        <w:rPr>
          <w:rFonts w:hint="eastAsia" w:eastAsia="方正仿宋_GBK"/>
          <w:sz w:val="32"/>
          <w:szCs w:val="32"/>
          <w:lang w:val="en-US" w:eastAsia="zh-CN"/>
        </w:rPr>
        <w:t>市、</w:t>
      </w:r>
      <w:r>
        <w:rPr>
          <w:rFonts w:hint="eastAsia" w:eastAsia="方正仿宋_GBK"/>
          <w:sz w:val="32"/>
          <w:szCs w:val="32"/>
        </w:rPr>
        <w:t>县（区）民政</w:t>
      </w:r>
      <w:r>
        <w:rPr>
          <w:rFonts w:eastAsia="方正仿宋_GBK"/>
          <w:sz w:val="32"/>
          <w:szCs w:val="32"/>
        </w:rPr>
        <w:t>部门沟通</w:t>
      </w:r>
      <w:r>
        <w:rPr>
          <w:rFonts w:hint="eastAsia" w:eastAsia="方正仿宋_GBK"/>
          <w:sz w:val="32"/>
          <w:szCs w:val="32"/>
        </w:rPr>
        <w:t>，形成本</w:t>
      </w:r>
      <w:r>
        <w:rPr>
          <w:rFonts w:hint="eastAsia" w:eastAsia="方正仿宋_GBK"/>
          <w:sz w:val="32"/>
          <w:szCs w:val="32"/>
          <w:lang w:val="en-US" w:eastAsia="zh-CN"/>
        </w:rPr>
        <w:t>文稿</w:t>
      </w:r>
      <w:r>
        <w:rPr>
          <w:rFonts w:hint="eastAsia" w:eastAsia="方正仿宋_GBK"/>
          <w:sz w:val="32"/>
          <w:szCs w:val="32"/>
        </w:rPr>
        <w:t>。</w:t>
      </w:r>
    </w:p>
    <w:p w14:paraId="1C6986A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二、文件主要内容</w:t>
      </w:r>
    </w:p>
    <w:p w14:paraId="24DCC639">
      <w:pPr>
        <w:keepNext w:val="0"/>
        <w:keepLines w:val="0"/>
        <w:pageBreakBefore w:val="0"/>
        <w:widowControl w:val="0"/>
        <w:tabs>
          <w:tab w:val="left" w:pos="1590"/>
        </w:tabs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eastAsia="方正仿宋_GBK"/>
          <w:kern w:val="0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《指导意见》</w:t>
      </w:r>
      <w:r>
        <w:rPr>
          <w:rFonts w:eastAsia="方正仿宋_GBK"/>
          <w:kern w:val="0"/>
          <w:sz w:val="32"/>
          <w:szCs w:val="32"/>
        </w:rPr>
        <w:t>结合</w:t>
      </w:r>
      <w:r>
        <w:rPr>
          <w:rFonts w:hint="eastAsia" w:eastAsia="方正仿宋_GBK"/>
          <w:kern w:val="0"/>
          <w:sz w:val="32"/>
          <w:szCs w:val="32"/>
        </w:rPr>
        <w:t>殡葬管理工作</w:t>
      </w:r>
      <w:r>
        <w:rPr>
          <w:rFonts w:eastAsia="方正仿宋_GBK"/>
          <w:kern w:val="0"/>
          <w:sz w:val="32"/>
          <w:szCs w:val="32"/>
        </w:rPr>
        <w:t>实际，聚焦群众关切，进一步明确了殡葬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行业</w:t>
      </w:r>
      <w:r>
        <w:rPr>
          <w:rFonts w:eastAsia="方正仿宋_GBK"/>
          <w:kern w:val="0"/>
          <w:sz w:val="32"/>
          <w:szCs w:val="32"/>
        </w:rPr>
        <w:t>跨部门综合监管的总体</w:t>
      </w:r>
      <w:r>
        <w:rPr>
          <w:rFonts w:hint="eastAsia" w:eastAsia="方正仿宋_GBK"/>
          <w:kern w:val="0"/>
          <w:sz w:val="32"/>
          <w:szCs w:val="32"/>
        </w:rPr>
        <w:t>目标</w:t>
      </w:r>
      <w:r>
        <w:rPr>
          <w:rFonts w:eastAsia="方正仿宋_GBK"/>
          <w:kern w:val="0"/>
          <w:sz w:val="32"/>
          <w:szCs w:val="32"/>
        </w:rPr>
        <w:t>、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工作目标、</w:t>
      </w:r>
      <w:r>
        <w:rPr>
          <w:rFonts w:hint="eastAsia" w:eastAsia="方正仿宋_GBK"/>
          <w:kern w:val="0"/>
          <w:sz w:val="32"/>
          <w:szCs w:val="32"/>
        </w:rPr>
        <w:t>主要任务</w:t>
      </w:r>
      <w:r>
        <w:rPr>
          <w:rFonts w:eastAsia="方正仿宋_GBK"/>
          <w:kern w:val="0"/>
          <w:sz w:val="32"/>
          <w:szCs w:val="32"/>
        </w:rPr>
        <w:t>和保障措施，共分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四</w:t>
      </w:r>
      <w:r>
        <w:rPr>
          <w:rFonts w:eastAsia="方正仿宋_GBK"/>
          <w:kern w:val="0"/>
          <w:sz w:val="32"/>
          <w:szCs w:val="32"/>
        </w:rPr>
        <w:t>个部分。</w:t>
      </w:r>
    </w:p>
    <w:p w14:paraId="0C0B1DA4">
      <w:pPr>
        <w:keepNext w:val="0"/>
        <w:keepLines w:val="0"/>
        <w:pageBreakBefore w:val="0"/>
        <w:widowControl w:val="0"/>
        <w:tabs>
          <w:tab w:val="left" w:pos="1590"/>
        </w:tabs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eastAsia="方正仿宋_GBK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kern w:val="0"/>
          <w:sz w:val="32"/>
          <w:szCs w:val="32"/>
        </w:rPr>
        <w:t>第一部分，总体要求。</w:t>
      </w:r>
      <w:r>
        <w:rPr>
          <w:rFonts w:eastAsia="方正仿宋_GBK"/>
          <w:kern w:val="0"/>
          <w:sz w:val="32"/>
          <w:szCs w:val="32"/>
        </w:rPr>
        <w:t>主要阐述殡葬领域跨部门综合监管的指导思想</w:t>
      </w:r>
      <w:r>
        <w:rPr>
          <w:rFonts w:hint="eastAsia" w:eastAsia="方正仿宋_GBK"/>
          <w:kern w:val="0"/>
          <w:sz w:val="32"/>
          <w:szCs w:val="32"/>
        </w:rPr>
        <w:t>、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监管范围</w:t>
      </w:r>
      <w:r>
        <w:rPr>
          <w:rFonts w:hint="eastAsia" w:eastAsia="方正仿宋_GBK"/>
          <w:kern w:val="0"/>
          <w:sz w:val="32"/>
          <w:szCs w:val="32"/>
        </w:rPr>
        <w:t>、</w:t>
      </w:r>
      <w:r>
        <w:rPr>
          <w:rFonts w:eastAsia="方正仿宋_GBK"/>
          <w:kern w:val="0"/>
          <w:sz w:val="32"/>
          <w:szCs w:val="32"/>
        </w:rPr>
        <w:t>工作要求等内容。</w:t>
      </w:r>
    </w:p>
    <w:p w14:paraId="49433558">
      <w:pPr>
        <w:keepNext w:val="0"/>
        <w:keepLines w:val="0"/>
        <w:pageBreakBefore w:val="0"/>
        <w:widowControl w:val="0"/>
        <w:tabs>
          <w:tab w:val="left" w:pos="1590"/>
        </w:tabs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方正黑体_GBK" w:eastAsia="方正黑体_GBK"/>
          <w:kern w:val="0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kern w:val="0"/>
          <w:sz w:val="32"/>
          <w:szCs w:val="32"/>
        </w:rPr>
        <w:t>第二部分，</w:t>
      </w:r>
      <w:r>
        <w:rPr>
          <w:rFonts w:hint="eastAsia" w:ascii="方正楷体_GBK" w:hAnsi="方正楷体_GBK" w:eastAsia="方正楷体_GBK" w:cs="方正楷体_GBK"/>
          <w:kern w:val="0"/>
          <w:sz w:val="32"/>
          <w:szCs w:val="32"/>
          <w:lang w:val="en-US" w:eastAsia="zh-CN"/>
        </w:rPr>
        <w:t>工作目标。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明确</w:t>
      </w:r>
      <w:r>
        <w:rPr>
          <w:rFonts w:hint="default" w:eastAsia="方正仿宋_GBK"/>
          <w:kern w:val="0"/>
          <w:sz w:val="32"/>
          <w:szCs w:val="32"/>
          <w:lang w:val="en-US" w:eastAsia="zh-CN"/>
        </w:rPr>
        <w:t>到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2025年底，全省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基本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形成行业主管部门牵头、各职能部门协同联动的综合监管体系，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达成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机制更加完善，联动更加顺畅，殡葬活动更加规范，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殡葬服务更加有序，广大群众获得感和满意度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明显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提升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的工作目标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。</w:t>
      </w:r>
    </w:p>
    <w:p w14:paraId="0CEFA0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rPr>
          <w:rFonts w:hint="default" w:ascii="Times New Roman" w:hAnsi="Times New Roman" w:eastAsia="方正楷体_GBK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kern w:val="0"/>
          <w:sz w:val="32"/>
          <w:szCs w:val="32"/>
          <w:lang w:val="en-US" w:eastAsia="zh-CN"/>
        </w:rPr>
        <w:t>第三部分，</w:t>
      </w:r>
      <w:r>
        <w:rPr>
          <w:rFonts w:hint="eastAsia" w:ascii="方正楷体_GBK" w:hAnsi="方正楷体_GBK" w:eastAsia="方正楷体_GBK" w:cs="方正楷体_GBK"/>
          <w:kern w:val="0"/>
          <w:sz w:val="32"/>
          <w:szCs w:val="32"/>
        </w:rPr>
        <w:t>主要任务。</w:t>
      </w:r>
      <w:r>
        <w:rPr>
          <w:rFonts w:hint="eastAsia" w:eastAsia="方正仿宋_GBK"/>
          <w:kern w:val="0"/>
          <w:sz w:val="32"/>
          <w:szCs w:val="32"/>
        </w:rPr>
        <w:t>围绕跨部门综合监管明确</w:t>
      </w:r>
      <w:r>
        <w:rPr>
          <w:rFonts w:hint="eastAsia" w:eastAsia="方正仿宋_GBK"/>
          <w:kern w:val="0"/>
          <w:sz w:val="32"/>
          <w:szCs w:val="32"/>
          <w:lang w:val="en-US" w:eastAsia="zh-CN"/>
        </w:rPr>
        <w:t>5</w:t>
      </w:r>
      <w:r>
        <w:rPr>
          <w:rFonts w:hint="eastAsia" w:eastAsia="方正仿宋_GBK"/>
          <w:kern w:val="0"/>
          <w:sz w:val="32"/>
          <w:szCs w:val="32"/>
        </w:rPr>
        <w:t>大类具体工作任务。</w:t>
      </w:r>
      <w:r>
        <w:rPr>
          <w:rFonts w:hint="eastAsia" w:ascii="方正仿宋_GBK" w:hAnsi="方正仿宋_GBK" w:eastAsia="方正仿宋_GBK" w:cs="方正仿宋_GBK"/>
          <w:b/>
          <w:bCs/>
          <w:kern w:val="0"/>
          <w:sz w:val="32"/>
          <w:szCs w:val="32"/>
          <w:lang w:val="en-US" w:eastAsia="zh-CN"/>
        </w:rPr>
        <w:t>一</w:t>
      </w:r>
      <w:r>
        <w:rPr>
          <w:rFonts w:hint="eastAsia" w:ascii="方正仿宋_GBK" w:hAnsi="方正仿宋_GBK" w:eastAsia="方正仿宋_GBK" w:cs="方正仿宋_GBK"/>
          <w:b/>
          <w:bCs/>
          <w:kern w:val="0"/>
          <w:sz w:val="32"/>
          <w:szCs w:val="32"/>
        </w:rPr>
        <w:t>是</w:t>
      </w:r>
      <w:r>
        <w:rPr>
          <w:rFonts w:hint="eastAsia" w:ascii="方正仿宋_GBK" w:hAnsi="方正仿宋_GBK" w:eastAsia="方正仿宋_GBK" w:cs="方正仿宋_GBK"/>
          <w:b/>
          <w:bCs/>
          <w:kern w:val="0"/>
          <w:sz w:val="32"/>
          <w:szCs w:val="32"/>
          <w:lang w:val="en-US" w:eastAsia="zh-CN"/>
        </w:rPr>
        <w:t>健全</w:t>
      </w:r>
      <w:r>
        <w:rPr>
          <w:rFonts w:hint="eastAsia" w:ascii="方正仿宋_GBK" w:hAnsi="方正仿宋_GBK" w:eastAsia="方正仿宋_GBK" w:cs="方正仿宋_GBK"/>
          <w:b/>
          <w:bCs/>
          <w:color w:val="auto"/>
          <w:sz w:val="32"/>
          <w:szCs w:val="32"/>
          <w:lang w:val="en-US" w:eastAsia="zh-CN"/>
        </w:rPr>
        <w:t>跨部门综合监管工作机制</w:t>
      </w: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</w:rPr>
        <w:t>：</w:t>
      </w:r>
      <w:r>
        <w:rPr>
          <w:rFonts w:eastAsia="方正仿宋_GBK"/>
          <w:sz w:val="32"/>
          <w:szCs w:val="32"/>
        </w:rPr>
        <w:t>通过建立联合监测、跨部门</w:t>
      </w:r>
      <w:r>
        <w:rPr>
          <w:rFonts w:hint="eastAsia" w:eastAsia="方正仿宋_GBK"/>
          <w:sz w:val="32"/>
          <w:szCs w:val="32"/>
          <w:lang w:val="en-US" w:eastAsia="zh-CN"/>
        </w:rPr>
        <w:t>联合</w:t>
      </w:r>
      <w:r>
        <w:rPr>
          <w:rFonts w:eastAsia="方正仿宋_GBK"/>
          <w:sz w:val="32"/>
          <w:szCs w:val="32"/>
        </w:rPr>
        <w:t>执法检查、信用监管以及行政执法与刑事司法联动等机制，提升监管的系统性和协同性，</w:t>
      </w:r>
      <w:r>
        <w:rPr>
          <w:rFonts w:hint="eastAsia" w:eastAsia="方正仿宋_GBK"/>
          <w:sz w:val="32"/>
          <w:szCs w:val="32"/>
        </w:rPr>
        <w:t>进一步提升</w:t>
      </w:r>
      <w:r>
        <w:rPr>
          <w:rFonts w:eastAsia="方正仿宋_GBK"/>
          <w:sz w:val="32"/>
          <w:szCs w:val="32"/>
        </w:rPr>
        <w:t>监管工作</w:t>
      </w:r>
      <w:r>
        <w:rPr>
          <w:rFonts w:hint="eastAsia" w:eastAsia="方正仿宋_GBK"/>
          <w:sz w:val="32"/>
          <w:szCs w:val="32"/>
        </w:rPr>
        <w:t>效率和覆盖面</w:t>
      </w:r>
      <w:r>
        <w:rPr>
          <w:rFonts w:eastAsia="方正仿宋_GBK"/>
          <w:sz w:val="32"/>
          <w:szCs w:val="32"/>
        </w:rPr>
        <w:t>。</w:t>
      </w:r>
      <w:r>
        <w:rPr>
          <w:rFonts w:hint="eastAsia" w:ascii="方正仿宋_GBK" w:hAnsi="方正仿宋_GBK" w:eastAsia="方正仿宋_GBK" w:cs="方正仿宋_GBK"/>
          <w:b/>
          <w:bCs/>
          <w:kern w:val="0"/>
          <w:sz w:val="32"/>
          <w:szCs w:val="32"/>
          <w:lang w:val="en-US" w:eastAsia="zh-CN"/>
        </w:rPr>
        <w:t>二是</w:t>
      </w:r>
      <w:r>
        <w:rPr>
          <w:rFonts w:hint="default" w:ascii="方正仿宋_GBK" w:hAnsi="方正仿宋_GBK" w:eastAsia="方正仿宋_GBK" w:cs="方正仿宋_GBK"/>
          <w:b/>
          <w:bCs/>
          <w:kern w:val="0"/>
          <w:sz w:val="32"/>
          <w:szCs w:val="32"/>
          <w:lang w:val="en-US" w:eastAsia="zh-CN"/>
        </w:rPr>
        <w:t>明确重点监管事项</w:t>
      </w:r>
      <w:r>
        <w:rPr>
          <w:rFonts w:hint="eastAsia" w:ascii="方正仿宋_GBK" w:hAnsi="方正仿宋_GBK" w:eastAsia="方正仿宋_GBK" w:cs="方正仿宋_GBK"/>
          <w:b/>
          <w:bCs/>
          <w:kern w:val="0"/>
          <w:sz w:val="32"/>
          <w:szCs w:val="32"/>
          <w:lang w:val="en-US" w:eastAsia="zh-CN"/>
        </w:rPr>
        <w:t>和部门职责：</w:t>
      </w:r>
      <w:r>
        <w:rPr>
          <w:rFonts w:eastAsia="方正仿宋_GBK"/>
          <w:sz w:val="32"/>
          <w:szCs w:val="32"/>
        </w:rPr>
        <w:t>通过建立监管事项清单，实施动态管理，确保监管工作有重点、有方向，及时调整和优化监管内容。</w:t>
      </w:r>
      <w:r>
        <w:rPr>
          <w:rFonts w:hint="eastAsia" w:ascii="方正仿宋_GBK" w:hAnsi="方正仿宋_GBK" w:eastAsia="方正仿宋_GBK" w:cs="方正仿宋_GBK"/>
          <w:b/>
          <w:bCs/>
          <w:kern w:val="0"/>
          <w:sz w:val="32"/>
          <w:szCs w:val="32"/>
          <w:lang w:val="en-US" w:eastAsia="zh-CN"/>
        </w:rPr>
        <w:t>三是强化跨部门综合监管执法：</w:t>
      </w:r>
      <w:r>
        <w:rPr>
          <w:rFonts w:eastAsia="方正仿宋_GBK"/>
          <w:sz w:val="32"/>
          <w:szCs w:val="32"/>
        </w:rPr>
        <w:t>明确</w:t>
      </w:r>
      <w:r>
        <w:rPr>
          <w:rFonts w:hint="eastAsia" w:eastAsia="方正仿宋_GBK"/>
          <w:sz w:val="32"/>
          <w:szCs w:val="32"/>
        </w:rPr>
        <w:t>民政部门行业主管部门</w:t>
      </w:r>
      <w:r>
        <w:rPr>
          <w:rFonts w:eastAsia="方正仿宋_GBK"/>
          <w:sz w:val="32"/>
          <w:szCs w:val="32"/>
        </w:rPr>
        <w:t>职责</w:t>
      </w:r>
      <w:r>
        <w:rPr>
          <w:rFonts w:hint="eastAsia" w:eastAsia="方正仿宋_GBK"/>
          <w:sz w:val="32"/>
          <w:szCs w:val="32"/>
        </w:rPr>
        <w:t>及其他部门监管职责</w:t>
      </w:r>
      <w:r>
        <w:rPr>
          <w:rFonts w:eastAsia="方正仿宋_GBK"/>
          <w:sz w:val="32"/>
          <w:szCs w:val="32"/>
        </w:rPr>
        <w:t>，建立</w:t>
      </w:r>
      <w:r>
        <w:rPr>
          <w:rFonts w:hint="eastAsia" w:eastAsia="方正仿宋_GBK"/>
          <w:sz w:val="32"/>
          <w:szCs w:val="32"/>
        </w:rPr>
        <w:t>党政领导的综合监管工作</w:t>
      </w:r>
      <w:r>
        <w:rPr>
          <w:rFonts w:eastAsia="方正仿宋_GBK"/>
          <w:sz w:val="32"/>
          <w:szCs w:val="32"/>
        </w:rPr>
        <w:t>协同机制，形成跨部门的监管合力，避免监管漏洞或重复监管。</w:t>
      </w:r>
      <w:r>
        <w:rPr>
          <w:rFonts w:hint="eastAsia" w:ascii="方正仿宋_GBK" w:hAnsi="方正仿宋_GBK" w:eastAsia="方正仿宋_GBK" w:cs="方正仿宋_GBK"/>
          <w:b/>
          <w:bCs/>
          <w:kern w:val="0"/>
          <w:sz w:val="32"/>
          <w:szCs w:val="32"/>
          <w:lang w:val="en-US" w:eastAsia="zh-CN"/>
        </w:rPr>
        <w:t>四是推动跨部门综合监管智慧平台建设：</w:t>
      </w:r>
      <w:r>
        <w:rPr>
          <w:rFonts w:eastAsia="方正仿宋_GBK"/>
          <w:sz w:val="32"/>
          <w:szCs w:val="32"/>
        </w:rPr>
        <w:t>通过全领域数据收集、立体化场景搭建和全周期调度，提升监管的智能化水平，利用大数据和信息化手段提高监管的精准性和效率。</w:t>
      </w:r>
      <w:r>
        <w:rPr>
          <w:rFonts w:hint="eastAsia" w:ascii="方正仿宋_GBK" w:hAnsi="方正仿宋_GBK" w:eastAsia="方正仿宋_GBK" w:cs="方正仿宋_GBK"/>
          <w:b/>
          <w:bCs/>
          <w:kern w:val="0"/>
          <w:sz w:val="32"/>
          <w:szCs w:val="32"/>
          <w:lang w:val="en-US" w:eastAsia="zh-CN"/>
        </w:rPr>
        <w:t>五是定期开展综合监管跟踪评估：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通过建立综合监管跟踪评估机制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定期督导检查工作机制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开展综合监管情况和效果评估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进行跟踪检查和业务指导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依托信用监管平台及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时归集共享信用信息，实现违法信息在线披露和信用共享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同时实施联合惩戒措施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，助力监管业务开展。</w:t>
      </w:r>
    </w:p>
    <w:p w14:paraId="7221FB64">
      <w:pPr>
        <w:keepNext w:val="0"/>
        <w:keepLines w:val="0"/>
        <w:pageBreakBefore w:val="0"/>
        <w:widowControl w:val="0"/>
        <w:tabs>
          <w:tab w:val="left" w:pos="1590"/>
        </w:tabs>
        <w:kinsoku/>
        <w:wordWrap/>
        <w:overflowPunct w:val="0"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eastAsia="方正仿宋_GBK"/>
          <w:kern w:val="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kern w:val="0"/>
          <w:sz w:val="32"/>
          <w:szCs w:val="32"/>
          <w:lang w:val="en-US" w:eastAsia="zh-CN"/>
        </w:rPr>
        <w:t>第四部分，保障措施。</w:t>
      </w:r>
      <w:r>
        <w:rPr>
          <w:rFonts w:eastAsia="方正仿宋_GBK"/>
          <w:kern w:val="0"/>
          <w:sz w:val="32"/>
          <w:szCs w:val="32"/>
        </w:rPr>
        <w:t>从加强组织领导、加强</w:t>
      </w:r>
      <w:r>
        <w:rPr>
          <w:rFonts w:hint="eastAsia" w:eastAsia="方正仿宋_GBK"/>
          <w:kern w:val="0"/>
          <w:sz w:val="32"/>
          <w:szCs w:val="32"/>
        </w:rPr>
        <w:t>队伍建设</w:t>
      </w:r>
      <w:r>
        <w:rPr>
          <w:rFonts w:eastAsia="方正仿宋_GBK"/>
          <w:kern w:val="0"/>
          <w:sz w:val="32"/>
          <w:szCs w:val="32"/>
        </w:rPr>
        <w:t>、加强宣传引导等方面，明确了具体保障措施。</w:t>
      </w:r>
    </w:p>
    <w:p w14:paraId="63426A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eastAsia="方正仿宋_GBK" w:cs="Times New Roman"/>
          <w:sz w:val="32"/>
          <w:szCs w:val="32"/>
          <w:lang w:val="en-US" w:eastAsia="zh-CN"/>
        </w:rPr>
        <w:t>此外，为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提升跨部门综合监管的精准性和有效性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，同步建立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了殡葬行业跨部门综合监管重点事项清单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明确监管重点事项名称、牵头单位、配合单位、监管对象、责任分工、监管方式等事项，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明确监管事项责任分工，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加强协同联动，强化事前、事中、事后全链条全领域监管。</w:t>
      </w:r>
    </w:p>
    <w:p w14:paraId="52B5A914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eastAsia="方正仿宋_GBK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113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E05332B-4FB1-408E-8A15-9CF921F3E87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5F6B2221-CE9D-41D0-84F6-4839C527EBCC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AD18B8A3-35BB-4443-9BC4-D7A9BFFA3EE3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40998379-3071-4665-A885-C2C07702A6C1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F07BC7AE-0332-42A8-8D62-D91461B42AD5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C87D73A5-CBC3-4EC4-8E6B-1B61C5BBF46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0904001"/>
      <w:docPartObj>
        <w:docPartGallery w:val="autotext"/>
      </w:docPartObj>
    </w:sdtPr>
    <w:sdtEndPr>
      <w:rPr>
        <w:sz w:val="28"/>
        <w:szCs w:val="28"/>
      </w:rPr>
    </w:sdtEndPr>
    <w:sdtContent>
      <w:p w14:paraId="123D9685">
        <w:pPr>
          <w:pStyle w:val="2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1</w:t>
        </w:r>
        <w:r>
          <w:rPr>
            <w:sz w:val="28"/>
            <w:szCs w:val="28"/>
          </w:rPr>
          <w:fldChar w:fldCharType="end"/>
        </w:r>
      </w:p>
    </w:sdtContent>
  </w:sdt>
  <w:p w14:paraId="1EA1BBE4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91984"/>
    <w:rsid w:val="00036C76"/>
    <w:rsid w:val="00036F19"/>
    <w:rsid w:val="00096831"/>
    <w:rsid w:val="000E5B81"/>
    <w:rsid w:val="00272632"/>
    <w:rsid w:val="00277CF2"/>
    <w:rsid w:val="002B51DD"/>
    <w:rsid w:val="002F34C4"/>
    <w:rsid w:val="0034073C"/>
    <w:rsid w:val="00393EC8"/>
    <w:rsid w:val="003B59E7"/>
    <w:rsid w:val="004210EA"/>
    <w:rsid w:val="004B3324"/>
    <w:rsid w:val="004C32CA"/>
    <w:rsid w:val="005038DE"/>
    <w:rsid w:val="005360AA"/>
    <w:rsid w:val="006A15BB"/>
    <w:rsid w:val="006D7E0A"/>
    <w:rsid w:val="00791984"/>
    <w:rsid w:val="008B641C"/>
    <w:rsid w:val="008F7DB0"/>
    <w:rsid w:val="00920A9D"/>
    <w:rsid w:val="009566AF"/>
    <w:rsid w:val="00A41848"/>
    <w:rsid w:val="00C14B37"/>
    <w:rsid w:val="00D75D16"/>
    <w:rsid w:val="00DB4513"/>
    <w:rsid w:val="00DF3269"/>
    <w:rsid w:val="00E27565"/>
    <w:rsid w:val="00E726F4"/>
    <w:rsid w:val="00EA1421"/>
    <w:rsid w:val="00FE318A"/>
    <w:rsid w:val="020E02AA"/>
    <w:rsid w:val="03597303"/>
    <w:rsid w:val="0394658D"/>
    <w:rsid w:val="046917C8"/>
    <w:rsid w:val="0486237A"/>
    <w:rsid w:val="048D423D"/>
    <w:rsid w:val="06C70A28"/>
    <w:rsid w:val="08AC4379"/>
    <w:rsid w:val="09F45FD8"/>
    <w:rsid w:val="0B754EF6"/>
    <w:rsid w:val="0CCE2B10"/>
    <w:rsid w:val="0D4C612B"/>
    <w:rsid w:val="0F601A19"/>
    <w:rsid w:val="10E70644"/>
    <w:rsid w:val="11502A5D"/>
    <w:rsid w:val="11D54941"/>
    <w:rsid w:val="12503FC7"/>
    <w:rsid w:val="127A7296"/>
    <w:rsid w:val="1380268A"/>
    <w:rsid w:val="14531B4D"/>
    <w:rsid w:val="163D0D06"/>
    <w:rsid w:val="17716EB9"/>
    <w:rsid w:val="180E295A"/>
    <w:rsid w:val="196977CD"/>
    <w:rsid w:val="1A6745A4"/>
    <w:rsid w:val="1ABA46D4"/>
    <w:rsid w:val="1CBA6C0D"/>
    <w:rsid w:val="24B86128"/>
    <w:rsid w:val="2838132E"/>
    <w:rsid w:val="28520641"/>
    <w:rsid w:val="285E6FE6"/>
    <w:rsid w:val="29787C34"/>
    <w:rsid w:val="2AA64C74"/>
    <w:rsid w:val="2BA07916"/>
    <w:rsid w:val="2BB064F4"/>
    <w:rsid w:val="2DC21DC5"/>
    <w:rsid w:val="304940D8"/>
    <w:rsid w:val="35725E7F"/>
    <w:rsid w:val="357E0BE0"/>
    <w:rsid w:val="35B801E4"/>
    <w:rsid w:val="378974B0"/>
    <w:rsid w:val="388F0AF6"/>
    <w:rsid w:val="3A1E65D5"/>
    <w:rsid w:val="3B4756B8"/>
    <w:rsid w:val="3B651FE2"/>
    <w:rsid w:val="3C1C08F2"/>
    <w:rsid w:val="3CD218F9"/>
    <w:rsid w:val="3D624A2B"/>
    <w:rsid w:val="40AD2461"/>
    <w:rsid w:val="45F36B68"/>
    <w:rsid w:val="484511D1"/>
    <w:rsid w:val="4A6C513B"/>
    <w:rsid w:val="4AD056CA"/>
    <w:rsid w:val="4B294DDA"/>
    <w:rsid w:val="4B4C2876"/>
    <w:rsid w:val="52BE22AC"/>
    <w:rsid w:val="52D95337"/>
    <w:rsid w:val="53C25DCC"/>
    <w:rsid w:val="53DA1367"/>
    <w:rsid w:val="54697358"/>
    <w:rsid w:val="55480C30"/>
    <w:rsid w:val="56C90262"/>
    <w:rsid w:val="578735B4"/>
    <w:rsid w:val="57E36310"/>
    <w:rsid w:val="5822508B"/>
    <w:rsid w:val="58313520"/>
    <w:rsid w:val="5D537A94"/>
    <w:rsid w:val="5E72225A"/>
    <w:rsid w:val="5E84084D"/>
    <w:rsid w:val="5E9B5B97"/>
    <w:rsid w:val="60213E7A"/>
    <w:rsid w:val="61C96577"/>
    <w:rsid w:val="622A5268"/>
    <w:rsid w:val="632919C3"/>
    <w:rsid w:val="637C5F97"/>
    <w:rsid w:val="65515201"/>
    <w:rsid w:val="66263F98"/>
    <w:rsid w:val="66D734E4"/>
    <w:rsid w:val="6D3C0545"/>
    <w:rsid w:val="6DFE57FA"/>
    <w:rsid w:val="6F375468"/>
    <w:rsid w:val="705D2CAC"/>
    <w:rsid w:val="72DA6836"/>
    <w:rsid w:val="74D472B5"/>
    <w:rsid w:val="773329B9"/>
    <w:rsid w:val="77775308"/>
    <w:rsid w:val="77B75398"/>
    <w:rsid w:val="78CA4C57"/>
    <w:rsid w:val="7B334D35"/>
    <w:rsid w:val="7D341239"/>
    <w:rsid w:val="7DD02D0F"/>
    <w:rsid w:val="7DD65E4C"/>
    <w:rsid w:val="7E8D6E52"/>
    <w:rsid w:val="7EAB72D9"/>
    <w:rsid w:val="7EB30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Char"/>
    <w:basedOn w:val="6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1308</Words>
  <Characters>1325</Characters>
  <Lines>6</Lines>
  <Paragraphs>1</Paragraphs>
  <TotalTime>6</TotalTime>
  <ScaleCrop>false</ScaleCrop>
  <LinksUpToDate>false</LinksUpToDate>
  <CharactersWithSpaces>1325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2025-03-12T03:45:00Z</dcterms:created>
  <dc:creator>Administrator</dc:creator>
  <cp:lastModifiedBy>admin</cp:lastModifiedBy>
  <dcterms:modified xsi:type="dcterms:W3CDTF">2025-07-25T07:18:00Z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eyJoZGlkIjoiNWIzOTgxMjM0YmFmZGFiNDFiMDhiOTVhN2VmZTIwZTMiLCJ1c2VySWQiOiIyMzU2OTcxNjIifQ==</vt:lpwstr>
  </property>
  <property fmtid="{D5CDD505-2E9C-101B-9397-08002B2CF9AE}" pid="3" name="KSOProductBuildVer">
    <vt:lpwstr>2052-12.1.0.21915</vt:lpwstr>
  </property>
  <property fmtid="{D5CDD505-2E9C-101B-9397-08002B2CF9AE}" pid="4" name="ICV">
    <vt:lpwstr>98DB2B44258649AD8C5B9E47B5454A82_12</vt:lpwstr>
  </property>
</Properties>
</file>