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Times New Roman" w:hAnsi="Times New Roman" w:eastAsia="方正仿宋_GBK"/>
          <w:sz w:val="32"/>
          <w:szCs w:val="32"/>
        </w:rPr>
      </w:pPr>
      <w:bookmarkStart w:id="2" w:name="_GoBack"/>
      <w:bookmarkEnd w:id="2"/>
      <w:r>
        <w:rPr>
          <w:rFonts w:ascii="Times New Roman" w:hAnsi="Times New Roman" w:eastAsia="方正仿宋_GBK"/>
          <w:sz w:val="32"/>
          <w:szCs w:val="32"/>
        </w:rPr>
        <w:t>附件2</w:t>
      </w:r>
    </w:p>
    <w:p>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int="default" w:ascii="方正小标宋_GBK" w:hAnsi="Times New Roman" w:eastAsia="方正小标宋_GBK"/>
          <w:sz w:val="36"/>
          <w:szCs w:val="36"/>
          <w:lang w:val="en-US" w:eastAsia="zh-CN"/>
        </w:rPr>
      </w:pPr>
      <w:r>
        <w:rPr>
          <w:rFonts w:hint="eastAsia" w:ascii="方正小标宋_GBK" w:hAnsi="Times New Roman" w:eastAsia="方正小标宋_GBK"/>
          <w:sz w:val="36"/>
          <w:szCs w:val="36"/>
        </w:rPr>
        <w:t>违反非营利要求的12</w:t>
      </w:r>
      <w:r>
        <w:rPr>
          <w:rFonts w:hint="eastAsia" w:ascii="方正小标宋_GBK" w:hAnsi="Times New Roman" w:eastAsia="方正小标宋_GBK"/>
          <w:sz w:val="36"/>
          <w:szCs w:val="36"/>
          <w:lang w:val="en-US" w:eastAsia="zh-CN"/>
        </w:rPr>
        <w:t>项</w:t>
      </w:r>
      <w:r>
        <w:rPr>
          <w:rFonts w:hint="eastAsia" w:ascii="方正小标宋_GBK" w:hAnsi="Times New Roman" w:eastAsia="方正小标宋_GBK"/>
          <w:sz w:val="36"/>
          <w:szCs w:val="36"/>
        </w:rPr>
        <w:t>问题</w:t>
      </w:r>
      <w:r>
        <w:rPr>
          <w:rFonts w:hint="eastAsia" w:ascii="方正小标宋_GBK" w:hAnsi="Times New Roman" w:eastAsia="方正小标宋_GBK"/>
          <w:sz w:val="36"/>
          <w:szCs w:val="36"/>
          <w:lang w:val="en-US" w:eastAsia="zh-CN"/>
        </w:rPr>
        <w:t>以及对应的法规政策规定</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
        <w:gridCol w:w="3091"/>
        <w:gridCol w:w="100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64" w:type="dxa"/>
            <w:noWrap w:val="0"/>
            <w:vAlign w:val="top"/>
          </w:tcPr>
          <w:p>
            <w:pPr>
              <w:jc w:val="center"/>
              <w:rPr>
                <w:rFonts w:ascii="Times New Roman" w:hAnsi="Times New Roman" w:eastAsia="方正仿宋_GBK"/>
                <w:b/>
                <w:bCs/>
                <w:sz w:val="32"/>
                <w:szCs w:val="32"/>
              </w:rPr>
            </w:pPr>
            <w:r>
              <w:rPr>
                <w:rFonts w:ascii="Times New Roman" w:hAnsi="Times New Roman" w:eastAsia="方正仿宋_GBK"/>
                <w:b/>
                <w:bCs/>
                <w:sz w:val="32"/>
                <w:szCs w:val="32"/>
              </w:rPr>
              <w:t>序号</w:t>
            </w:r>
          </w:p>
        </w:tc>
        <w:tc>
          <w:tcPr>
            <w:tcW w:w="3091" w:type="dxa"/>
            <w:noWrap w:val="0"/>
            <w:vAlign w:val="top"/>
          </w:tcPr>
          <w:p>
            <w:pPr>
              <w:jc w:val="center"/>
              <w:rPr>
                <w:rFonts w:ascii="Times New Roman" w:hAnsi="Times New Roman" w:eastAsia="方正仿宋_GBK"/>
                <w:b/>
                <w:bCs/>
                <w:sz w:val="32"/>
                <w:szCs w:val="32"/>
              </w:rPr>
            </w:pPr>
            <w:r>
              <w:rPr>
                <w:rFonts w:ascii="Times New Roman" w:hAnsi="Times New Roman" w:eastAsia="方正仿宋_GBK"/>
                <w:b/>
                <w:bCs/>
                <w:sz w:val="32"/>
                <w:szCs w:val="32"/>
              </w:rPr>
              <w:t>问题情形</w:t>
            </w:r>
          </w:p>
        </w:tc>
        <w:tc>
          <w:tcPr>
            <w:tcW w:w="10032" w:type="dxa"/>
            <w:noWrap w:val="0"/>
            <w:vAlign w:val="top"/>
          </w:tcPr>
          <w:p>
            <w:pPr>
              <w:jc w:val="center"/>
              <w:rPr>
                <w:rFonts w:ascii="Times New Roman" w:hAnsi="Times New Roman" w:eastAsia="方正仿宋_GBK"/>
                <w:b/>
                <w:bCs/>
                <w:sz w:val="32"/>
                <w:szCs w:val="32"/>
              </w:rPr>
            </w:pPr>
            <w:r>
              <w:rPr>
                <w:rFonts w:ascii="Times New Roman" w:hAnsi="Times New Roman" w:eastAsia="方正仿宋_GBK"/>
                <w:b/>
                <w:bCs/>
                <w:sz w:val="32"/>
                <w:szCs w:val="32"/>
              </w:rPr>
              <w:t>对应的法律法规规定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1</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在成立登记时违反开办资金为捐助财产要求，向出资人等返还开办资金的；</w:t>
            </w:r>
          </w:p>
        </w:tc>
        <w:tc>
          <w:tcPr>
            <w:tcW w:w="10032" w:type="dxa"/>
            <w:noWrap w:val="0"/>
            <w:vAlign w:val="top"/>
          </w:tcPr>
          <w:p>
            <w:pPr>
              <w:widowControl/>
              <w:adjustRightInd w:val="0"/>
              <w:snapToGrid w:val="0"/>
              <w:spacing w:line="4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《中华人民共和国民法典》（以下简称《民法典》）</w:t>
            </w:r>
            <w:r>
              <w:rPr>
                <w:rFonts w:ascii="Times New Roman" w:hAnsi="Times New Roman" w:eastAsia="方正仿宋_GBK"/>
                <w:b/>
                <w:bCs/>
                <w:sz w:val="28"/>
                <w:szCs w:val="28"/>
              </w:rPr>
              <w:t>第九十二条</w:t>
            </w:r>
            <w:r>
              <w:rPr>
                <w:rFonts w:ascii="Times New Roman" w:hAnsi="Times New Roman" w:eastAsia="方正仿宋_GBK"/>
                <w:sz w:val="28"/>
                <w:szCs w:val="28"/>
              </w:rPr>
              <w:t xml:space="preserve"> 具备法人条件，为公益目的以捐助财产设立的基金会、社会服务机构等，经依法登记成立，取得捐助法人资格。</w:t>
            </w:r>
            <w:r>
              <w:rPr>
                <w:rFonts w:ascii="Times New Roman" w:hAnsi="Times New Roman" w:eastAsia="方正仿宋_GBK"/>
                <w:b/>
                <w:bCs/>
                <w:sz w:val="28"/>
                <w:szCs w:val="28"/>
              </w:rPr>
              <w:t>第九十五条</w:t>
            </w:r>
            <w:r>
              <w:rPr>
                <w:rFonts w:ascii="Times New Roman" w:hAnsi="Times New Roman" w:eastAsia="方正仿宋_GBK"/>
                <w:sz w:val="28"/>
                <w:szCs w:val="28"/>
              </w:rPr>
              <w:t xml:space="preserve"> 为公益目的成立的非营利法人终止时，不得向出资人、设立人或者会员分配剩余财产。剩余财产应当按照法人章程的规定或者权力机构的决议用于公益目的；无法按照法人章程的规定或者权力机构的决议处理的，由主管机关主持转给宗旨相同或者相近的法人，并向社会公告。</w:t>
            </w:r>
            <w:r>
              <w:rPr>
                <w:rFonts w:ascii="Times New Roman" w:hAnsi="Times New Roman" w:eastAsia="方正仿宋_GBK"/>
                <w:b/>
                <w:bCs/>
                <w:sz w:val="28"/>
                <w:szCs w:val="28"/>
              </w:rPr>
              <w:t>第二百七十条</w:t>
            </w:r>
            <w:r>
              <w:rPr>
                <w:rFonts w:ascii="Times New Roman" w:hAnsi="Times New Roman" w:eastAsia="方正仿宋_GBK"/>
                <w:sz w:val="28"/>
                <w:szCs w:val="28"/>
              </w:rPr>
              <w:t xml:space="preserve"> 社会团体法人、捐助法人依法所有的不动产和动产，受法律保护。</w:t>
            </w:r>
          </w:p>
          <w:p>
            <w:pPr>
              <w:widowControl/>
              <w:adjustRightInd w:val="0"/>
              <w:snapToGrid w:val="0"/>
              <w:spacing w:line="4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《民办非企业单位登记管理暂行条例》（以下简称《条例》）</w:t>
            </w:r>
            <w:r>
              <w:rPr>
                <w:rFonts w:ascii="Times New Roman" w:hAnsi="Times New Roman" w:eastAsia="方正仿宋_GBK"/>
                <w:b/>
                <w:bCs/>
                <w:sz w:val="28"/>
                <w:szCs w:val="28"/>
              </w:rPr>
              <w:t>第二十五条</w:t>
            </w:r>
            <w:r>
              <w:rPr>
                <w:rFonts w:ascii="Times New Roman" w:hAnsi="Times New Roman" w:eastAsia="方正仿宋_GBK"/>
                <w:sz w:val="28"/>
                <w:szCs w:val="28"/>
              </w:rPr>
              <w:t xml:space="preserve"> 民办非企业单位有下列情形之一的，由登记管理机关予以警告，责令改正，可以限期停止活动；情节严重的，予以撤销登记；构成犯罪的，依法追究刑事责任：（七）侵占、私分、挪用民办非企业单位的资产或者所接受的捐赠、资助的；</w:t>
            </w:r>
          </w:p>
          <w:p>
            <w:pPr>
              <w:widowControl/>
              <w:adjustRightInd w:val="0"/>
              <w:snapToGrid w:val="0"/>
              <w:spacing w:line="4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《民办非企业单位年度检查办法》（以下简称《年检办法》）</w:t>
            </w:r>
            <w:r>
              <w:rPr>
                <w:rFonts w:ascii="Times New Roman" w:hAnsi="Times New Roman" w:eastAsia="方正仿宋_GBK"/>
                <w:b/>
                <w:bCs/>
                <w:sz w:val="28"/>
                <w:szCs w:val="28"/>
              </w:rPr>
              <w:t>第八条</w:t>
            </w:r>
            <w:r>
              <w:rPr>
                <w:rFonts w:ascii="Times New Roman" w:hAnsi="Times New Roman" w:eastAsia="方正仿宋_GBK"/>
                <w:sz w:val="28"/>
                <w:szCs w:val="28"/>
              </w:rPr>
              <w:t xml:space="preserve"> 民办非企业单位有下列情形之一，由登记管理机关责令改正，情节轻微的，确定为“年检基本合格”；情节严重的，确定为“年检不合格”：（一）违反国家法律、法规和有关政策规定的；（十一）侵占、私分、挪用民办非企业单位的资产或者所接受的捐赠、资助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2</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财务收支未全部纳入本组织法定账簿核算、将本组织财务收支与其他组织收支混管或者将以本组织名义开展活动的收入交由其他组织或个人收取的；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w:t>
            </w:r>
            <w:r>
              <w:rPr>
                <w:rFonts w:ascii="Times New Roman" w:hAnsi="Times New Roman" w:eastAsia="方正仿宋_GBK"/>
                <w:b/>
                <w:bCs/>
                <w:sz w:val="28"/>
                <w:szCs w:val="28"/>
              </w:rPr>
              <w:t>第二十五条</w:t>
            </w:r>
            <w:r>
              <w:rPr>
                <w:rFonts w:ascii="Times New Roman" w:hAnsi="Times New Roman" w:eastAsia="方正仿宋_GBK"/>
                <w:sz w:val="28"/>
                <w:szCs w:val="28"/>
              </w:rPr>
              <w:t>第七项（同上）；</w:t>
            </w:r>
          </w:p>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 xml:space="preserve"> （一）违反国家法律、法规和有关政策规定的；（九）财务制度不健全，资金来源和使用违反有关规定的；（十一）侵占、私分、挪用民办非企业单位的资产或者所接受的捐赠、资助的。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3</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使用其他组织或个人银行账户进行账务往来的；</w:t>
            </w:r>
          </w:p>
        </w:tc>
        <w:tc>
          <w:tcPr>
            <w:tcW w:w="10032" w:type="dxa"/>
            <w:noWrap w:val="0"/>
            <w:vAlign w:val="top"/>
          </w:tcPr>
          <w:p>
            <w:pPr>
              <w:widowControl/>
              <w:adjustRightInd w:val="0"/>
              <w:snapToGrid w:val="0"/>
              <w:spacing w:line="4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w:t>
            </w:r>
            <w:r>
              <w:rPr>
                <w:rFonts w:ascii="Times New Roman" w:hAnsi="Times New Roman" w:eastAsia="方正仿宋_GBK"/>
                <w:b/>
                <w:bCs/>
                <w:sz w:val="28"/>
                <w:szCs w:val="28"/>
              </w:rPr>
              <w:t>第二十五条</w:t>
            </w:r>
            <w:r>
              <w:rPr>
                <w:rFonts w:ascii="Times New Roman" w:hAnsi="Times New Roman" w:eastAsia="方正仿宋_GBK"/>
                <w:sz w:val="28"/>
                <w:szCs w:val="28"/>
              </w:rPr>
              <w:t>第七项（同情形1）；</w:t>
            </w:r>
          </w:p>
          <w:p>
            <w:pPr>
              <w:widowControl/>
              <w:adjustRightInd w:val="0"/>
              <w:snapToGrid w:val="0"/>
              <w:spacing w:line="40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第一项、第九项、第十一项（同情形2）；</w:t>
            </w:r>
          </w:p>
          <w:p>
            <w:pPr>
              <w:widowControl/>
              <w:adjustRightInd w:val="0"/>
              <w:snapToGrid w:val="0"/>
              <w:spacing w:line="400" w:lineRule="exact"/>
              <w:ind w:firstLine="560" w:firstLineChars="200"/>
              <w:rPr>
                <w:rFonts w:ascii="Times New Roman" w:hAnsi="Times New Roman" w:eastAsia="方正仿宋_GBK"/>
                <w:sz w:val="28"/>
                <w:szCs w:val="28"/>
              </w:rPr>
            </w:pPr>
            <w:bookmarkStart w:id="0" w:name="45"/>
            <w:r>
              <w:rPr>
                <w:rFonts w:ascii="Times New Roman" w:hAnsi="Times New Roman" w:eastAsia="方正仿宋_GBK"/>
                <w:sz w:val="28"/>
                <w:szCs w:val="28"/>
              </w:rPr>
              <w:t>《人民币银行结算账户管理办法》</w:t>
            </w:r>
            <w:r>
              <w:rPr>
                <w:rFonts w:ascii="Times New Roman" w:hAnsi="Times New Roman" w:eastAsia="方正仿宋_GBK"/>
                <w:b/>
                <w:bCs/>
                <w:sz w:val="28"/>
                <w:szCs w:val="28"/>
              </w:rPr>
              <w:t>第四十五条</w:t>
            </w:r>
            <w:bookmarkEnd w:id="0"/>
            <w:r>
              <w:rPr>
                <w:rFonts w:ascii="Times New Roman" w:hAnsi="Times New Roman" w:eastAsia="方正仿宋_GBK"/>
                <w:sz w:val="28"/>
                <w:szCs w:val="28"/>
              </w:rPr>
              <w:t>　存款人不得出租、出借银行结算账户，不得利用银行结算账户套取银行信用。</w:t>
            </w:r>
            <w:bookmarkStart w:id="1" w:name="65"/>
            <w:r>
              <w:rPr>
                <w:rFonts w:ascii="Times New Roman" w:hAnsi="Times New Roman" w:eastAsia="方正仿宋_GBK"/>
                <w:b/>
                <w:bCs/>
                <w:sz w:val="28"/>
                <w:szCs w:val="28"/>
              </w:rPr>
              <w:t>第六十五条</w:t>
            </w:r>
            <w:bookmarkEnd w:id="1"/>
            <w:r>
              <w:rPr>
                <w:rFonts w:ascii="Times New Roman" w:hAnsi="Times New Roman" w:eastAsia="方正仿宋_GBK"/>
                <w:sz w:val="28"/>
                <w:szCs w:val="28"/>
              </w:rPr>
              <w:t>　存款人使用银行结算账户，不得有下列行为：（四）出租、出借银行结算账户。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4</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未按照《民间非营利组织会计制度》相关规定对投资收益进行核算的；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《中华人民共和国会计法》、《财政部关于印发《民间非营利组织会计制度》的通知》、《财政部关于印发《＜民间非营利组织会计制度＞若干问题的解释》的通知》；</w:t>
            </w:r>
          </w:p>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第九项、第十一项（同情形2）。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5</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支出超出章程规定的业务活动范围的；</w:t>
            </w:r>
          </w:p>
        </w:tc>
        <w:tc>
          <w:tcPr>
            <w:tcW w:w="10032" w:type="dxa"/>
            <w:noWrap w:val="0"/>
            <w:vAlign w:val="top"/>
          </w:tcPr>
          <w:p>
            <w:pPr>
              <w:widowControl/>
              <w:adjustRightInd w:val="0"/>
              <w:snapToGrid w:val="0"/>
              <w:spacing w:line="48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《民法典》</w:t>
            </w:r>
            <w:r>
              <w:rPr>
                <w:rFonts w:ascii="Times New Roman" w:hAnsi="Times New Roman" w:eastAsia="方正仿宋_GBK"/>
                <w:b/>
                <w:bCs/>
                <w:sz w:val="28"/>
                <w:szCs w:val="28"/>
              </w:rPr>
              <w:t>第九十二条</w:t>
            </w:r>
            <w:r>
              <w:rPr>
                <w:rFonts w:ascii="Times New Roman" w:hAnsi="Times New Roman" w:eastAsia="方正仿宋_GBK"/>
                <w:sz w:val="28"/>
                <w:szCs w:val="28"/>
              </w:rPr>
              <w:t>（同情形1）；</w:t>
            </w:r>
          </w:p>
          <w:p>
            <w:pPr>
              <w:widowControl/>
              <w:adjustRightInd w:val="0"/>
              <w:snapToGrid w:val="0"/>
              <w:spacing w:line="48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w:t>
            </w:r>
            <w:r>
              <w:rPr>
                <w:rFonts w:ascii="Times New Roman" w:hAnsi="Times New Roman" w:eastAsia="方正仿宋_GBK"/>
                <w:b/>
                <w:bCs/>
                <w:sz w:val="28"/>
                <w:szCs w:val="28"/>
              </w:rPr>
              <w:t>第二十五条</w:t>
            </w:r>
            <w:r>
              <w:rPr>
                <w:rFonts w:ascii="Times New Roman" w:hAnsi="Times New Roman" w:eastAsia="方正仿宋_GBK"/>
                <w:sz w:val="28"/>
                <w:szCs w:val="28"/>
              </w:rPr>
              <w:t xml:space="preserve"> （二）超出其章程规定的宗旨和业务范围进行活动的；（七）侵占、私分、挪用民办非企业单位的资产或者所接受的捐赠、资助的；</w:t>
            </w:r>
          </w:p>
          <w:p>
            <w:pPr>
              <w:widowControl/>
              <w:adjustRightInd w:val="0"/>
              <w:snapToGrid w:val="0"/>
              <w:spacing w:line="48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 xml:space="preserve"> （三）本年度未开展业务活动，或者不按照章程的规定进行活动的；（十一）侵占、私分、挪用民办非企业单位的资产或者所接受的捐赠、资助的。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6</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向出资人、举办者、捐赠人、理事、监事及管理人员等分配或者变相分配本组织财产的；</w:t>
            </w:r>
          </w:p>
        </w:tc>
        <w:tc>
          <w:tcPr>
            <w:tcW w:w="10032" w:type="dxa"/>
            <w:noWrap w:val="0"/>
            <w:vAlign w:val="top"/>
          </w:tcPr>
          <w:p>
            <w:pPr>
              <w:widowControl/>
              <w:adjustRightInd w:val="0"/>
              <w:snapToGrid w:val="0"/>
              <w:spacing w:line="48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《民法典》</w:t>
            </w:r>
            <w:r>
              <w:rPr>
                <w:rFonts w:ascii="Times New Roman" w:hAnsi="Times New Roman" w:eastAsia="方正仿宋_GBK"/>
                <w:b/>
                <w:bCs/>
                <w:sz w:val="28"/>
                <w:szCs w:val="28"/>
              </w:rPr>
              <w:t>第八十七条</w:t>
            </w:r>
            <w:r>
              <w:rPr>
                <w:rFonts w:ascii="Times New Roman" w:hAnsi="Times New Roman" w:eastAsia="方正仿宋_GBK"/>
                <w:sz w:val="28"/>
                <w:szCs w:val="28"/>
              </w:rPr>
              <w:t xml:space="preserve"> 为公益目的或者其他非营利目的成立，不向出资人、设立人或者会员分配所取得利润的法人，为非营利法人。</w:t>
            </w:r>
          </w:p>
          <w:p>
            <w:pPr>
              <w:widowControl/>
              <w:adjustRightInd w:val="0"/>
              <w:snapToGrid w:val="0"/>
              <w:spacing w:line="480" w:lineRule="exact"/>
              <w:ind w:firstLine="562" w:firstLineChars="200"/>
              <w:rPr>
                <w:rFonts w:ascii="Times New Roman" w:hAnsi="Times New Roman" w:eastAsia="方正仿宋_GBK"/>
                <w:sz w:val="28"/>
                <w:szCs w:val="28"/>
              </w:rPr>
            </w:pPr>
            <w:r>
              <w:rPr>
                <w:rFonts w:ascii="Times New Roman" w:hAnsi="Times New Roman" w:eastAsia="方正仿宋_GBK"/>
                <w:b/>
                <w:bCs/>
                <w:sz w:val="28"/>
                <w:szCs w:val="28"/>
              </w:rPr>
              <w:t>第九十五条</w:t>
            </w:r>
            <w:r>
              <w:rPr>
                <w:rFonts w:ascii="Times New Roman" w:hAnsi="Times New Roman" w:eastAsia="方正仿宋_GBK"/>
                <w:sz w:val="28"/>
                <w:szCs w:val="28"/>
              </w:rPr>
              <w:t>（同情形1）。</w:t>
            </w:r>
          </w:p>
          <w:p>
            <w:pPr>
              <w:widowControl/>
              <w:adjustRightInd w:val="0"/>
              <w:snapToGrid w:val="0"/>
              <w:spacing w:line="48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《条例》第二十五条</w:t>
            </w:r>
            <w:r>
              <w:rPr>
                <w:rFonts w:ascii="Times New Roman" w:hAnsi="Times New Roman" w:eastAsia="方正仿宋_GBK"/>
                <w:b/>
                <w:bCs/>
                <w:sz w:val="28"/>
                <w:szCs w:val="28"/>
              </w:rPr>
              <w:t>第七项</w:t>
            </w:r>
            <w:r>
              <w:rPr>
                <w:rFonts w:ascii="Times New Roman" w:hAnsi="Times New Roman" w:eastAsia="方正仿宋_GBK"/>
                <w:sz w:val="28"/>
                <w:szCs w:val="28"/>
              </w:rPr>
              <w:t>（同情形1）；</w:t>
            </w:r>
          </w:p>
          <w:p>
            <w:pPr>
              <w:widowControl/>
              <w:adjustRightInd w:val="0"/>
              <w:snapToGrid w:val="0"/>
              <w:spacing w:line="48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第十一项（同情形1）。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7</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通过虚增业务活动成本、虚假发放工作人员费用、专家费用等方式分配或者变相分配本组织财产的；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同上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trPr>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8</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兼职理事、监事参加决策、监督等履职行为时以劳务费、专家费等方式领取报酬的；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同上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0" w:hRule="atLeast"/>
        </w:trPr>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9</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假借“公益”、“免费”等名义违规为企业或产品开展宣传、促销等活动的；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《民法典》</w:t>
            </w:r>
            <w:r>
              <w:rPr>
                <w:rFonts w:ascii="Times New Roman" w:hAnsi="Times New Roman" w:eastAsia="方正仿宋_GBK"/>
                <w:b/>
                <w:bCs/>
                <w:sz w:val="28"/>
                <w:szCs w:val="28"/>
              </w:rPr>
              <w:t>第九十二条</w:t>
            </w:r>
            <w:r>
              <w:rPr>
                <w:rFonts w:ascii="Times New Roman" w:hAnsi="Times New Roman" w:eastAsia="方正仿宋_GBK"/>
                <w:sz w:val="28"/>
                <w:szCs w:val="28"/>
              </w:rPr>
              <w:t>（同情形1）；</w:t>
            </w:r>
          </w:p>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w:t>
            </w:r>
            <w:r>
              <w:rPr>
                <w:rFonts w:ascii="Times New Roman" w:hAnsi="Times New Roman" w:eastAsia="方正仿宋_GBK"/>
                <w:b/>
                <w:bCs/>
                <w:sz w:val="28"/>
                <w:szCs w:val="28"/>
              </w:rPr>
              <w:t>第二十五条</w:t>
            </w:r>
            <w:r>
              <w:rPr>
                <w:rFonts w:ascii="Times New Roman" w:hAnsi="Times New Roman" w:eastAsia="方正仿宋_GBK"/>
                <w:sz w:val="28"/>
                <w:szCs w:val="28"/>
              </w:rPr>
              <w:t>第二项（同情形5）；</w:t>
            </w:r>
          </w:p>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第三项（同情形5）。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5" w:hRule="atLeast"/>
        </w:trPr>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10</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将大额财产长期无偿交由或出借给其他组织、个人不收回的；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w:t>
            </w:r>
            <w:r>
              <w:rPr>
                <w:rFonts w:ascii="Times New Roman" w:hAnsi="Times New Roman" w:eastAsia="方正仿宋_GBK"/>
                <w:b/>
                <w:bCs/>
                <w:sz w:val="28"/>
                <w:szCs w:val="28"/>
              </w:rPr>
              <w:t>第二十五条</w:t>
            </w:r>
            <w:r>
              <w:rPr>
                <w:rFonts w:ascii="Times New Roman" w:hAnsi="Times New Roman" w:eastAsia="方正仿宋_GBK"/>
                <w:sz w:val="28"/>
                <w:szCs w:val="28"/>
              </w:rPr>
              <w:t>第七项（同情形5）；</w:t>
            </w:r>
          </w:p>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第十一项（同情形1）。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11</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与关联方发生交易时未履行内部决策程序、价格不公允，或者未按照《民间非营利组织会计制度》和《&lt;民间非营利组织会计制度&gt;若干问题的解释》在会计报表附注中披露关联方关系的性质、交易类型及交易要素等信息的；</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《条例》</w:t>
            </w:r>
            <w:r>
              <w:rPr>
                <w:rFonts w:ascii="Times New Roman" w:hAnsi="Times New Roman" w:eastAsia="方正仿宋_GBK"/>
                <w:b/>
                <w:bCs/>
                <w:sz w:val="28"/>
                <w:szCs w:val="28"/>
              </w:rPr>
              <w:t>第二十五条</w:t>
            </w:r>
            <w:r>
              <w:rPr>
                <w:rFonts w:ascii="Times New Roman" w:hAnsi="Times New Roman" w:eastAsia="方正仿宋_GBK"/>
                <w:sz w:val="28"/>
                <w:szCs w:val="28"/>
              </w:rPr>
              <w:t xml:space="preserve"> （八）违反国家有关规定收取费用、筹集资金或者接受使用捐赠、资助的。</w:t>
            </w:r>
          </w:p>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 xml:space="preserve"> （九）财务制度不健全，资金来源和使用违反有关规定的；（十二）违反国家有关规定收取费用、筹集资金或者接受使用捐赠、资助的。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noWrap w:val="0"/>
            <w:vAlign w:val="top"/>
          </w:tcPr>
          <w:p>
            <w:pPr>
              <w:snapToGrid w:val="0"/>
              <w:spacing w:line="520" w:lineRule="exact"/>
              <w:jc w:val="center"/>
              <w:rPr>
                <w:rFonts w:ascii="Times New Roman" w:hAnsi="Times New Roman" w:eastAsia="方正仿宋_GBK"/>
                <w:sz w:val="32"/>
                <w:szCs w:val="32"/>
              </w:rPr>
            </w:pPr>
            <w:r>
              <w:rPr>
                <w:rFonts w:ascii="Times New Roman" w:hAnsi="Times New Roman" w:eastAsia="方正仿宋_GBK"/>
                <w:sz w:val="32"/>
                <w:szCs w:val="32"/>
              </w:rPr>
              <w:t>12</w:t>
            </w:r>
          </w:p>
        </w:tc>
        <w:tc>
          <w:tcPr>
            <w:tcW w:w="3091"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具有其他违反非营利属性要求的行为。</w:t>
            </w:r>
          </w:p>
        </w:tc>
        <w:tc>
          <w:tcPr>
            <w:tcW w:w="10032" w:type="dxa"/>
            <w:noWrap w:val="0"/>
            <w:vAlign w:val="top"/>
          </w:tcPr>
          <w:p>
            <w:pPr>
              <w:widowControl/>
              <w:adjustRightInd w:val="0"/>
              <w:snapToGrid w:val="0"/>
              <w:spacing w:line="560" w:lineRule="exact"/>
              <w:ind w:firstLine="560" w:firstLineChars="200"/>
              <w:rPr>
                <w:rFonts w:ascii="Times New Roman" w:hAnsi="Times New Roman" w:eastAsia="方正仿宋_GBK"/>
                <w:sz w:val="28"/>
                <w:szCs w:val="28"/>
              </w:rPr>
            </w:pPr>
            <w:r>
              <w:rPr>
                <w:rFonts w:ascii="Times New Roman" w:hAnsi="Times New Roman" w:eastAsia="方正仿宋_GBK"/>
                <w:sz w:val="28"/>
                <w:szCs w:val="28"/>
              </w:rPr>
              <w:t>《年检办法》</w:t>
            </w:r>
            <w:r>
              <w:rPr>
                <w:rFonts w:ascii="Times New Roman" w:hAnsi="Times New Roman" w:eastAsia="方正仿宋_GBK"/>
                <w:b/>
                <w:bCs/>
                <w:sz w:val="28"/>
                <w:szCs w:val="28"/>
              </w:rPr>
              <w:t>第八条</w:t>
            </w:r>
            <w:r>
              <w:rPr>
                <w:rFonts w:ascii="Times New Roman" w:hAnsi="Times New Roman" w:eastAsia="方正仿宋_GBK"/>
                <w:sz w:val="28"/>
                <w:szCs w:val="28"/>
              </w:rPr>
              <w:t>第一项（同情形1）。</w:t>
            </w:r>
          </w:p>
        </w:tc>
      </w:tr>
    </w:tbl>
    <w:p>
      <w:pPr>
        <w:rPr>
          <w:rFonts w:ascii="Times New Roman" w:hAnsi="Times New Roman" w:eastAsia="方正仿宋_GBK"/>
          <w:b/>
          <w:bCs/>
          <w:sz w:val="32"/>
          <w:szCs w:val="32"/>
        </w:rPr>
      </w:pPr>
    </w:p>
    <w:sectPr>
      <w:footerReference r:id="rId3" w:type="default"/>
      <w:pgSz w:w="16838" w:h="11906" w:orient="landscape"/>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rPr>
                              <w:lang/>
                            </w:rP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rPr>
                        <w:lang/>
                      </w:rPr>
                      <w:t>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ZlMWQ5NTRiMjNiYzUxYWJiZGNkODgzMWJiODFhNzUifQ=="/>
  </w:docVars>
  <w:rsids>
    <w:rsidRoot w:val="A3A34EC6"/>
    <w:rsid w:val="0010589C"/>
    <w:rsid w:val="001A3B46"/>
    <w:rsid w:val="0022387F"/>
    <w:rsid w:val="00521E5F"/>
    <w:rsid w:val="00A1722D"/>
    <w:rsid w:val="05EC6A59"/>
    <w:rsid w:val="12865EC6"/>
    <w:rsid w:val="16BD3DD9"/>
    <w:rsid w:val="237065D3"/>
    <w:rsid w:val="2EFB028E"/>
    <w:rsid w:val="336F6BC3"/>
    <w:rsid w:val="34A95CF4"/>
    <w:rsid w:val="363E0309"/>
    <w:rsid w:val="37BA766D"/>
    <w:rsid w:val="3B032B60"/>
    <w:rsid w:val="4A34714B"/>
    <w:rsid w:val="514F1402"/>
    <w:rsid w:val="52DD7CB6"/>
    <w:rsid w:val="58911BD9"/>
    <w:rsid w:val="5F7DDD7A"/>
    <w:rsid w:val="5FA303BC"/>
    <w:rsid w:val="601D05BB"/>
    <w:rsid w:val="633DF4D7"/>
    <w:rsid w:val="6B5F1D5B"/>
    <w:rsid w:val="6FD5F64C"/>
    <w:rsid w:val="75435570"/>
    <w:rsid w:val="75B51519"/>
    <w:rsid w:val="77B65B25"/>
    <w:rsid w:val="7C035604"/>
    <w:rsid w:val="7DFF2E75"/>
    <w:rsid w:val="7FEE4D33"/>
    <w:rsid w:val="7FFFB1AB"/>
    <w:rsid w:val="9BBF3211"/>
    <w:rsid w:val="A3A34EC6"/>
    <w:rsid w:val="BA7B23C6"/>
    <w:rsid w:val="BCF7748B"/>
    <w:rsid w:val="BE7FF177"/>
    <w:rsid w:val="C2DE2581"/>
    <w:rsid w:val="D5EBB418"/>
    <w:rsid w:val="D7EB6036"/>
    <w:rsid w:val="E6FE596B"/>
    <w:rsid w:val="EB3F406E"/>
    <w:rsid w:val="EEEE4E11"/>
    <w:rsid w:val="F3C1EEC1"/>
    <w:rsid w:val="FB6F5DA0"/>
    <w:rsid w:val="FBD7487F"/>
    <w:rsid w:val="FBFA0785"/>
    <w:rsid w:val="FD3B75B0"/>
    <w:rsid w:val="FE69BBAD"/>
    <w:rsid w:val="FF91230D"/>
    <w:rsid w:val="FFFFAA7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100" w:beforeAutospacing="1" w:after="100" w:afterAutospacing="1"/>
      <w:ind w:left="0" w:right="0"/>
      <w:jc w:val="left"/>
    </w:pPr>
    <w:rPr>
      <w:kern w:val="0"/>
      <w:sz w:val="24"/>
      <w:lang w:val="en-US" w:eastAsia="zh-CN" w:bidi="ar"/>
    </w:rPr>
  </w:style>
  <w:style w:type="table" w:styleId="6">
    <w:name w:val="Table Grid"/>
    <w:basedOn w:val="5"/>
    <w:uiPriority w:val="0"/>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1881</Words>
  <Characters>1885</Characters>
  <Lines>13</Lines>
  <Paragraphs>3</Paragraphs>
  <TotalTime>0</TotalTime>
  <ScaleCrop>false</ScaleCrop>
  <LinksUpToDate>false</LinksUpToDate>
  <CharactersWithSpaces>1898</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2022-04-01T09:35:00Z</dcterms:created>
  <dc:creator>user</dc:creator>
  <cp:lastModifiedBy>翟靓雅</cp:lastModifiedBy>
  <cp:lastPrinted>2022-05-07T09:40:02Z</cp:lastPrinted>
  <dcterms:modified xsi:type="dcterms:W3CDTF">2022-05-07T09:55:15Z</dcterms:modified>
  <dc:title>违反非营利要求的12方面问题及</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B1BAA744164E4FAF9CC8F5734A48E5FD</vt:lpwstr>
  </property>
</Properties>
</file>