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2.xml"/>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2" w:hRule="atLeast"/>
        </w:trPr>
        <w:tc>
          <w:tcPr>
            <w:tcW w:w="10402" w:type="dxa"/>
            <w:tcBorders>
              <w:top w:val="nil"/>
              <w:left w:val="nil"/>
              <w:bottom w:val="nil"/>
              <w:right w:val="nil"/>
            </w:tcBorders>
            <w:vAlign w:val="top"/>
          </w:tcPr>
          <w:p>
            <w:pPr>
              <w:pStyle w:val="8"/>
              <w:spacing w:line="360" w:lineRule="auto"/>
              <w:rPr>
                <w:rFonts w:hint="eastAsia" w:ascii="仿宋" w:hAnsi="仿宋" w:eastAsia="仿宋" w:cs="仿宋"/>
                <w:b/>
                <w:bCs/>
                <w:color w:val="FF0000"/>
                <w:sz w:val="22"/>
                <w:szCs w:val="22"/>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top"/>
          </w:tcPr>
          <w:p>
            <w:pPr>
              <w:ind w:right="284" w:rightChars="129"/>
              <w:jc w:val="center"/>
              <w:rPr>
                <w:rFonts w:hint="eastAsia" w:ascii="仿宋" w:hAnsi="仿宋" w:eastAsia="仿宋" w:cs="仿宋"/>
                <w:b/>
                <w:bCs/>
                <w:color w:val="FF0000"/>
                <w:sz w:val="22"/>
                <w:szCs w:val="22"/>
              </w:rPr>
            </w:pPr>
            <w:r>
              <w:rPr>
                <w:rFonts w:ascii="宋体" w:hAnsi="宋体" w:eastAsia="宋体" w:cs="宋体"/>
                <w:b/>
                <w:sz w:val="52"/>
              </w:rPr>
              <w:t>2021年度</w:t>
            </w:r>
            <w:r>
              <w:rPr>
                <w:rFonts w:ascii="宋体" w:hAnsi="宋体" w:eastAsia="宋体" w:cs="宋体"/>
                <w:b/>
                <w:sz w:val="52"/>
              </w:rPr>
              <w:cr/>
            </w:r>
            <w:r>
              <w:rPr>
                <w:rFonts w:ascii="宋体" w:hAnsi="宋体" w:eastAsia="宋体" w:cs="宋体"/>
                <w:b/>
                <w:sz w:val="52"/>
              </w:rPr>
              <w:br/>
            </w:r>
            <w:r>
              <w:rPr>
                <w:rFonts w:ascii="宋体" w:hAnsi="宋体" w:eastAsia="宋体" w:cs="宋体"/>
                <w:b/>
                <w:sz w:val="52"/>
              </w:rPr>
              <w:t>江苏省民政信息中心</w:t>
            </w:r>
            <w:r>
              <w:rPr>
                <w:rFonts w:ascii="宋体" w:hAnsi="宋体" w:eastAsia="宋体" w:cs="宋体"/>
                <w:b/>
                <w:sz w:val="52"/>
              </w:rPr>
              <w:cr/>
            </w:r>
            <w:r>
              <w:rPr>
                <w:rFonts w:ascii="宋体" w:hAnsi="宋体" w:eastAsia="宋体" w:cs="宋体"/>
                <w:b/>
                <w:sz w:val="52"/>
              </w:rPr>
              <w:br/>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outlineLvl w:val="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widowControl w:val="0"/>
        <w:wordWrap/>
        <w:adjustRightInd/>
        <w:snapToGrid/>
        <w:spacing w:line="360" w:lineRule="auto"/>
        <w:ind w:left="671" w:leftChars="300" w:hanging="11" w:firstLineChars="0"/>
        <w:jc w:val="both"/>
        <w:textAlignment w:val="auto"/>
        <w:outlineLvl w:val="0"/>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单位</w:t>
      </w:r>
      <w:r>
        <w:rPr>
          <w:rFonts w:hint="eastAsia" w:ascii="黑体" w:hAnsi="黑体" w:eastAsia="黑体" w:cs="黑体"/>
          <w:b w:val="0"/>
          <w:bCs w:val="0"/>
        </w:rPr>
        <w:t>概况</w:t>
      </w:r>
    </w:p>
    <w:p>
      <w:pPr>
        <w:pStyle w:val="8"/>
        <w:widowControl w:val="0"/>
        <w:tabs>
          <w:tab w:val="left" w:pos="2249"/>
        </w:tabs>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widowControl w:val="0"/>
        <w:tabs>
          <w:tab w:val="left" w:pos="2249"/>
        </w:tabs>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widowControl w:val="0"/>
        <w:tabs>
          <w:tab w:val="left" w:pos="2249"/>
        </w:tabs>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2021</w:t>
      </w:r>
      <w:r>
        <w:rPr>
          <w:rFonts w:hint="eastAsia" w:ascii="仿宋" w:hAnsi="仿宋" w:eastAsia="仿宋" w:cs="仿宋"/>
        </w:rPr>
        <w:t>年度主要工作完成情况</w:t>
      </w:r>
    </w:p>
    <w:p>
      <w:pPr>
        <w:pStyle w:val="8"/>
        <w:widowControl w:val="0"/>
        <w:wordWrap/>
        <w:adjustRightInd/>
        <w:snapToGrid/>
        <w:spacing w:line="360" w:lineRule="auto"/>
        <w:ind w:left="671" w:leftChars="300" w:hanging="11" w:firstLineChars="0"/>
        <w:jc w:val="both"/>
        <w:textAlignment w:val="auto"/>
        <w:rPr>
          <w:rFonts w:hint="eastAsia" w:ascii="黑体" w:hAnsi="黑体" w:eastAsia="黑体" w:cs="黑体"/>
          <w:b w:val="0"/>
          <w:bCs w:val="0"/>
        </w:rPr>
      </w:pPr>
      <w:r>
        <w:rPr>
          <w:rFonts w:hint="eastAsia" w:ascii="黑体" w:hAnsi="黑体" w:eastAsia="黑体" w:cs="黑体"/>
          <w:b w:val="0"/>
          <w:bCs w:val="0"/>
          <w:lang w:val="en-US" w:eastAsia="zh-CN"/>
        </w:rPr>
        <w:t>第二部分 2021年度</w:t>
      </w:r>
      <w:r>
        <w:rPr>
          <w:rFonts w:ascii="黑体" w:hAnsi="黑体" w:eastAsia="黑体" w:cs="黑体"/>
        </w:rPr>
        <w:t>单位决算表</w:t>
      </w:r>
    </w:p>
    <w:p>
      <w:pPr>
        <w:pStyle w:val="8"/>
        <w:widowControl w:val="0"/>
        <w:wordWrap/>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widowControl w:val="0"/>
        <w:wordWrap/>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widowControl w:val="0"/>
        <w:wordWrap/>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十、政府性基金预算支出决算表</w:t>
      </w:r>
    </w:p>
    <w:p>
      <w:pPr>
        <w:pStyle w:val="8"/>
        <w:widowControl w:val="0"/>
        <w:wordWrap/>
        <w:adjustRightInd/>
        <w:snapToGrid/>
        <w:spacing w:line="360" w:lineRule="auto"/>
        <w:ind w:left="671" w:leftChars="300" w:right="2575" w:hanging="11" w:firstLineChars="0"/>
        <w:jc w:val="both"/>
        <w:textAlignment w:val="auto"/>
        <w:rPr>
          <w:rFonts w:hint="default" w:ascii="仿宋" w:hAnsi="仿宋" w:eastAsia="仿宋" w:cs="仿宋"/>
          <w:lang w:val="en-US" w:eastAsia="zh-CN"/>
        </w:rPr>
      </w:pPr>
      <w:r>
        <w:rPr>
          <w:rFonts w:hint="eastAsia" w:ascii="仿宋" w:hAnsi="仿宋" w:eastAsia="仿宋" w:cs="仿宋"/>
        </w:rPr>
        <w:t>十一、</w:t>
      </w:r>
      <w:r>
        <w:rPr>
          <w:rFonts w:hint="eastAsia" w:ascii="仿宋" w:hAnsi="仿宋" w:eastAsia="仿宋" w:cs="仿宋"/>
          <w:lang w:val="en-US" w:eastAsia="zh-CN"/>
        </w:rPr>
        <w:t>国有资本经营预算支出决算表</w:t>
      </w:r>
    </w:p>
    <w:p>
      <w:pPr>
        <w:pStyle w:val="8"/>
        <w:widowControl w:val="0"/>
        <w:wordWrap/>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、一般公共预算机关运行经费支出决算表</w:t>
      </w:r>
    </w:p>
    <w:p>
      <w:pPr>
        <w:pStyle w:val="8"/>
        <w:widowControl w:val="0"/>
        <w:wordWrap/>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、政府采购支出决算表</w:t>
      </w:r>
    </w:p>
    <w:p>
      <w:pPr>
        <w:pStyle w:val="8"/>
        <w:widowControl w:val="0"/>
        <w:wordWrap/>
        <w:adjustRightInd/>
        <w:snapToGrid/>
        <w:spacing w:line="360" w:lineRule="auto"/>
        <w:ind w:left="671" w:leftChars="300" w:hanging="11" w:firstLineChars="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第三部分 2021年度</w:t>
      </w:r>
      <w:r>
        <w:rPr>
          <w:rFonts w:ascii="黑体" w:hAnsi="黑体" w:eastAsia="黑体" w:cs="黑体"/>
        </w:rPr>
        <w:t>单位决算情况说明</w:t>
      </w:r>
    </w:p>
    <w:p>
      <w:pPr>
        <w:pStyle w:val="8"/>
        <w:widowControl w:val="0"/>
        <w:wordWrap/>
        <w:adjustRightInd/>
        <w:snapToGrid/>
        <w:spacing w:line="360" w:lineRule="auto"/>
        <w:ind w:left="671" w:leftChars="300" w:hanging="11" w:firstLineChars="0"/>
        <w:jc w:val="both"/>
        <w:textAlignment w:val="auto"/>
        <w:rPr>
          <w:rFonts w:hint="default" w:ascii="仿宋" w:hAnsi="仿宋" w:eastAsia="仿宋" w:cs="仿宋"/>
          <w:b/>
          <w:bCs/>
          <w:color w:val="000000"/>
          <w:sz w:val="30"/>
          <w:szCs w:val="30"/>
          <w:lang w:val="en-US" w:eastAsia="zh-CN"/>
        </w:rPr>
      </w:pPr>
      <w:r>
        <w:rPr>
          <w:rFonts w:hint="eastAsia" w:ascii="黑体" w:hAnsi="黑体" w:eastAsia="黑体" w:cs="黑体"/>
          <w:b w:val="0"/>
          <w:bCs w:val="0"/>
          <w:lang w:val="en-US" w:eastAsia="zh-CN"/>
        </w:rPr>
        <w:t>第四部分 名词解释</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outlineLvl w:val="0"/>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eastAsia="zh-CN"/>
        </w:rPr>
        <w:t xml:space="preserve"> </w:t>
      </w:r>
      <w:r>
        <w:rPr>
          <w:rFonts w:hint="eastAsia" w:ascii="宋体" w:hAnsi="宋体" w:eastAsia="宋体" w:cs="宋体"/>
          <w:b/>
          <w:bCs/>
        </w:rPr>
        <w:t>单位概况</w:t>
      </w:r>
    </w:p>
    <w:p>
      <w:pPr>
        <w:ind w:right="504" w:rightChars="229"/>
        <w:jc w:val="both"/>
        <w:rPr>
          <w:rFonts w:hint="eastAsia"/>
        </w:rPr>
      </w:pPr>
    </w:p>
    <w:p>
      <w:pPr>
        <w:pStyle w:val="8"/>
        <w:widowControl w:val="0"/>
        <w:wordWrap/>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一、主要职能</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江苏省民政信息中心是江苏省民政厅直属差额拨款、公益一类事业单位，主要业务范围为民政事业发展提供信息服务。民政系统信息网络管理和技术服务,民政系统专用计算机软件研发和推广,相关业务培训。</w:t>
      </w:r>
    </w:p>
    <w:p>
      <w:pPr>
        <w:pStyle w:val="8"/>
        <w:widowControl w:val="0"/>
        <w:wordWrap/>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二、</w:t>
      </w:r>
      <w:r>
        <w:rPr>
          <w:rFonts w:ascii="黑体" w:hAnsi="黑体" w:eastAsia="黑体" w:cs="黑体"/>
        </w:rPr>
        <w:t>单位</w:t>
      </w:r>
      <w:r>
        <w:rPr>
          <w:rFonts w:hint="eastAsia" w:ascii="黑体" w:hAnsi="黑体" w:eastAsia="黑体" w:cs="黑体"/>
          <w:b w:val="0"/>
          <w:bCs w:val="0"/>
        </w:rPr>
        <w:t>机构设置及决算单位构成情况</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ascii="仿宋" w:hAnsi="仿宋" w:eastAsia="仿宋" w:cs="仿宋"/>
        </w:rPr>
        <w:t>本单位无内设机构。本单位无下属单位。</w:t>
      </w:r>
    </w:p>
    <w:p>
      <w:pPr>
        <w:pStyle w:val="8"/>
        <w:widowControl w:val="0"/>
        <w:wordWrap/>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三、</w:t>
      </w:r>
      <w:r>
        <w:rPr>
          <w:rFonts w:hint="eastAsia" w:ascii="黑体" w:hAnsi="黑体" w:eastAsia="黑体" w:cs="黑体"/>
          <w:b w:val="0"/>
          <w:bCs w:val="0"/>
          <w:lang w:eastAsia="zh-CN"/>
        </w:rPr>
        <w:t>2021</w:t>
      </w:r>
      <w:r>
        <w:rPr>
          <w:rFonts w:hint="eastAsia" w:ascii="黑体" w:hAnsi="黑体" w:eastAsia="黑体" w:cs="黑体"/>
          <w:b w:val="0"/>
          <w:bCs w:val="0"/>
        </w:rPr>
        <w:t>年度主要工作完成情况</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2021年，省民政信息中心以“智慧民政”建设为统领，一手抓布局谋划，一手抓项目推进，不断深化系统应用，促进共享协同，优化政务服务，较好地发挥了信息化对高质量现代民政的服务、保障和支撑作用。</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加强民政信息化顶层设计。编制《江苏省“智慧民政”建设三年行动计划（2021-2023年）》，以“一盘棋”理念统筹推进全省民政信息化建设，以“一体化”思路聚力打造智慧民政总体架构，明确业务管理协同、在线服务惠民、数据治理创新、智慧监管赋能、安全保障提升等五大工程建设任务，立体化重塑智慧民政建设总框架。</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推广“金民工程”应用。完成“金民工程”养老服务、社会救助及低收入人口动态监测、志愿服务等系统本地化建设，成立工作专班、编制部署方案、开展项目采购、组织需求分析、完善功能设计、抓好推广应用，三个系统已在全省全面推广使用，取得积极进展。</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开展重点项目建设。深入实施社会组织综合服务管理平台“一库四系统”、居民家庭经济状况核对系统、殡葬管理服务系统、区划地名管理信息系统等项目建设，打造民政综合信用监管平台，新建厅协同办公系统，全方位提升机关行政办公效能。</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优化政务服务支撑。梳理编制政务数据资源目录，积极支撑省五大基础数据库建设，归集整合推送5大类31项民政信息。全面梳理民政系统行政权力和公共服务清单，推进办事指南标准化。做好系统升级改造，有效支撑婚姻、殡葬等民政业务跨区域通办和“一件事联办”，拓展民政便民服务移动端应用，落实政务服务“好差评”要求，推进“互联网+监管”应用。</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加强宣传载体运营。做好省民政厅网站与微博、微信政务新媒体管理，认真开展网站和政务新媒体日常监测、季度自查和专项检查工作，丰富内容供给，创新发布形式，提高运营管理水平，较好完成了庆祝建党100周年、党史学习教育、民政事业“十四五”规划、养老护理职业技能竞赛、“温暖使者”选树等主题宣传任务。</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筑牢安全保障屏障。严格落实网络安全工作责任制要求，认真做好省级数据中心机房、视频会议系统、民政综合业务基础支撑平台运维管理与安全防护，按要求做好网络安全检查、风险排查、等级保护等工作，落实网络安全防护措施，加强网络安全教育培训。积极做好视频会议连线、疫情防控调度等技术保障工作，圆满完成48场视频会议保障任务。</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16"/>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6"/>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6"/>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6"/>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6"/>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6"/>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6"/>
        <w:widowControl w:val="0"/>
        <w:tabs>
          <w:tab w:val="left" w:pos="1609"/>
        </w:tabs>
        <w:suppressAutoHyphens/>
        <w:spacing w:before="12" w:after="0" w:line="300" w:lineRule="auto"/>
        <w:ind w:left="340" w:right="567" w:firstLine="0"/>
        <w:jc w:val="cente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rPr>
        <w:t>第二部分</w:t>
      </w:r>
    </w:p>
    <w:p>
      <w:pPr>
        <w:pStyle w:val="16"/>
        <w:widowControl w:val="0"/>
        <w:tabs>
          <w:tab w:val="left" w:pos="1609"/>
        </w:tabs>
        <w:suppressAutoHyphens/>
        <w:spacing w:before="12" w:after="0"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u w:val="none"/>
        </w:rPr>
        <w:t>江苏省民政信息中心</w:t>
      </w:r>
    </w:p>
    <w:p>
      <w:pPr>
        <w:pStyle w:val="16"/>
        <w:widowControl w:val="0"/>
        <w:tabs>
          <w:tab w:val="left" w:pos="1609"/>
        </w:tabs>
        <w:suppressAutoHyphens/>
        <w:spacing w:before="12" w:after="0"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2021</w:t>
      </w:r>
      <w:r>
        <w:rPr>
          <w:rFonts w:hint="eastAsia" w:ascii="宋体" w:hAnsi="宋体" w:eastAsia="宋体" w:cs="宋体"/>
          <w:b/>
          <w:bCs/>
          <w:sz w:val="36"/>
          <w:szCs w:val="36"/>
        </w:rPr>
        <w:t>年度</w:t>
      </w:r>
      <w:r>
        <w:rPr>
          <w:rFonts w:hint="eastAsia" w:ascii="宋体" w:hAnsi="宋体" w:eastAsia="宋体" w:cs="宋体"/>
          <w:b/>
          <w:bCs/>
          <w:sz w:val="36"/>
          <w:szCs w:val="36"/>
          <w:lang w:val="en-US" w:eastAsia="zh-CN"/>
        </w:rPr>
        <w:t>单位</w:t>
      </w:r>
      <w:r>
        <w:rPr>
          <w:rFonts w:ascii="宋体" w:hAnsi="宋体" w:eastAsia="宋体" w:cs="宋体"/>
          <w:b/>
          <w:sz w:val="36"/>
        </w:rPr>
        <w:t>决算表</w:t>
      </w:r>
    </w:p>
    <w:tbl>
      <w:tblPr>
        <w:tblW w:w="104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84"/>
        <w:gridCol w:w="1461"/>
        <w:gridCol w:w="2035"/>
        <w:gridCol w:w="1709"/>
        <w:gridCol w:w="1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jc w:val="center"/>
        </w:trPr>
        <w:tc>
          <w:tcPr>
            <w:tcW w:w="10447" w:type="dxa"/>
            <w:gridSpan w:val="5"/>
            <w:vAlign w:val="top"/>
          </w:tcPr>
          <w:p>
            <w:pPr>
              <w:pageBreakBefore/>
              <w:widowControl w:val="0"/>
              <w:ind w:left="0" w:right="0" w:firstLine="0"/>
              <w:jc w:val="center"/>
              <w:textAlignment w:val="auto"/>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atLeast"/>
          <w:jc w:val="center"/>
        </w:trPr>
        <w:tc>
          <w:tcPr>
            <w:tcW w:w="3784" w:type="dxa"/>
            <w:vAlign w:val="top"/>
          </w:tcPr>
          <w:p>
            <w:pPr>
              <w:widowControl w:val="0"/>
              <w:ind w:left="0" w:right="0" w:firstLine="0"/>
              <w:jc w:val="left"/>
              <w:textAlignment w:val="auto"/>
              <w:rPr>
                <w:rFonts w:hint="eastAsia" w:ascii="仿宋" w:hAnsi="仿宋" w:eastAsia="仿宋" w:cs="仿宋"/>
                <w:color w:val="000000"/>
                <w:sz w:val="20"/>
              </w:rPr>
            </w:pPr>
          </w:p>
        </w:tc>
        <w:tc>
          <w:tcPr>
            <w:tcW w:w="1461" w:type="dxa"/>
            <w:vAlign w:val="top"/>
          </w:tcPr>
          <w:p>
            <w:pPr>
              <w:widowControl w:val="0"/>
              <w:ind w:left="0" w:right="0" w:firstLine="0"/>
              <w:jc w:val="left"/>
              <w:textAlignment w:val="auto"/>
              <w:rPr>
                <w:rFonts w:hint="eastAsia" w:ascii="仿宋" w:hAnsi="仿宋" w:eastAsia="仿宋" w:cs="仿宋"/>
                <w:color w:val="000000"/>
                <w:sz w:val="20"/>
              </w:rPr>
            </w:pPr>
          </w:p>
        </w:tc>
        <w:tc>
          <w:tcPr>
            <w:tcW w:w="5202" w:type="dxa"/>
            <w:gridSpan w:val="3"/>
            <w:vAlign w:val="top"/>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江苏省民政信息中心</w:t>
            </w:r>
          </w:p>
        </w:tc>
        <w:tc>
          <w:tcPr>
            <w:tcW w:w="3167"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204.47</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171.49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22.67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204.47</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194.16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32.99</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c>
          <w:tcPr>
            <w:tcW w:w="1461" w:type="dxa"/>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c>
          <w:tcPr>
            <w:tcW w:w="3744" w:type="dxa"/>
            <w:gridSpan w:val="2"/>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c>
          <w:tcPr>
            <w:tcW w:w="1458" w:type="dxa"/>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237.46</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237.46</w:t>
            </w:r>
          </w:p>
        </w:tc>
      </w:tr>
    </w:tbl>
    <w:p>
      <w:pPr>
        <w:widowControl w:val="0"/>
        <w:suppressAutoHyphens/>
        <w:spacing w:before="66" w:after="0"/>
        <w:ind w:left="0" w:leftChars="0" w:right="0" w:firstLine="0" w:firstLineChars="0"/>
        <w:jc w:val="both"/>
        <w:rPr>
          <w:rFonts w:hint="eastAsia" w:ascii="仿宋" w:hAnsi="仿宋" w:eastAsia="仿宋" w:cs="仿宋"/>
          <w:b w:val="0"/>
          <w:bCs w:val="0"/>
          <w:color w:val="000000"/>
          <w:sz w:val="22"/>
          <w:szCs w:val="22"/>
          <w:lang w:val="en-US" w:eastAsia="zh-CN"/>
        </w:rPr>
      </w:pPr>
      <w:r>
        <w:rPr>
          <w:rFonts w:hint="eastAsia" w:ascii="仿宋" w:hAnsi="仿宋" w:eastAsia="仿宋" w:cs="仿宋"/>
          <w:b w:val="0"/>
          <w:bCs w:val="0"/>
          <w:color w:val="000000"/>
          <w:sz w:val="22"/>
          <w:szCs w:val="22"/>
          <w:lang w:val="en-US" w:eastAsia="zh-CN"/>
        </w:rPr>
        <w:t>注：本表反映本年度的总收支和年末结转结余情况。本表金额单位转换时可能存在尾数误差。</w:t>
      </w:r>
    </w:p>
    <w:p>
      <w:pPr>
        <w:widowControl w:val="0"/>
        <w:suppressAutoHyphens/>
        <w:spacing w:before="66" w:after="0"/>
        <w:ind w:right="0"/>
        <w:jc w:val="both"/>
        <w:rPr>
          <w:rFonts w:hint="eastAsia" w:ascii="仿宋" w:hAnsi="仿宋" w:eastAsia="仿宋" w:cs="仿宋"/>
          <w:b w:val="0"/>
          <w:bCs w:val="0"/>
          <w:color w:val="000000"/>
          <w:sz w:val="22"/>
          <w:szCs w:val="22"/>
        </w:rPr>
        <w:sectPr>
          <w:footerReference r:id="rId8"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54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宋体" w:hAnsi="宋体" w:eastAsia="宋体" w:cs="宋体"/>
                <w:b/>
                <w:bCs/>
                <w:color w:val="000000"/>
                <w:kern w:val="0"/>
                <w:sz w:val="36"/>
                <w:szCs w:val="36"/>
                <w:lang w:val="zh-CN" w:eastAsia="ar-SA" w:bidi="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17"/>
              <w:widowControl w:val="0"/>
              <w:jc w:val="center"/>
              <w:rPr>
                <w:rFonts w:hint="eastAsia" w:ascii="仿宋" w:hAnsi="仿宋" w:eastAsia="仿宋" w:cs="仿宋"/>
              </w:rPr>
            </w:pPr>
          </w:p>
        </w:tc>
        <w:tc>
          <w:tcPr>
            <w:tcW w:w="1592" w:type="dxa"/>
            <w:vAlign w:val="center"/>
          </w:tcPr>
          <w:p>
            <w:pPr>
              <w:pStyle w:val="17"/>
              <w:widowControl w:val="0"/>
              <w:jc w:val="center"/>
              <w:rPr>
                <w:rFonts w:hint="eastAsia" w:ascii="仿宋" w:hAnsi="仿宋" w:eastAsia="仿宋" w:cs="仿宋"/>
              </w:rPr>
            </w:pPr>
          </w:p>
        </w:tc>
        <w:tc>
          <w:tcPr>
            <w:tcW w:w="1604" w:type="dxa"/>
            <w:vAlign w:val="center"/>
          </w:tcPr>
          <w:p>
            <w:pPr>
              <w:pStyle w:val="17"/>
              <w:widowControl w:val="0"/>
              <w:jc w:val="center"/>
              <w:rPr>
                <w:rFonts w:hint="eastAsia" w:ascii="仿宋" w:hAnsi="仿宋" w:eastAsia="仿宋" w:cs="仿宋"/>
              </w:rPr>
            </w:pPr>
          </w:p>
        </w:tc>
        <w:tc>
          <w:tcPr>
            <w:tcW w:w="1565" w:type="dxa"/>
            <w:vAlign w:val="center"/>
          </w:tcPr>
          <w:p>
            <w:pPr>
              <w:pStyle w:val="17"/>
              <w:widowControl w:val="0"/>
              <w:jc w:val="center"/>
              <w:rPr>
                <w:rFonts w:hint="eastAsia" w:ascii="仿宋" w:hAnsi="仿宋" w:eastAsia="仿宋" w:cs="仿宋"/>
              </w:rPr>
            </w:pPr>
          </w:p>
        </w:tc>
        <w:tc>
          <w:tcPr>
            <w:tcW w:w="2974" w:type="dxa"/>
            <w:gridSpan w:val="2"/>
            <w:vAlign w:val="center"/>
          </w:tcPr>
          <w:p>
            <w:pPr>
              <w:pStyle w:val="17"/>
              <w:widowControl w:val="0"/>
              <w:jc w:val="center"/>
              <w:rPr>
                <w:rFonts w:hint="eastAsia" w:ascii="仿宋" w:hAnsi="仿宋" w:eastAsia="仿宋" w:cs="仿宋"/>
              </w:rPr>
            </w:pPr>
          </w:p>
        </w:tc>
        <w:tc>
          <w:tcPr>
            <w:tcW w:w="1174" w:type="dxa"/>
            <w:vAlign w:val="center"/>
          </w:tcPr>
          <w:p>
            <w:pPr>
              <w:pStyle w:val="17"/>
              <w:widowControl w:val="0"/>
              <w:jc w:val="center"/>
              <w:rPr>
                <w:rFonts w:hint="eastAsia" w:ascii="仿宋" w:hAnsi="仿宋" w:eastAsia="仿宋" w:cs="仿宋"/>
              </w:rPr>
            </w:pPr>
          </w:p>
        </w:tc>
        <w:tc>
          <w:tcPr>
            <w:tcW w:w="2490" w:type="dxa"/>
            <w:gridSpan w:val="2"/>
            <w:vAlign w:val="center"/>
          </w:tcPr>
          <w:p>
            <w:pPr>
              <w:pStyle w:val="17"/>
              <w:widowControl w:val="0"/>
              <w:jc w:val="right"/>
              <w:rPr>
                <w:rFonts w:hint="eastAsia" w:ascii="仿宋" w:hAnsi="仿宋" w:eastAsia="仿宋" w:cs="仿宋"/>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17"/>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490" w:type="dxa"/>
            <w:gridSpan w:val="2"/>
            <w:vAlign w:val="center"/>
          </w:tcPr>
          <w:p>
            <w:pPr>
              <w:pStyle w:val="17"/>
              <w:widowControl w:val="0"/>
              <w:jc w:val="right"/>
              <w:rPr>
                <w:rFonts w:hint="eastAsia" w:ascii="仿宋" w:hAnsi="仿宋" w:eastAsia="仿宋" w:cs="仿宋"/>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功能分类</w:t>
            </w:r>
          </w:p>
          <w:p>
            <w:pPr>
              <w:pStyle w:val="17"/>
              <w:widowControl w:val="0"/>
              <w:jc w:val="center"/>
              <w:rPr>
                <w:rFonts w:hint="eastAsia"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60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565"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396" w:type="dxa"/>
            <w:vMerge w:val="continue"/>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p>
        </w:tc>
        <w:tc>
          <w:tcPr>
            <w:tcW w:w="1578" w:type="dxa"/>
            <w:vMerge w:val="continue"/>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p>
        </w:tc>
        <w:tc>
          <w:tcPr>
            <w:tcW w:w="117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277"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21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ascii="仿宋" w:hAnsi="仿宋" w:eastAsia="仿宋" w:cs="仿宋"/>
                <w:sz w:val="22"/>
              </w:rPr>
              <w:t>合计</w:t>
            </w:r>
          </w:p>
        </w:tc>
        <w:tc>
          <w:tcPr>
            <w:tcW w:w="159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204.47</w:t>
            </w:r>
          </w:p>
        </w:tc>
        <w:tc>
          <w:tcPr>
            <w:tcW w:w="160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204.47</w:t>
            </w:r>
          </w:p>
        </w:tc>
        <w:tc>
          <w:tcPr>
            <w:tcW w:w="1565"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39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7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1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7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13"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181.80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181.80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民政管理事务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175.71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175.71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2080203</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机关服务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150.71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150.71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2080299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其他民政管理事务支出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25.00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25.00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6.09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6.09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2.03</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7.16</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7.16</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15.51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15.51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bl>
    <w:p>
      <w:pPr>
        <w:widowControl w:val="0"/>
        <w:suppressAutoHyphens/>
        <w:spacing w:before="66"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color w:val="000000"/>
          <w:sz w:val="22"/>
          <w:szCs w:val="22"/>
        </w:rPr>
        <w:t>注：</w:t>
      </w:r>
      <w:r>
        <w:rPr>
          <w:rFonts w:hint="eastAsia" w:ascii="仿宋" w:hAnsi="仿宋" w:eastAsia="仿宋" w:cs="仿宋"/>
          <w:b w:val="0"/>
          <w:bCs w:val="0"/>
          <w:sz w:val="22"/>
          <w:szCs w:val="22"/>
        </w:rPr>
        <w:t>本表反映本年度取得的各项收入情况。本表金额单位转换时可能存在尾数误差。</w:t>
      </w:r>
    </w:p>
    <w:p>
      <w:pPr>
        <w:widowControl w:val="0"/>
        <w:suppressAutoHyphens/>
        <w:spacing w:before="66" w:after="0"/>
        <w:ind w:left="57" w:right="0" w:firstLine="220" w:firstLineChars="100"/>
        <w:jc w:val="both"/>
        <w:rPr>
          <w:rFonts w:hint="eastAsia" w:ascii="仿宋" w:hAnsi="仿宋" w:eastAsia="仿宋" w:cs="仿宋"/>
          <w:b w:val="0"/>
          <w:bCs w:val="0"/>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534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5739" w:type="dxa"/>
            <w:gridSpan w:val="2"/>
            <w:vAlign w:val="center"/>
          </w:tcPr>
          <w:p>
            <w:pPr>
              <w:pStyle w:val="17"/>
              <w:widowControl w:val="0"/>
              <w:jc w:val="center"/>
              <w:rPr>
                <w:rFonts w:hint="eastAsia" w:ascii="仿宋" w:hAnsi="仿宋" w:eastAsia="仿宋" w:cs="仿宋"/>
              </w:rPr>
            </w:pPr>
          </w:p>
        </w:tc>
        <w:tc>
          <w:tcPr>
            <w:tcW w:w="2011" w:type="dxa"/>
            <w:vAlign w:val="center"/>
          </w:tcPr>
          <w:p>
            <w:pPr>
              <w:pStyle w:val="17"/>
              <w:widowControl w:val="0"/>
              <w:spacing w:before="0" w:after="0"/>
              <w:ind w:firstLine="0"/>
              <w:jc w:val="center"/>
              <w:rPr>
                <w:rFonts w:hint="eastAsia" w:ascii="仿宋" w:hAnsi="仿宋" w:eastAsia="仿宋" w:cs="仿宋"/>
                <w:sz w:val="20"/>
              </w:rPr>
            </w:pPr>
          </w:p>
        </w:tc>
        <w:tc>
          <w:tcPr>
            <w:tcW w:w="1486" w:type="dxa"/>
            <w:vAlign w:val="center"/>
          </w:tcPr>
          <w:p>
            <w:pPr>
              <w:pStyle w:val="17"/>
              <w:widowControl w:val="0"/>
              <w:spacing w:before="0" w:after="0"/>
              <w:ind w:firstLine="0"/>
              <w:jc w:val="center"/>
              <w:rPr>
                <w:rFonts w:hint="eastAsia" w:ascii="仿宋" w:hAnsi="仿宋" w:eastAsia="仿宋" w:cs="仿宋"/>
                <w:sz w:val="20"/>
              </w:rPr>
            </w:pPr>
          </w:p>
        </w:tc>
        <w:tc>
          <w:tcPr>
            <w:tcW w:w="1564" w:type="dxa"/>
            <w:vAlign w:val="center"/>
          </w:tcPr>
          <w:p>
            <w:pPr>
              <w:pStyle w:val="17"/>
              <w:widowControl w:val="0"/>
              <w:spacing w:before="0" w:after="0"/>
              <w:ind w:firstLine="0"/>
              <w:jc w:val="center"/>
              <w:rPr>
                <w:rFonts w:hint="eastAsia" w:ascii="仿宋" w:hAnsi="仿宋" w:eastAsia="仿宋" w:cs="仿宋"/>
                <w:sz w:val="20"/>
              </w:rPr>
            </w:pPr>
          </w:p>
        </w:tc>
        <w:tc>
          <w:tcPr>
            <w:tcW w:w="1593" w:type="dxa"/>
            <w:vAlign w:val="center"/>
          </w:tcPr>
          <w:p>
            <w:pPr>
              <w:pStyle w:val="17"/>
              <w:widowControl w:val="0"/>
              <w:spacing w:before="0" w:after="0"/>
              <w:ind w:firstLine="0"/>
              <w:jc w:val="center"/>
              <w:rPr>
                <w:rFonts w:hint="eastAsia" w:ascii="仿宋" w:hAnsi="仿宋" w:eastAsia="仿宋" w:cs="仿宋"/>
                <w:sz w:val="20"/>
              </w:rPr>
            </w:pPr>
          </w:p>
        </w:tc>
        <w:tc>
          <w:tcPr>
            <w:tcW w:w="2954" w:type="dxa"/>
            <w:gridSpan w:val="2"/>
            <w:vAlign w:val="center"/>
          </w:tcPr>
          <w:p>
            <w:pPr>
              <w:pStyle w:val="17"/>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12393" w:type="dxa"/>
            <w:gridSpan w:val="6"/>
            <w:vAlign w:val="center"/>
          </w:tcPr>
          <w:p>
            <w:pPr>
              <w:pStyle w:val="17"/>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954" w:type="dxa"/>
            <w:gridSpan w:val="2"/>
            <w:vAlign w:val="center"/>
          </w:tcPr>
          <w:p>
            <w:pPr>
              <w:pStyle w:val="17"/>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2011" w:type="dxa"/>
            <w:vMerge w:val="restart"/>
            <w:tcBorders>
              <w:top w:val="single" w:color="000000" w:sz="4" w:space="0"/>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4183" w:type="dxa"/>
            <w:tcBorders>
              <w:left w:val="single" w:color="000000" w:sz="4" w:space="0"/>
              <w:bottom w:val="single" w:color="000000" w:sz="4" w:space="0"/>
            </w:tcBorders>
            <w:vAlign w:val="center"/>
          </w:tcPr>
          <w:p>
            <w:pPr>
              <w:pStyle w:val="17"/>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2011"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486"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564"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593"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472"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482" w:type="dxa"/>
            <w:vMerge w:val="continue"/>
            <w:tcBorders>
              <w:left w:val="single" w:color="000000" w:sz="4" w:space="0"/>
              <w:bottom w:val="single" w:color="000000" w:sz="4" w:space="0"/>
              <w:right w:val="single" w:color="000000" w:sz="4" w:space="0"/>
            </w:tcBorders>
            <w:vAlign w:val="top"/>
          </w:tcPr>
          <w:p>
            <w:pPr>
              <w:widowControl w:val="0"/>
              <w:spacing w:before="0" w:after="0"/>
              <w:jc w:val="lef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ascii="仿宋" w:hAnsi="仿宋" w:eastAsia="仿宋" w:cs="仿宋"/>
                <w:sz w:val="22"/>
              </w:rPr>
              <w:t>合计</w:t>
            </w:r>
          </w:p>
        </w:tc>
        <w:tc>
          <w:tcPr>
            <w:tcW w:w="201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194.16</w:t>
            </w:r>
          </w:p>
        </w:tc>
        <w:tc>
          <w:tcPr>
            <w:tcW w:w="148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90.68</w:t>
            </w:r>
          </w:p>
        </w:tc>
        <w:tc>
          <w:tcPr>
            <w:tcW w:w="156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103.49</w:t>
            </w:r>
          </w:p>
        </w:tc>
        <w:tc>
          <w:tcPr>
            <w:tcW w:w="159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7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82"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171.48</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68.00</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103.48</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民政管理事务</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165.41</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61.93</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103.48</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2080203</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机关服务</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142.61</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61.93</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80.68</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其他民政管理事务支出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22.80</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22.80</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6.07</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4.05</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4.05</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2.02</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2.02</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22.67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22.67</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22.67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22.67</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7.16</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7.16</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提租补贴</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15.51</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15.51</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7"/>
              <w:widowControl w:val="0"/>
              <w:spacing w:before="30" w:after="0"/>
              <w:ind w:left="107" w:firstLine="0"/>
              <w:jc w:val="right"/>
              <w:rPr>
                <w:rFonts w:hint="eastAsia" w:ascii="仿宋" w:hAnsi="仿宋" w:eastAsia="仿宋" w:cs="仿宋"/>
                <w:sz w:val="22"/>
                <w:szCs w:val="22"/>
              </w:rPr>
            </w:pPr>
          </w:p>
        </w:tc>
      </w:tr>
    </w:tbl>
    <w:p>
      <w:pPr>
        <w:widowControl w:val="0"/>
        <w:suppressAutoHyphens/>
        <w:spacing w:before="59" w:after="0"/>
        <w:ind w:left="0" w:leftChars="0" w:right="0" w:firstLine="0" w:firstLineChars="0"/>
        <w:jc w:val="left"/>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注：本表反映本年度各项支出情况。本表金额单位转换时可能存在尾数误差。</w:t>
      </w:r>
    </w:p>
    <w:p>
      <w:pPr>
        <w:widowControl w:val="0"/>
        <w:suppressAutoHyphens/>
        <w:spacing w:before="59" w:after="0"/>
        <w:ind w:left="57" w:right="0" w:firstLine="0"/>
        <w:jc w:val="left"/>
        <w:rPr>
          <w:rFonts w:hint="eastAsia" w:ascii="仿宋" w:hAnsi="仿宋" w:eastAsia="仿宋" w:cs="仿宋"/>
          <w:b w:val="0"/>
          <w:bCs w:val="0"/>
          <w:sz w:val="22"/>
          <w:szCs w:val="22"/>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5372" w:type="dxa"/>
        <w:tblInd w:w="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5372" w:type="dxa"/>
            <w:gridSpan w:val="10"/>
            <w:vAlign w:val="top"/>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5562" w:type="dxa"/>
            <w:gridSpan w:val="2"/>
            <w:vAlign w:val="top"/>
          </w:tcPr>
          <w:p>
            <w:pPr>
              <w:pStyle w:val="17"/>
              <w:widowControl w:val="0"/>
              <w:rPr>
                <w:rFonts w:hint="eastAsia" w:ascii="仿宋" w:hAnsi="仿宋" w:eastAsia="仿宋" w:cs="仿宋"/>
                <w:sz w:val="20"/>
              </w:rPr>
            </w:pPr>
          </w:p>
        </w:tc>
        <w:tc>
          <w:tcPr>
            <w:tcW w:w="847" w:type="dxa"/>
            <w:vAlign w:val="top"/>
          </w:tcPr>
          <w:p>
            <w:pPr>
              <w:pStyle w:val="17"/>
              <w:widowControl w:val="0"/>
              <w:rPr>
                <w:rFonts w:hint="eastAsia" w:ascii="仿宋" w:hAnsi="仿宋" w:eastAsia="仿宋" w:cs="仿宋"/>
                <w:sz w:val="20"/>
              </w:rPr>
            </w:pPr>
          </w:p>
        </w:tc>
        <w:tc>
          <w:tcPr>
            <w:tcW w:w="1913" w:type="dxa"/>
            <w:vAlign w:val="top"/>
          </w:tcPr>
          <w:p>
            <w:pPr>
              <w:pStyle w:val="17"/>
              <w:widowControl w:val="0"/>
              <w:rPr>
                <w:rFonts w:hint="eastAsia" w:ascii="仿宋" w:hAnsi="仿宋" w:eastAsia="仿宋" w:cs="仿宋"/>
                <w:sz w:val="20"/>
              </w:rPr>
            </w:pPr>
          </w:p>
        </w:tc>
        <w:tc>
          <w:tcPr>
            <w:tcW w:w="2635" w:type="dxa"/>
            <w:gridSpan w:val="2"/>
            <w:vAlign w:val="top"/>
          </w:tcPr>
          <w:p>
            <w:pPr>
              <w:pStyle w:val="17"/>
              <w:widowControl w:val="0"/>
              <w:rPr>
                <w:rFonts w:hint="eastAsia" w:ascii="仿宋" w:hAnsi="仿宋" w:eastAsia="仿宋" w:cs="仿宋"/>
                <w:sz w:val="20"/>
              </w:rPr>
            </w:pPr>
          </w:p>
        </w:tc>
        <w:tc>
          <w:tcPr>
            <w:tcW w:w="1194" w:type="dxa"/>
            <w:vAlign w:val="top"/>
          </w:tcPr>
          <w:p>
            <w:pPr>
              <w:pStyle w:val="17"/>
              <w:widowControl w:val="0"/>
              <w:rPr>
                <w:rFonts w:hint="eastAsia" w:ascii="仿宋" w:hAnsi="仿宋" w:eastAsia="仿宋" w:cs="仿宋"/>
                <w:sz w:val="20"/>
              </w:rPr>
            </w:pPr>
          </w:p>
        </w:tc>
        <w:tc>
          <w:tcPr>
            <w:tcW w:w="3221" w:type="dxa"/>
            <w:gridSpan w:val="3"/>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2151" w:type="dxa"/>
            <w:gridSpan w:val="7"/>
            <w:vAlign w:val="top"/>
          </w:tcPr>
          <w:p>
            <w:pPr>
              <w:pStyle w:val="17"/>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江苏省民政信息中心</w:t>
            </w:r>
          </w:p>
        </w:tc>
        <w:tc>
          <w:tcPr>
            <w:tcW w:w="3221" w:type="dxa"/>
            <w:gridSpan w:val="3"/>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vAlign w:val="top"/>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9810" w:type="dxa"/>
            <w:gridSpan w:val="8"/>
            <w:tcBorders>
              <w:top w:val="single" w:color="000000" w:sz="4" w:space="0"/>
              <w:left w:val="single" w:color="000000" w:sz="4" w:space="0"/>
              <w:bottom w:val="single" w:color="000000" w:sz="4" w:space="0"/>
              <w:right w:val="single" w:color="000000" w:sz="4" w:space="0"/>
            </w:tcBorders>
            <w:vAlign w:val="top"/>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1837" w:type="dxa"/>
            <w:vMerge w:val="restart"/>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667"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143"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vAlign w:val="top"/>
          </w:tcPr>
          <w:p>
            <w:pPr>
              <w:pStyle w:val="17"/>
              <w:widowControl w:val="0"/>
              <w:rPr>
                <w:rFonts w:hint="eastAsia" w:ascii="仿宋" w:hAnsi="仿宋" w:eastAsia="仿宋" w:cs="仿宋"/>
                <w:sz w:val="22"/>
                <w:szCs w:val="22"/>
              </w:rPr>
            </w:pPr>
          </w:p>
        </w:tc>
        <w:tc>
          <w:tcPr>
            <w:tcW w:w="1837" w:type="dxa"/>
            <w:vMerge w:val="continue"/>
            <w:tcBorders>
              <w:left w:val="single" w:color="000000" w:sz="4" w:space="0"/>
              <w:bottom w:val="single" w:color="000000" w:sz="4" w:space="0"/>
            </w:tcBorders>
            <w:vAlign w:val="top"/>
          </w:tcPr>
          <w:p>
            <w:pPr>
              <w:pStyle w:val="17"/>
              <w:widowControl w:val="0"/>
              <w:rPr>
                <w:rFonts w:hint="eastAsia" w:ascii="仿宋" w:hAnsi="仿宋" w:eastAsia="仿宋" w:cs="仿宋"/>
                <w:sz w:val="22"/>
                <w:szCs w:val="22"/>
              </w:rPr>
            </w:pPr>
          </w:p>
        </w:tc>
        <w:tc>
          <w:tcPr>
            <w:tcW w:w="3667" w:type="dxa"/>
            <w:gridSpan w:val="3"/>
            <w:vMerge w:val="continue"/>
            <w:tcBorders>
              <w:left w:val="single" w:color="000000" w:sz="4" w:space="0"/>
              <w:bottom w:val="single" w:color="000000" w:sz="4" w:space="0"/>
            </w:tcBorders>
            <w:vAlign w:val="top"/>
          </w:tcPr>
          <w:p>
            <w:pPr>
              <w:pStyle w:val="17"/>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ascii="仿宋" w:hAnsi="仿宋" w:eastAsia="仿宋" w:cs="仿宋"/>
                <w:sz w:val="22"/>
              </w:rPr>
              <w:t>小计</w:t>
            </w:r>
          </w:p>
        </w:tc>
        <w:tc>
          <w:tcPr>
            <w:tcW w:w="1415"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50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204.47</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171.49</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171.49</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22.67</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22.67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b/>
                <w:bCs/>
                <w:sz w:val="22"/>
                <w:szCs w:val="22"/>
              </w:rPr>
              <w:t>本年收入合计</w:t>
            </w:r>
          </w:p>
        </w:tc>
        <w:tc>
          <w:tcPr>
            <w:tcW w:w="1837"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204.47</w:t>
            </w:r>
          </w:p>
        </w:tc>
        <w:tc>
          <w:tcPr>
            <w:tcW w:w="3667" w:type="dxa"/>
            <w:gridSpan w:val="3"/>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b/>
                <w:bCs/>
                <w:sz w:val="22"/>
                <w:szCs w:val="22"/>
              </w:rPr>
              <w:t>本年支出合计</w:t>
            </w:r>
          </w:p>
        </w:tc>
        <w:tc>
          <w:tcPr>
            <w:tcW w:w="1728"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194.16</w:t>
            </w:r>
          </w:p>
        </w:tc>
        <w:tc>
          <w:tcPr>
            <w:tcW w:w="141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194.16</w:t>
            </w:r>
          </w:p>
        </w:tc>
        <w:tc>
          <w:tcPr>
            <w:tcW w:w="15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1837"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32.99</w:t>
            </w:r>
          </w:p>
        </w:tc>
        <w:tc>
          <w:tcPr>
            <w:tcW w:w="3667" w:type="dxa"/>
            <w:gridSpan w:val="3"/>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728"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43.30</w:t>
            </w:r>
          </w:p>
        </w:tc>
        <w:tc>
          <w:tcPr>
            <w:tcW w:w="1415" w:type="dxa"/>
            <w:gridSpan w:val="2"/>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43.30</w:t>
            </w:r>
          </w:p>
        </w:tc>
        <w:tc>
          <w:tcPr>
            <w:tcW w:w="150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1837"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32.99</w:t>
            </w:r>
          </w:p>
        </w:tc>
        <w:tc>
          <w:tcPr>
            <w:tcW w:w="3667" w:type="dxa"/>
            <w:gridSpan w:val="3"/>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1837"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1837"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pPr>
              <w:pStyle w:val="17"/>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83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237.46</w:t>
            </w:r>
          </w:p>
        </w:tc>
        <w:tc>
          <w:tcPr>
            <w:tcW w:w="3667" w:type="dxa"/>
            <w:gridSpan w:val="3"/>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72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237.46</w:t>
            </w:r>
          </w:p>
        </w:tc>
        <w:tc>
          <w:tcPr>
            <w:tcW w:w="141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237.46</w:t>
            </w:r>
          </w:p>
        </w:tc>
        <w:tc>
          <w:tcPr>
            <w:tcW w:w="15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ind w:left="0" w:leftChars="0" w:firstLine="0" w:firstLineChars="0"/>
        <w:jc w:val="both"/>
        <w:rPr>
          <w:rFonts w:hint="eastAsia" w:ascii="仿宋" w:hAnsi="仿宋" w:eastAsia="仿宋" w:cs="仿宋"/>
          <w:b w:val="0"/>
          <w:bCs w:val="0"/>
        </w:rPr>
      </w:pPr>
      <w:r>
        <w:rPr>
          <w:rFonts w:hint="eastAsia" w:ascii="仿宋" w:hAnsi="仿宋" w:eastAsia="仿宋" w:cs="仿宋"/>
          <w:b w:val="0"/>
          <w:bCs w:val="0"/>
          <w:lang w:val="en-US" w:eastAsia="zh-CN"/>
        </w:rPr>
        <w:t>注：</w:t>
      </w:r>
      <w:r>
        <w:rPr>
          <w:rFonts w:hint="eastAsia" w:ascii="仿宋" w:hAnsi="仿宋" w:eastAsia="仿宋" w:cs="仿宋"/>
          <w:b w:val="0"/>
          <w:bCs w:val="0"/>
        </w:rPr>
        <w:t>本表反映本年度一般公共预算财政拨款、政府性基金预算财政拨款和国有资本经营预算财政拨款的总收支和年末结转结余情况。本表金额单位转换时可能存在尾数误差。</w:t>
      </w:r>
    </w:p>
    <w:p>
      <w:pPr>
        <w:jc w:val="both"/>
        <w:rPr>
          <w:rFonts w:hint="eastAsia" w:ascii="仿宋" w:hAnsi="仿宋" w:eastAsia="仿宋" w:cs="仿宋"/>
          <w:b w:val="0"/>
          <w:bCs w:val="0"/>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5417" w:type="dxa"/>
        <w:tblInd w:w="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278"/>
        <w:gridCol w:w="5022"/>
        <w:gridCol w:w="3184"/>
        <w:gridCol w:w="2778"/>
        <w:gridCol w:w="3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15417" w:type="dxa"/>
            <w:gridSpan w:val="5"/>
            <w:vAlign w:val="center"/>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财政拨款支出决算表（功能科目）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6300" w:type="dxa"/>
            <w:gridSpan w:val="2"/>
            <w:vAlign w:val="top"/>
          </w:tcPr>
          <w:p>
            <w:pPr>
              <w:pStyle w:val="17"/>
              <w:widowControl w:val="0"/>
              <w:rPr>
                <w:rFonts w:hint="eastAsia" w:ascii="仿宋" w:hAnsi="仿宋" w:eastAsia="仿宋" w:cs="仿宋"/>
                <w:sz w:val="20"/>
              </w:rPr>
            </w:pPr>
          </w:p>
        </w:tc>
        <w:tc>
          <w:tcPr>
            <w:tcW w:w="3184" w:type="dxa"/>
            <w:vAlign w:val="top"/>
          </w:tcPr>
          <w:p>
            <w:pPr>
              <w:pStyle w:val="17"/>
              <w:widowControl w:val="0"/>
              <w:rPr>
                <w:rFonts w:hint="eastAsia" w:ascii="仿宋" w:hAnsi="仿宋" w:eastAsia="仿宋" w:cs="仿宋"/>
                <w:sz w:val="27"/>
              </w:rPr>
            </w:pPr>
          </w:p>
        </w:tc>
        <w:tc>
          <w:tcPr>
            <w:tcW w:w="5933" w:type="dxa"/>
            <w:gridSpan w:val="2"/>
            <w:vAlign w:val="center"/>
          </w:tcPr>
          <w:p>
            <w:pPr>
              <w:pStyle w:val="17"/>
              <w:widowControl w:val="0"/>
              <w:jc w:val="right"/>
              <w:rPr>
                <w:rFonts w:hint="eastAsia" w:ascii="仿宋" w:hAnsi="仿宋" w:eastAsia="仿宋" w:cs="仿宋"/>
                <w:sz w:val="27"/>
              </w:rPr>
            </w:pPr>
            <w:r>
              <w:rPr>
                <w:rFonts w:hint="eastAsia" w:ascii="仿宋" w:hAnsi="仿宋" w:eastAsia="仿宋" w:cs="仿宋"/>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88" w:hRule="atLeast"/>
        </w:trPr>
        <w:tc>
          <w:tcPr>
            <w:tcW w:w="6300" w:type="dxa"/>
            <w:gridSpan w:val="2"/>
            <w:vAlign w:val="top"/>
          </w:tcPr>
          <w:p>
            <w:pPr>
              <w:pStyle w:val="17"/>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184" w:type="dxa"/>
            <w:vAlign w:val="top"/>
          </w:tcPr>
          <w:p>
            <w:pPr>
              <w:pStyle w:val="17"/>
              <w:widowControl w:val="0"/>
              <w:rPr>
                <w:rFonts w:hint="eastAsia" w:ascii="仿宋" w:hAnsi="仿宋" w:eastAsia="仿宋" w:cs="仿宋"/>
                <w:sz w:val="27"/>
              </w:rPr>
            </w:pPr>
          </w:p>
        </w:tc>
        <w:tc>
          <w:tcPr>
            <w:tcW w:w="2778" w:type="dxa"/>
            <w:vAlign w:val="center"/>
          </w:tcPr>
          <w:p>
            <w:pPr>
              <w:pStyle w:val="17"/>
              <w:widowControl w:val="0"/>
              <w:jc w:val="right"/>
              <w:rPr>
                <w:rFonts w:hint="eastAsia" w:ascii="仿宋" w:hAnsi="仿宋" w:eastAsia="仿宋" w:cs="仿宋"/>
                <w:sz w:val="27"/>
              </w:rPr>
            </w:pPr>
          </w:p>
        </w:tc>
        <w:tc>
          <w:tcPr>
            <w:tcW w:w="3155" w:type="dxa"/>
            <w:vAlign w:val="center"/>
          </w:tcPr>
          <w:p>
            <w:pPr>
              <w:pStyle w:val="17"/>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84" w:type="dxa"/>
            <w:vMerge w:val="restart"/>
            <w:tcBorders>
              <w:top w:val="single" w:color="000000" w:sz="6" w:space="0"/>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功能分类</w:t>
            </w:r>
          </w:p>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5022"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84"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2"/>
                <w:szCs w:val="22"/>
              </w:rPr>
            </w:pPr>
          </w:p>
        </w:tc>
        <w:tc>
          <w:tcPr>
            <w:tcW w:w="3155" w:type="dxa"/>
            <w:vMerge w:val="continue"/>
            <w:tcBorders>
              <w:left w:val="single" w:color="000000" w:sz="6" w:space="0"/>
              <w:bottom w:val="single" w:color="000000" w:sz="6" w:space="0"/>
              <w:right w:val="single" w:color="000000" w:sz="6" w:space="0"/>
            </w:tcBorders>
            <w:vAlign w:val="top"/>
          </w:tcPr>
          <w:p>
            <w:pPr>
              <w:widowControl w:val="0"/>
              <w:jc w:val="lef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84"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155" w:type="dxa"/>
            <w:tcBorders>
              <w:left w:val="single" w:color="000000" w:sz="6" w:space="0"/>
              <w:bottom w:val="single" w:color="000000" w:sz="6" w:space="0"/>
              <w:right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84" w:type="dxa"/>
            <w:tcBorders>
              <w:left w:val="single" w:color="000000" w:sz="6" w:space="0"/>
              <w:bottom w:val="single" w:color="000000" w:sz="6" w:space="0"/>
            </w:tcBorders>
            <w:vAlign w:val="top"/>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194.16</w:t>
            </w:r>
          </w:p>
        </w:tc>
        <w:tc>
          <w:tcPr>
            <w:tcW w:w="2778" w:type="dxa"/>
            <w:tcBorders>
              <w:left w:val="single" w:color="000000" w:sz="6" w:space="0"/>
              <w:bottom w:val="single" w:color="000000" w:sz="6" w:space="0"/>
            </w:tcBorders>
            <w:vAlign w:val="top"/>
          </w:tcPr>
          <w:p>
            <w:pPr>
              <w:pStyle w:val="17"/>
              <w:widowControl w:val="0"/>
              <w:jc w:val="right"/>
              <w:rPr>
                <w:rFonts w:hint="eastAsia" w:ascii="仿宋" w:hAnsi="仿宋" w:eastAsia="仿宋" w:cs="仿宋"/>
                <w:sz w:val="22"/>
                <w:szCs w:val="22"/>
              </w:rPr>
            </w:pPr>
            <w:r>
              <w:rPr>
                <w:rFonts w:hint="eastAsia" w:ascii="仿宋" w:hAnsi="仿宋" w:eastAsia="仿宋" w:cs="仿宋"/>
              </w:rPr>
              <w:t>90.68</w:t>
            </w:r>
          </w:p>
        </w:tc>
        <w:tc>
          <w:tcPr>
            <w:tcW w:w="3155" w:type="dxa"/>
            <w:tcBorders>
              <w:left w:val="single" w:color="000000" w:sz="6" w:space="0"/>
              <w:bottom w:val="single" w:color="000000" w:sz="6" w:space="0"/>
              <w:right w:val="single" w:color="000000" w:sz="6" w:space="0"/>
            </w:tcBorders>
            <w:vAlign w:val="top"/>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103.49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171.48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68.00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103.48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民政管理事务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165.41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61.93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103.48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2080203</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机关服务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142.61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61.93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80.68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2080299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其他民政管理事务支出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22.80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6.07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6.07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4.05</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4.05</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2.02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2.02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22.67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22.67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22.67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22.67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7.16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7.16</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sz w:val="22"/>
                <w:szCs w:val="22"/>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15.51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7"/>
              <w:widowControl w:val="0"/>
              <w:jc w:val="right"/>
              <w:rPr>
                <w:rFonts w:hint="eastAsia" w:ascii="仿宋" w:hAnsi="仿宋" w:eastAsia="仿宋" w:cs="仿宋"/>
                <w:sz w:val="22"/>
                <w:szCs w:val="22"/>
              </w:rPr>
            </w:pPr>
            <w:r>
              <w:rPr>
                <w:rFonts w:hint="eastAsia" w:ascii="仿宋" w:hAnsi="仿宋" w:eastAsia="仿宋" w:cs="仿宋"/>
                <w:sz w:val="22"/>
                <w:szCs w:val="22"/>
              </w:rPr>
              <w:t>15.51</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7"/>
              <w:widowControl w:val="0"/>
              <w:jc w:val="right"/>
              <w:rPr>
                <w:rFonts w:hint="eastAsia" w:ascii="仿宋" w:hAnsi="仿宋" w:eastAsia="仿宋" w:cs="仿宋"/>
                <w:sz w:val="22"/>
                <w:szCs w:val="22"/>
              </w:rPr>
            </w:pPr>
          </w:p>
        </w:tc>
      </w:tr>
    </w:tbl>
    <w:p>
      <w:pPr>
        <w:widowControl w:val="0"/>
        <w:tabs>
          <w:tab w:val="left" w:pos="0"/>
        </w:tabs>
        <w:suppressAutoHyphens/>
        <w:spacing w:before="0" w:after="0"/>
        <w:ind w:left="0" w:leftChars="0" w:right="0" w:firstLine="0" w:firstLineChars="0"/>
        <w:jc w:val="both"/>
        <w:rPr>
          <w:rFonts w:hint="eastAsia" w:ascii="仿宋" w:hAnsi="仿宋" w:eastAsia="仿宋" w:cs="仿宋"/>
          <w:b w:val="0"/>
          <w:bCs w:val="0"/>
        </w:rPr>
      </w:pPr>
      <w:r>
        <w:rPr>
          <w:rFonts w:hint="eastAsia" w:ascii="仿宋" w:hAnsi="仿宋" w:eastAsia="仿宋" w:cs="仿宋"/>
          <w:b w:val="0"/>
          <w:bCs w:val="0"/>
        </w:rPr>
        <w:t>注：本表反映本年度一般公共预算财政拨款、政府性基金预算财政拨款和国有资本经营预算财政拨款支出情况。本表金额单位转换时可能存在尾数误差。</w:t>
      </w:r>
    </w:p>
    <w:p>
      <w:pPr>
        <w:widowControl w:val="0"/>
        <w:numPr>
          <w:numId w:val="0"/>
        </w:numPr>
        <w:tabs>
          <w:tab w:val="left" w:pos="55"/>
        </w:tabs>
        <w:suppressAutoHyphens/>
        <w:spacing w:before="0" w:after="0"/>
        <w:ind w:right="0"/>
        <w:jc w:val="both"/>
        <w:rPr>
          <w:rFonts w:hint="eastAsia" w:ascii="仿宋" w:hAnsi="仿宋" w:eastAsia="仿宋" w:cs="仿宋"/>
          <w:b w:val="0"/>
          <w:bCs w:val="0"/>
        </w:rPr>
        <w:sectPr>
          <w:footerReference r:id="rId12"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051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990"/>
        <w:gridCol w:w="3542"/>
        <w:gridCol w:w="2047"/>
        <w:gridCol w:w="204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0515" w:type="dxa"/>
            <w:gridSpan w:val="5"/>
            <w:vAlign w:val="center"/>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财政拨款基本支出决算表（经济科目）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4532" w:type="dxa"/>
            <w:gridSpan w:val="2"/>
            <w:vAlign w:val="top"/>
          </w:tcPr>
          <w:p>
            <w:pPr>
              <w:pStyle w:val="17"/>
              <w:widowControl w:val="0"/>
              <w:rPr>
                <w:rFonts w:hint="eastAsia" w:ascii="仿宋" w:hAnsi="仿宋" w:eastAsia="仿宋" w:cs="仿宋"/>
                <w:sz w:val="20"/>
              </w:rPr>
            </w:pPr>
          </w:p>
        </w:tc>
        <w:tc>
          <w:tcPr>
            <w:tcW w:w="2047" w:type="dxa"/>
            <w:vAlign w:val="top"/>
          </w:tcPr>
          <w:p>
            <w:pPr>
              <w:pStyle w:val="17"/>
              <w:widowControl w:val="0"/>
              <w:rPr>
                <w:rFonts w:hint="eastAsia" w:ascii="仿宋" w:hAnsi="仿宋" w:eastAsia="仿宋" w:cs="仿宋"/>
                <w:sz w:val="20"/>
              </w:rPr>
            </w:pPr>
          </w:p>
        </w:tc>
        <w:tc>
          <w:tcPr>
            <w:tcW w:w="2040" w:type="dxa"/>
            <w:vAlign w:val="top"/>
          </w:tcPr>
          <w:p>
            <w:pPr>
              <w:pStyle w:val="17"/>
              <w:widowControl w:val="0"/>
              <w:rPr>
                <w:rFonts w:hint="eastAsia" w:ascii="仿宋" w:hAnsi="仿宋" w:eastAsia="仿宋" w:cs="仿宋"/>
                <w:sz w:val="20"/>
              </w:rPr>
            </w:pPr>
          </w:p>
        </w:tc>
        <w:tc>
          <w:tcPr>
            <w:tcW w:w="1896" w:type="dxa"/>
            <w:vAlign w:val="center"/>
          </w:tcPr>
          <w:p>
            <w:pPr>
              <w:pStyle w:val="17"/>
              <w:widowControl w:val="0"/>
              <w:jc w:val="right"/>
              <w:rPr>
                <w:rFonts w:hint="eastAsia" w:ascii="仿宋" w:hAnsi="仿宋" w:eastAsia="仿宋" w:cs="仿宋"/>
                <w:sz w:val="20"/>
              </w:rPr>
            </w:pPr>
            <w:r>
              <w:rPr>
                <w:rFonts w:hint="eastAsia" w:ascii="仿宋" w:hAnsi="仿宋" w:eastAsia="仿宋" w:cs="仿宋"/>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8619" w:type="dxa"/>
            <w:gridSpan w:val="4"/>
            <w:vAlign w:val="top"/>
          </w:tcPr>
          <w:p>
            <w:pPr>
              <w:pStyle w:val="17"/>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江苏省民政信息中心</w:t>
            </w:r>
          </w:p>
        </w:tc>
        <w:tc>
          <w:tcPr>
            <w:tcW w:w="1896" w:type="dxa"/>
            <w:vAlign w:val="center"/>
          </w:tcPr>
          <w:p>
            <w:pPr>
              <w:pStyle w:val="17"/>
              <w:widowControl w:val="0"/>
              <w:jc w:val="right"/>
              <w:rPr>
                <w:rFonts w:hint="eastAsia" w:ascii="仿宋" w:hAnsi="仿宋" w:eastAsia="仿宋" w:cs="仿宋"/>
                <w:sz w:val="20"/>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90.68</w:t>
            </w:r>
          </w:p>
        </w:tc>
        <w:tc>
          <w:tcPr>
            <w:tcW w:w="204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81.83</w:t>
            </w:r>
          </w:p>
        </w:tc>
        <w:tc>
          <w:tcPr>
            <w:tcW w:w="1896"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81.83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81.83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11.18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11.18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17.31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17.31</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4.14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4.14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31.55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31.55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3.84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3.84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0.21</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7.41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7.41</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0.51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2.49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bl>
    <w:p>
      <w:pPr>
        <w:widowControl w:val="0"/>
        <w:tabs>
          <w:tab w:val="left" w:pos="660"/>
          <w:tab w:val="left" w:pos="10780"/>
        </w:tabs>
        <w:suppressAutoHyphens/>
        <w:spacing w:before="25" w:after="0" w:line="290" w:lineRule="auto"/>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注：本表反映本年度一般公共预算财政拨款、政府性基金预算财政拨款和国有资本经营预算财政拨款基本支出情况。本表金额单位转换时可能存在尾数误差。</w:t>
      </w:r>
    </w:p>
    <w:p>
      <w:pPr>
        <w:widowControl w:val="0"/>
        <w:numPr>
          <w:numId w:val="0"/>
        </w:numPr>
        <w:suppressAutoHyphens/>
        <w:spacing w:before="0" w:after="0" w:line="255" w:lineRule="exact"/>
        <w:jc w:val="both"/>
        <w:rPr>
          <w:rFonts w:hint="eastAsia" w:ascii="仿宋" w:hAnsi="仿宋" w:eastAsia="仿宋" w:cs="仿宋"/>
          <w:b w:val="0"/>
          <w:bCs w:val="0"/>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0446"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134"/>
        <w:gridCol w:w="4332"/>
        <w:gridCol w:w="1969"/>
        <w:gridCol w:w="1499"/>
        <w:gridCol w:w="15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560" w:hRule="atLeast"/>
        </w:trPr>
        <w:tc>
          <w:tcPr>
            <w:tcW w:w="10446" w:type="dxa"/>
            <w:gridSpan w:val="5"/>
            <w:vAlign w:val="center"/>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一般公共预算支出决算表（功能科目）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47" w:hRule="atLeast"/>
        </w:trPr>
        <w:tc>
          <w:tcPr>
            <w:tcW w:w="5466" w:type="dxa"/>
            <w:gridSpan w:val="2"/>
            <w:vAlign w:val="top"/>
          </w:tcPr>
          <w:p>
            <w:pPr>
              <w:pStyle w:val="17"/>
              <w:widowControl w:val="0"/>
              <w:rPr>
                <w:rFonts w:hint="eastAsia" w:ascii="仿宋" w:hAnsi="仿宋" w:eastAsia="仿宋" w:cs="仿宋"/>
                <w:sz w:val="20"/>
              </w:rPr>
            </w:pPr>
          </w:p>
        </w:tc>
        <w:tc>
          <w:tcPr>
            <w:tcW w:w="1969" w:type="dxa"/>
            <w:vAlign w:val="top"/>
          </w:tcPr>
          <w:p>
            <w:pPr>
              <w:pStyle w:val="17"/>
              <w:widowControl w:val="0"/>
              <w:rPr>
                <w:rFonts w:hint="eastAsia" w:ascii="仿宋" w:hAnsi="仿宋" w:eastAsia="仿宋" w:cs="仿宋"/>
                <w:sz w:val="20"/>
              </w:rPr>
            </w:pPr>
          </w:p>
        </w:tc>
        <w:tc>
          <w:tcPr>
            <w:tcW w:w="1499" w:type="dxa"/>
            <w:vAlign w:val="top"/>
          </w:tcPr>
          <w:p>
            <w:pPr>
              <w:pStyle w:val="17"/>
              <w:widowControl w:val="0"/>
              <w:rPr>
                <w:rFonts w:hint="eastAsia" w:ascii="仿宋" w:hAnsi="仿宋" w:eastAsia="仿宋" w:cs="仿宋"/>
                <w:sz w:val="20"/>
              </w:rPr>
            </w:pPr>
          </w:p>
        </w:tc>
        <w:tc>
          <w:tcPr>
            <w:tcW w:w="1512" w:type="dxa"/>
            <w:vAlign w:val="center"/>
          </w:tcPr>
          <w:p>
            <w:pPr>
              <w:pStyle w:val="17"/>
              <w:widowControl w:val="0"/>
              <w:jc w:val="right"/>
              <w:rPr>
                <w:rFonts w:hint="eastAsia" w:ascii="仿宋" w:hAnsi="仿宋" w:eastAsia="仿宋" w:cs="仿宋"/>
                <w:sz w:val="20"/>
              </w:rPr>
            </w:pPr>
            <w:r>
              <w:rPr>
                <w:rFonts w:hint="eastAsia" w:ascii="仿宋" w:hAnsi="仿宋" w:eastAsia="仿宋" w:cs="仿宋"/>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03" w:hRule="atLeast"/>
        </w:trPr>
        <w:tc>
          <w:tcPr>
            <w:tcW w:w="7435" w:type="dxa"/>
            <w:gridSpan w:val="3"/>
            <w:vAlign w:val="top"/>
          </w:tcPr>
          <w:p>
            <w:pPr>
              <w:pStyle w:val="17"/>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011" w:type="dxa"/>
            <w:gridSpan w:val="2"/>
            <w:vAlign w:val="top"/>
          </w:tcPr>
          <w:p>
            <w:pPr>
              <w:pStyle w:val="17"/>
              <w:widowControl w:val="0"/>
              <w:jc w:val="right"/>
              <w:rPr>
                <w:rFonts w:hint="eastAsia" w:ascii="仿宋" w:hAnsi="仿宋" w:eastAsia="仿宋" w:cs="仿宋"/>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vAlign w:val="top"/>
          </w:tcPr>
          <w:p>
            <w:pPr>
              <w:widowControl w:val="0"/>
              <w:jc w:val="left"/>
              <w:rPr>
                <w:rFonts w:hint="eastAsia" w:ascii="仿宋" w:hAnsi="仿宋" w:eastAsia="仿宋" w:cs="仿宋"/>
                <w:sz w:val="2"/>
                <w:szCs w:val="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17"/>
              <w:widowControl w:val="0"/>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194.16</w:t>
            </w:r>
          </w:p>
        </w:tc>
        <w:tc>
          <w:tcPr>
            <w:tcW w:w="1499" w:type="dxa"/>
            <w:tcBorders>
              <w:left w:val="single" w:color="000000" w:sz="6" w:space="0"/>
              <w:bottom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90.68</w:t>
            </w:r>
          </w:p>
        </w:tc>
        <w:tc>
          <w:tcPr>
            <w:tcW w:w="1512" w:type="dxa"/>
            <w:tcBorders>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103.49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171.48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68.00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103.48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民政管理事务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165.41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61.93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103.48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2080203</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机关服务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142.61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61.93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2080299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其他民政管理事务支出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22.80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6.07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6.07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4.05</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4.05</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22.67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7.16</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7.16</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15.51</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15.51</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7"/>
              <w:widowControl w:val="0"/>
              <w:jc w:val="right"/>
              <w:rPr>
                <w:rFonts w:hint="eastAsia" w:ascii="仿宋" w:hAnsi="仿宋" w:eastAsia="仿宋" w:cs="仿宋"/>
              </w:rPr>
            </w:pPr>
          </w:p>
        </w:tc>
      </w:tr>
    </w:tbl>
    <w:p>
      <w:pPr>
        <w:tabs>
          <w:tab w:val="left" w:pos="0"/>
        </w:tabs>
        <w:spacing w:before="25"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注：本表反映本年度一般公共预算财政拨款支出情况。本表金额单位转换时可能存在尾数误差。</w:t>
      </w:r>
    </w:p>
    <w:p>
      <w:pPr>
        <w:widowControl w:val="0"/>
        <w:numPr>
          <w:numId w:val="0"/>
        </w:numPr>
        <w:suppressAutoHyphens/>
        <w:spacing w:before="25" w:after="0"/>
        <w:jc w:val="both"/>
        <w:rPr>
          <w:rFonts w:hint="eastAsia" w:ascii="仿宋" w:hAnsi="仿宋" w:eastAsia="仿宋" w:cs="仿宋"/>
          <w:b w:val="0"/>
          <w:bCs w:val="0"/>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0473" w:type="dxa"/>
        <w:tblInd w:w="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121"/>
        <w:gridCol w:w="3566"/>
        <w:gridCol w:w="2200"/>
        <w:gridCol w:w="1708"/>
        <w:gridCol w:w="18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0473" w:type="dxa"/>
            <w:gridSpan w:val="5"/>
            <w:vAlign w:val="top"/>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一般公共预算基本支出决算表（经济科目）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99" w:hRule="atLeast"/>
        </w:trPr>
        <w:tc>
          <w:tcPr>
            <w:tcW w:w="8595" w:type="dxa"/>
            <w:gridSpan w:val="4"/>
            <w:vAlign w:val="center"/>
          </w:tcPr>
          <w:p>
            <w:pPr>
              <w:pStyle w:val="17"/>
              <w:widowControl w:val="0"/>
              <w:jc w:val="right"/>
              <w:rPr>
                <w:rFonts w:hint="eastAsia" w:ascii="仿宋" w:hAnsi="仿宋" w:eastAsia="仿宋" w:cs="仿宋"/>
                <w:color w:val="000000"/>
                <w:sz w:val="22"/>
                <w:szCs w:val="22"/>
                <w:lang w:eastAsia="zh-CN"/>
              </w:rPr>
            </w:pPr>
          </w:p>
        </w:tc>
        <w:tc>
          <w:tcPr>
            <w:tcW w:w="1878" w:type="dxa"/>
            <w:vAlign w:val="center"/>
          </w:tcPr>
          <w:p>
            <w:pPr>
              <w:pStyle w:val="17"/>
              <w:widowControl w:val="0"/>
              <w:jc w:val="right"/>
              <w:rPr>
                <w:rFonts w:hint="eastAsia" w:ascii="仿宋" w:hAnsi="仿宋" w:eastAsia="仿宋" w:cs="仿宋"/>
              </w:rPr>
            </w:pPr>
            <w:r>
              <w:rPr>
                <w:rFonts w:hint="eastAsia" w:ascii="仿宋" w:hAnsi="仿宋" w:eastAsia="仿宋" w:cs="仿宋"/>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320" w:hRule="atLeast"/>
        </w:trPr>
        <w:tc>
          <w:tcPr>
            <w:tcW w:w="8595" w:type="dxa"/>
            <w:gridSpan w:val="4"/>
            <w:vAlign w:val="center"/>
          </w:tcPr>
          <w:p>
            <w:pPr>
              <w:pStyle w:val="17"/>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1878" w:type="dxa"/>
            <w:vAlign w:val="center"/>
          </w:tcPr>
          <w:p>
            <w:pPr>
              <w:pStyle w:val="17"/>
              <w:widowControl w:val="0"/>
              <w:jc w:val="right"/>
              <w:rPr>
                <w:rFonts w:hint="eastAsia" w:ascii="仿宋" w:hAnsi="仿宋" w:eastAsia="仿宋" w:cs="仿宋"/>
                <w:sz w:val="20"/>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90.68</w:t>
            </w:r>
          </w:p>
        </w:tc>
        <w:tc>
          <w:tcPr>
            <w:tcW w:w="1708"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81.83</w:t>
            </w:r>
          </w:p>
        </w:tc>
        <w:tc>
          <w:tcPr>
            <w:tcW w:w="1878"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81.83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81.83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11.18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11.18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17.31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17.31</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4.14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4.14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31.55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31.55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4.05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2.02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3.84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3.84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0.21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0.21</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7.41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7.41</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8.85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3.40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0.51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2.49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2.49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bl>
    <w:p>
      <w:pPr>
        <w:spacing w:before="25" w:after="0"/>
        <w:ind w:left="0" w:leftChars="0" w:right="-92" w:rightChars="-4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注：本表反映本年度一般公共预算财政拨款基本支出情况。本表金额单位转换时可能存在尾数误差。</w:t>
      </w:r>
    </w:p>
    <w:p>
      <w:pPr>
        <w:widowControl w:val="0"/>
        <w:numPr>
          <w:numId w:val="0"/>
        </w:numPr>
        <w:suppressAutoHyphens/>
        <w:spacing w:before="25" w:after="0"/>
        <w:jc w:val="both"/>
        <w:rPr>
          <w:rFonts w:hint="eastAsia" w:ascii="仿宋" w:hAnsi="仿宋" w:eastAsia="仿宋" w:cs="仿宋"/>
          <w:b w:val="0"/>
          <w:bCs w:val="0"/>
          <w:sz w:val="22"/>
          <w:szCs w:val="22"/>
        </w:rPr>
        <w:sectPr>
          <w:footerReference r:id="rId15"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6486"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16486" w:type="dxa"/>
            <w:gridSpan w:val="16"/>
            <w:vAlign w:val="top"/>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一般公共预算“三公”经费、会议费、培训费支出决算表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07" w:hRule="atLeast"/>
        </w:trPr>
        <w:tc>
          <w:tcPr>
            <w:tcW w:w="16486" w:type="dxa"/>
            <w:gridSpan w:val="16"/>
            <w:vAlign w:val="top"/>
          </w:tcPr>
          <w:p>
            <w:pPr>
              <w:pStyle w:val="17"/>
              <w:widowControl w:val="0"/>
              <w:jc w:val="right"/>
              <w:rPr>
                <w:rFonts w:hint="eastAsia" w:ascii="仿宋" w:hAnsi="仿宋" w:eastAsia="仿宋" w:cs="仿宋"/>
                <w:sz w:val="20"/>
              </w:rPr>
            </w:pPr>
            <w:r>
              <w:rPr>
                <w:rFonts w:hint="eastAsia" w:ascii="仿宋" w:hAnsi="仿宋" w:eastAsia="仿宋" w:cs="仿宋"/>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vAlign w:val="top"/>
          </w:tcPr>
          <w:p>
            <w:pPr>
              <w:pStyle w:val="17"/>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8274" w:type="dxa"/>
            <w:gridSpan w:val="8"/>
            <w:tcBorders>
              <w:bottom w:val="single" w:color="auto" w:sz="4" w:space="0"/>
            </w:tcBorders>
            <w:vAlign w:val="top"/>
          </w:tcPr>
          <w:p>
            <w:pPr>
              <w:pStyle w:val="17"/>
              <w:widowControl w:val="0"/>
              <w:jc w:val="right"/>
              <w:rPr>
                <w:rFonts w:hint="eastAsia" w:ascii="仿宋" w:hAnsi="仿宋" w:eastAsia="仿宋" w:cs="仿宋"/>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vAlign w:val="top"/>
          </w:tcPr>
          <w:p>
            <w:pPr>
              <w:pStyle w:val="17"/>
              <w:widowControl w:val="0"/>
              <w:jc w:val="center"/>
              <w:rPr>
                <w:rFonts w:hint="eastAsia" w:ascii="仿宋" w:hAnsi="仿宋" w:eastAsia="仿宋" w:cs="仿宋"/>
              </w:rPr>
            </w:pPr>
            <w:r>
              <w:rPr>
                <w:rFonts w:hint="eastAsia" w:ascii="仿宋" w:hAnsi="仿宋" w:eastAsia="仿宋" w:cs="仿宋"/>
                <w:lang w:val="en-US" w:eastAsia="zh-CN"/>
              </w:rPr>
              <w:t>预算数</w:t>
            </w:r>
          </w:p>
        </w:tc>
        <w:tc>
          <w:tcPr>
            <w:tcW w:w="8274" w:type="dxa"/>
            <w:gridSpan w:val="8"/>
            <w:tcBorders>
              <w:top w:val="single" w:color="auto" w:sz="4" w:space="0"/>
              <w:left w:val="single" w:color="auto" w:sz="4" w:space="0"/>
              <w:bottom w:val="single" w:color="auto" w:sz="4" w:space="0"/>
              <w:right w:val="single" w:color="auto" w:sz="4" w:space="0"/>
            </w:tcBorders>
            <w:vAlign w:val="top"/>
          </w:tcPr>
          <w:p>
            <w:pPr>
              <w:pStyle w:val="17"/>
              <w:widowControl w:val="0"/>
              <w:jc w:val="center"/>
              <w:rPr>
                <w:rFonts w:hint="eastAsia" w:ascii="仿宋" w:hAnsi="仿宋" w:eastAsia="仿宋" w:cs="仿宋"/>
                <w:lang w:val="en-US" w:eastAsia="zh-CN"/>
              </w:rPr>
            </w:pPr>
            <w:r>
              <w:rPr>
                <w:rFonts w:hint="eastAsia" w:ascii="仿宋" w:hAnsi="仿宋" w:eastAsia="仿宋" w:cs="仿宋"/>
                <w:lang w:val="en-US" w:eastAsia="zh-CN"/>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w:t>
            </w:r>
          </w:p>
          <w:p>
            <w:pPr>
              <w:pStyle w:val="17"/>
              <w:widowControl w:val="0"/>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17"/>
              <w:widowControl w:val="0"/>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17"/>
              <w:widowControl w:val="0"/>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w:t>
            </w:r>
          </w:p>
          <w:p>
            <w:pPr>
              <w:pStyle w:val="17"/>
              <w:widowControl w:val="0"/>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1.00</w:t>
            </w:r>
          </w:p>
        </w:tc>
        <w:tc>
          <w:tcPr>
            <w:tcW w:w="1042"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9"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6"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1.00</w:t>
            </w:r>
          </w:p>
        </w:tc>
        <w:tc>
          <w:tcPr>
            <w:tcW w:w="1043"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6.60</w:t>
            </w:r>
          </w:p>
        </w:tc>
        <w:tc>
          <w:tcPr>
            <w:tcW w:w="1010"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1.00</w:t>
            </w:r>
          </w:p>
        </w:tc>
        <w:tc>
          <w:tcPr>
            <w:tcW w:w="1010"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89"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1.00</w:t>
            </w:r>
          </w:p>
        </w:tc>
        <w:tc>
          <w:tcPr>
            <w:tcW w:w="1057"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4.40</w:t>
            </w:r>
          </w:p>
        </w:tc>
        <w:tc>
          <w:tcPr>
            <w:tcW w:w="1027"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18"/>
                <w:szCs w:val="18"/>
              </w:rPr>
            </w:pPr>
            <w:r>
              <w:rPr>
                <w:rFonts w:hint="eastAsia" w:ascii="仿宋" w:hAnsi="仿宋" w:eastAsia="仿宋" w:cs="仿宋"/>
                <w:sz w:val="18"/>
                <w:szCs w:val="18"/>
              </w:rPr>
              <w:t>0.00</w:t>
            </w:r>
          </w:p>
        </w:tc>
      </w:tr>
    </w:tbl>
    <w:p>
      <w:pPr>
        <w:spacing w:before="30" w:after="33"/>
        <w:ind w:left="220" w:leftChars="100" w:firstLine="0" w:firstLineChars="0"/>
        <w:rPr>
          <w:rFonts w:hint="eastAsia" w:ascii="仿宋" w:hAnsi="仿宋" w:eastAsia="仿宋" w:cs="仿宋"/>
          <w:sz w:val="22"/>
          <w:szCs w:val="22"/>
        </w:rPr>
      </w:pPr>
      <w:r>
        <w:rPr>
          <w:rFonts w:hint="eastAsia" w:ascii="仿宋" w:hAnsi="仿宋" w:eastAsia="仿宋" w:cs="仿宋"/>
          <w:sz w:val="22"/>
          <w:szCs w:val="22"/>
        </w:rPr>
        <w:t>相关统计数：</w:t>
      </w:r>
    </w:p>
    <w:tbl>
      <w:tblPr>
        <w:tblW w:w="11798"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4028"/>
        <w:gridCol w:w="1976"/>
        <w:gridCol w:w="3908"/>
        <w:gridCol w:w="1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100</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1</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0</w:t>
            </w:r>
          </w:p>
        </w:tc>
      </w:tr>
    </w:tbl>
    <w:p>
      <w:pPr>
        <w:widowControl w:val="0"/>
        <w:suppressAutoHyphens/>
        <w:spacing w:before="0" w:after="0"/>
        <w:ind w:left="0" w:leftChars="0" w:right="-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本表反映本年度一般公共预算“三公”经费、会议费和培训费支出情况。其中，预算数为全年预算数，反映按规定程序调整后的预算数；决算数是包括当年一般公共预算财政拨款和以前年度结转资金安排的实际支出。本表金额单位转换时可能存在尾数误差</w:t>
      </w:r>
      <w:r>
        <w:rPr>
          <w:rFonts w:hint="eastAsia" w:ascii="仿宋" w:hAnsi="仿宋" w:eastAsia="仿宋" w:cs="仿宋"/>
          <w:b w:val="0"/>
          <w:bCs w:val="0"/>
          <w:sz w:val="22"/>
          <w:szCs w:val="22"/>
        </w:rPr>
        <w:t>。</w:t>
      </w:r>
    </w:p>
    <w:p>
      <w:pPr>
        <w:widowControl w:val="0"/>
        <w:suppressAutoHyphens/>
        <w:spacing w:before="0" w:after="0"/>
        <w:ind w:left="227" w:right="0" w:firstLine="220" w:firstLineChars="100"/>
        <w:jc w:val="both"/>
        <w:rPr>
          <w:rFonts w:hint="eastAsia" w:ascii="仿宋" w:hAnsi="仿宋" w:eastAsia="仿宋" w:cs="仿宋"/>
          <w:b w:val="0"/>
          <w:bCs w:val="0"/>
          <w:sz w:val="22"/>
          <w:szCs w:val="22"/>
        </w:rPr>
        <w:sectPr>
          <w:footerReference r:id="rId16" w:type="default"/>
          <w:pgSz w:w="16838" w:h="11906" w:orient="landscape"/>
          <w:pgMar w:top="720" w:right="153" w:bottom="720" w:left="153"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5400"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431"/>
        <w:gridCol w:w="6995"/>
        <w:gridCol w:w="2684"/>
        <w:gridCol w:w="2432"/>
        <w:gridCol w:w="1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95" w:hRule="atLeast"/>
        </w:trPr>
        <w:tc>
          <w:tcPr>
            <w:tcW w:w="15400" w:type="dxa"/>
            <w:gridSpan w:val="5"/>
            <w:vAlign w:val="center"/>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政府性基金预算支出决算表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3" w:hRule="atLeast"/>
        </w:trPr>
        <w:tc>
          <w:tcPr>
            <w:tcW w:w="8426" w:type="dxa"/>
            <w:gridSpan w:val="2"/>
            <w:vAlign w:val="top"/>
          </w:tcPr>
          <w:p>
            <w:pPr>
              <w:pStyle w:val="17"/>
              <w:widowControl w:val="0"/>
              <w:rPr>
                <w:rFonts w:hint="eastAsia" w:ascii="仿宋" w:hAnsi="仿宋" w:eastAsia="仿宋" w:cs="仿宋"/>
                <w:sz w:val="20"/>
              </w:rPr>
            </w:pPr>
          </w:p>
        </w:tc>
        <w:tc>
          <w:tcPr>
            <w:tcW w:w="2684" w:type="dxa"/>
            <w:vAlign w:val="top"/>
          </w:tcPr>
          <w:p>
            <w:pPr>
              <w:pStyle w:val="17"/>
              <w:widowControl w:val="0"/>
              <w:rPr>
                <w:rFonts w:hint="eastAsia" w:ascii="仿宋" w:hAnsi="仿宋" w:eastAsia="仿宋" w:cs="仿宋"/>
                <w:sz w:val="27"/>
              </w:rPr>
            </w:pPr>
          </w:p>
        </w:tc>
        <w:tc>
          <w:tcPr>
            <w:tcW w:w="2432" w:type="dxa"/>
            <w:vAlign w:val="top"/>
          </w:tcPr>
          <w:p>
            <w:pPr>
              <w:pStyle w:val="17"/>
              <w:widowControl w:val="0"/>
              <w:rPr>
                <w:rFonts w:hint="eastAsia" w:ascii="仿宋" w:hAnsi="仿宋" w:eastAsia="仿宋" w:cs="仿宋"/>
                <w:sz w:val="20"/>
              </w:rPr>
            </w:pPr>
          </w:p>
        </w:tc>
        <w:tc>
          <w:tcPr>
            <w:tcW w:w="1858" w:type="dxa"/>
            <w:vAlign w:val="center"/>
          </w:tcPr>
          <w:p>
            <w:pPr>
              <w:pStyle w:val="17"/>
              <w:widowControl w:val="0"/>
              <w:jc w:val="right"/>
              <w:rPr>
                <w:rFonts w:hint="eastAsia" w:ascii="仿宋" w:hAnsi="仿宋" w:eastAsia="仿宋" w:cs="仿宋"/>
                <w:sz w:val="27"/>
              </w:rPr>
            </w:pPr>
            <w:r>
              <w:rPr>
                <w:rFonts w:hint="eastAsia" w:ascii="仿宋" w:hAnsi="仿宋" w:eastAsia="仿宋" w:cs="仿宋"/>
              </w:rPr>
              <w:t>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2" w:hRule="atLeast"/>
        </w:trPr>
        <w:tc>
          <w:tcPr>
            <w:tcW w:w="13542" w:type="dxa"/>
            <w:gridSpan w:val="4"/>
            <w:vAlign w:val="center"/>
          </w:tcPr>
          <w:p>
            <w:pPr>
              <w:pStyle w:val="17"/>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1858" w:type="dxa"/>
            <w:vAlign w:val="center"/>
          </w:tcPr>
          <w:p>
            <w:pPr>
              <w:pStyle w:val="17"/>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功能分类</w:t>
            </w:r>
          </w:p>
          <w:p>
            <w:pPr>
              <w:pStyle w:val="17"/>
              <w:widowControl w:val="0"/>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432"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p>
        </w:tc>
        <w:tc>
          <w:tcPr>
            <w:tcW w:w="2432"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bl>
    <w:p>
      <w:pPr>
        <w:spacing w:before="25" w:after="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注：本表反映本年度政府性基金预算财政拨款支出情况。</w:t>
      </w:r>
    </w:p>
    <w:p>
      <w:pPr>
        <w:numPr>
          <w:numId w:val="0"/>
        </w:numPr>
        <w:spacing w:before="25" w:after="0"/>
        <w:ind w:left="440" w:leftChars="200" w:firstLine="0" w:firstLineChars="0"/>
        <w:jc w:val="both"/>
        <w:rPr>
          <w:rFonts w:hint="default" w:ascii="仿宋" w:hAnsi="仿宋" w:eastAsia="仿宋" w:cs="仿宋"/>
          <w:b w:val="0"/>
          <w:bCs w:val="0"/>
          <w:sz w:val="22"/>
          <w:szCs w:val="22"/>
          <w:lang w:val="en-US" w:eastAsia="zh-CN"/>
        </w:rPr>
      </w:pPr>
      <w:r>
        <w:rPr>
          <w:rFonts w:ascii="仿宋" w:hAnsi="仿宋" w:eastAsia="仿宋" w:cs="仿宋"/>
          <w:sz w:val="22"/>
        </w:rPr>
        <w:t>本单位无政府性基金预算收入支出决算，故本表为空。</w:t>
      </w:r>
    </w:p>
    <w:p>
      <w:pPr>
        <w:widowControl w:val="0"/>
        <w:numPr>
          <w:numId w:val="0"/>
        </w:numPr>
        <w:suppressAutoHyphens/>
        <w:spacing w:before="25" w:after="0"/>
        <w:jc w:val="both"/>
        <w:rPr>
          <w:rFonts w:hint="default" w:ascii="仿宋" w:hAnsi="仿宋" w:eastAsia="仿宋" w:cs="仿宋"/>
          <w:b w:val="0"/>
          <w:bCs w:val="0"/>
          <w:sz w:val="22"/>
          <w:szCs w:val="22"/>
          <w:lang w:val="en-US" w:eastAsia="zh-CN"/>
        </w:rPr>
        <w:sectPr>
          <w:footerReference r:id="rId17"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5400" w:type="dxa"/>
        <w:tblInd w:w="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462"/>
        <w:gridCol w:w="7058"/>
        <w:gridCol w:w="2510"/>
        <w:gridCol w:w="2309"/>
        <w:gridCol w:w="2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95" w:hRule="atLeast"/>
        </w:trPr>
        <w:tc>
          <w:tcPr>
            <w:tcW w:w="15400" w:type="dxa"/>
            <w:gridSpan w:val="5"/>
            <w:vAlign w:val="center"/>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国有资本经营预算支出决算表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3" w:hRule="atLeast"/>
        </w:trPr>
        <w:tc>
          <w:tcPr>
            <w:tcW w:w="8520" w:type="dxa"/>
            <w:gridSpan w:val="2"/>
            <w:vAlign w:val="top"/>
          </w:tcPr>
          <w:p>
            <w:pPr>
              <w:pStyle w:val="17"/>
              <w:widowControl w:val="0"/>
              <w:rPr>
                <w:rFonts w:hint="eastAsia" w:ascii="仿宋" w:hAnsi="仿宋" w:eastAsia="仿宋" w:cs="仿宋"/>
                <w:sz w:val="20"/>
              </w:rPr>
            </w:pPr>
          </w:p>
        </w:tc>
        <w:tc>
          <w:tcPr>
            <w:tcW w:w="2510" w:type="dxa"/>
            <w:vAlign w:val="top"/>
          </w:tcPr>
          <w:p>
            <w:pPr>
              <w:pStyle w:val="17"/>
              <w:widowControl w:val="0"/>
              <w:rPr>
                <w:rFonts w:hint="eastAsia" w:ascii="仿宋" w:hAnsi="仿宋" w:eastAsia="仿宋" w:cs="仿宋"/>
                <w:sz w:val="27"/>
              </w:rPr>
            </w:pPr>
          </w:p>
        </w:tc>
        <w:tc>
          <w:tcPr>
            <w:tcW w:w="2309" w:type="dxa"/>
            <w:vAlign w:val="top"/>
          </w:tcPr>
          <w:p>
            <w:pPr>
              <w:pStyle w:val="17"/>
              <w:widowControl w:val="0"/>
              <w:rPr>
                <w:rFonts w:hint="eastAsia" w:ascii="仿宋" w:hAnsi="仿宋" w:eastAsia="仿宋" w:cs="仿宋"/>
                <w:sz w:val="20"/>
              </w:rPr>
            </w:pPr>
          </w:p>
        </w:tc>
        <w:tc>
          <w:tcPr>
            <w:tcW w:w="2061" w:type="dxa"/>
            <w:vAlign w:val="center"/>
          </w:tcPr>
          <w:p>
            <w:pPr>
              <w:pStyle w:val="17"/>
              <w:widowControl w:val="0"/>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eastAsia="zh-CN"/>
              </w:rPr>
              <w:t>1</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2" w:hRule="atLeast"/>
        </w:trPr>
        <w:tc>
          <w:tcPr>
            <w:tcW w:w="13339" w:type="dxa"/>
            <w:gridSpan w:val="4"/>
            <w:vAlign w:val="center"/>
          </w:tcPr>
          <w:p>
            <w:pPr>
              <w:pStyle w:val="17"/>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2061" w:type="dxa"/>
            <w:vAlign w:val="center"/>
          </w:tcPr>
          <w:p>
            <w:pPr>
              <w:pStyle w:val="17"/>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功能分类</w:t>
            </w:r>
          </w:p>
          <w:p>
            <w:pPr>
              <w:pStyle w:val="17"/>
              <w:widowControl w:val="0"/>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309"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p>
        </w:tc>
        <w:tc>
          <w:tcPr>
            <w:tcW w:w="2309" w:type="dxa"/>
            <w:tcBorders>
              <w:left w:val="single" w:color="000000" w:sz="4" w:space="0"/>
              <w:bottom w:val="single" w:color="000000" w:sz="4" w:space="0"/>
            </w:tcBorders>
            <w:vAlign w:val="center"/>
          </w:tcPr>
          <w:p>
            <w:pPr>
              <w:pStyle w:val="17"/>
              <w:widowControl w:val="0"/>
              <w:jc w:val="right"/>
              <w:rPr>
                <w:rFonts w:hint="eastAsia"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bl>
    <w:p>
      <w:pPr>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注：本表反映本年度国有资本经营预算财政拨款支出情况。</w:t>
      </w:r>
    </w:p>
    <w:p>
      <w:pPr>
        <w:numPr>
          <w:numId w:val="0"/>
        </w:numPr>
        <w:ind w:left="440" w:leftChars="200" w:firstLine="0" w:firstLineChars="0"/>
        <w:jc w:val="both"/>
        <w:rPr>
          <w:rFonts w:hint="default" w:ascii="仿宋" w:hAnsi="仿宋" w:eastAsia="仿宋" w:cs="仿宋"/>
          <w:b w:val="0"/>
          <w:bCs w:val="0"/>
          <w:sz w:val="22"/>
          <w:szCs w:val="22"/>
          <w:lang w:val="en-US" w:eastAsia="zh-CN"/>
        </w:rPr>
      </w:pPr>
      <w:r>
        <w:rPr>
          <w:rFonts w:ascii="仿宋" w:hAnsi="仿宋" w:eastAsia="仿宋" w:cs="仿宋"/>
          <w:sz w:val="22"/>
        </w:rPr>
        <w:t>本单位无</w:t>
      </w:r>
      <w:r>
        <w:rPr>
          <w:rFonts w:hint="eastAsia" w:ascii="仿宋" w:hAnsi="仿宋" w:eastAsia="仿宋" w:cs="仿宋"/>
          <w:b w:val="0"/>
          <w:bCs w:val="0"/>
          <w:sz w:val="22"/>
          <w:szCs w:val="22"/>
        </w:rPr>
        <w:t>国有资本经营预算支出</w:t>
      </w:r>
      <w:r>
        <w:rPr>
          <w:rFonts w:hint="eastAsia" w:ascii="仿宋" w:hAnsi="仿宋" w:eastAsia="仿宋" w:cs="仿宋"/>
          <w:b w:val="0"/>
          <w:bCs w:val="0"/>
          <w:sz w:val="22"/>
          <w:szCs w:val="22"/>
          <w:lang w:val="en-US" w:eastAsia="zh-CN"/>
        </w:rPr>
        <w:t>决算，故本表为空。</w:t>
      </w:r>
    </w:p>
    <w:p>
      <w:pPr>
        <w:spacing w:before="25" w:after="0"/>
        <w:ind w:left="-220" w:leftChars="-100" w:firstLine="0" w:firstLineChars="0"/>
        <w:jc w:val="both"/>
        <w:rPr>
          <w:rFonts w:hint="default" w:ascii="仿宋" w:hAnsi="仿宋" w:eastAsia="仿宋" w:cs="仿宋"/>
          <w:b w:val="0"/>
          <w:bCs w:val="0"/>
          <w:sz w:val="22"/>
          <w:szCs w:val="22"/>
          <w:lang w:val="en-US" w:eastAsia="zh-CN"/>
        </w:rPr>
        <w:sectPr>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0466"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642"/>
        <w:gridCol w:w="4990"/>
        <w:gridCol w:w="3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0466" w:type="dxa"/>
            <w:gridSpan w:val="3"/>
            <w:vAlign w:val="top"/>
          </w:tcPr>
          <w:p>
            <w:pPr>
              <w:pStyle w:val="17"/>
              <w:widowControl w:val="0"/>
              <w:tabs>
                <w:tab w:val="left" w:pos="610"/>
              </w:tabs>
              <w:spacing w:before="28" w:after="0"/>
              <w:ind w:left="8" w:firstLine="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一般公共预算机关运行经费支出决算表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90" w:hRule="atLeast"/>
        </w:trPr>
        <w:tc>
          <w:tcPr>
            <w:tcW w:w="6632" w:type="dxa"/>
            <w:gridSpan w:val="2"/>
            <w:vAlign w:val="top"/>
          </w:tcPr>
          <w:p>
            <w:pPr>
              <w:pStyle w:val="17"/>
              <w:widowControl w:val="0"/>
              <w:rPr>
                <w:rFonts w:hint="eastAsia" w:ascii="仿宋" w:hAnsi="仿宋" w:eastAsia="仿宋" w:cs="仿宋"/>
                <w:sz w:val="20"/>
              </w:rPr>
            </w:pPr>
          </w:p>
        </w:tc>
        <w:tc>
          <w:tcPr>
            <w:tcW w:w="3834" w:type="dxa"/>
            <w:vAlign w:val="center"/>
          </w:tcPr>
          <w:p>
            <w:pPr>
              <w:pStyle w:val="17"/>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90" w:hRule="atLeast"/>
        </w:trPr>
        <w:tc>
          <w:tcPr>
            <w:tcW w:w="6632" w:type="dxa"/>
            <w:gridSpan w:val="2"/>
            <w:vAlign w:val="center"/>
          </w:tcPr>
          <w:p>
            <w:pPr>
              <w:pStyle w:val="17"/>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834" w:type="dxa"/>
            <w:vAlign w:val="center"/>
          </w:tcPr>
          <w:p>
            <w:pPr>
              <w:pStyle w:val="17"/>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vAlign w:val="top"/>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990" w:type="dxa"/>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834"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17"/>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834" w:type="dxa"/>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7"/>
              <w:widowControl w:val="0"/>
              <w:jc w:val="left"/>
              <w:rPr>
                <w:rFonts w:hint="eastAsia" w:ascii="仿宋" w:hAnsi="仿宋" w:eastAsia="仿宋" w:cs="仿宋"/>
                <w:sz w:val="22"/>
                <w:szCs w:val="22"/>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spacing w:before="25" w:after="0"/>
        <w:ind w:left="0" w:leftChars="0" w:right="-92" w:rightChars="-42" w:firstLine="0" w:firstLineChars="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numId w:val="0"/>
        </w:numPr>
        <w:tabs>
          <w:tab w:val="left" w:pos="440"/>
        </w:tabs>
        <w:spacing w:before="25" w:after="0"/>
        <w:ind w:left="440" w:leftChars="20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lang w:eastAsia="zh-CN"/>
        </w:rPr>
        <w:t>本</w:t>
      </w:r>
      <w:r>
        <w:rPr>
          <w:rFonts w:ascii="仿宋" w:hAnsi="仿宋" w:eastAsia="仿宋" w:cs="仿宋"/>
          <w:sz w:val="22"/>
        </w:rPr>
        <w:t>单位</w:t>
      </w:r>
      <w:r>
        <w:rPr>
          <w:rFonts w:hint="eastAsia" w:ascii="仿宋" w:hAnsi="仿宋" w:eastAsia="仿宋" w:cs="仿宋"/>
          <w:b w:val="0"/>
          <w:bCs w:val="0"/>
          <w:sz w:val="22"/>
          <w:szCs w:val="22"/>
        </w:rPr>
        <w:t>无一般公共预算机关运行经费支出决算，故本表为空。</w:t>
      </w:r>
    </w:p>
    <w:p>
      <w:pPr>
        <w:numPr>
          <w:numId w:val="0"/>
        </w:numPr>
        <w:tabs>
          <w:tab w:val="left" w:pos="440"/>
        </w:tabs>
        <w:spacing w:before="25" w:after="0"/>
        <w:ind w:left="440" w:leftChars="200" w:firstLine="0" w:firstLineChars="0"/>
        <w:jc w:val="both"/>
        <w:rPr>
          <w:rFonts w:hint="eastAsia" w:ascii="仿宋" w:hAnsi="仿宋" w:eastAsia="仿宋" w:cs="仿宋"/>
          <w:b w:val="0"/>
          <w:bCs w:val="0"/>
          <w:sz w:val="22"/>
          <w:szCs w:val="22"/>
          <w:lang w:val="en-US" w:eastAsia="zh-CN"/>
        </w:rPr>
        <w:sectPr>
          <w:footerReference r:id="rId18" w:type="default"/>
          <w:type w:val="continuous"/>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W w:w="10459" w:type="dxa"/>
        <w:tblInd w:w="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4472"/>
        <w:gridCol w:w="722"/>
        <w:gridCol w:w="1992"/>
        <w:gridCol w:w="3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33" w:hRule="atLeast"/>
        </w:trPr>
        <w:tc>
          <w:tcPr>
            <w:tcW w:w="10459" w:type="dxa"/>
            <w:gridSpan w:val="4"/>
            <w:vAlign w:val="center"/>
          </w:tcPr>
          <w:p>
            <w:pPr>
              <w:pStyle w:val="17"/>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政府采购支出决算表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33" w:hRule="atLeast"/>
        </w:trPr>
        <w:tc>
          <w:tcPr>
            <w:tcW w:w="4472" w:type="dxa"/>
            <w:vAlign w:val="top"/>
          </w:tcPr>
          <w:p>
            <w:pPr>
              <w:pStyle w:val="17"/>
              <w:widowControl w:val="0"/>
              <w:rPr>
                <w:rFonts w:hint="eastAsia" w:ascii="仿宋" w:hAnsi="仿宋" w:eastAsia="仿宋" w:cs="仿宋"/>
              </w:rPr>
            </w:pPr>
          </w:p>
        </w:tc>
        <w:tc>
          <w:tcPr>
            <w:tcW w:w="722" w:type="dxa"/>
            <w:vAlign w:val="top"/>
          </w:tcPr>
          <w:p>
            <w:pPr>
              <w:pStyle w:val="17"/>
              <w:widowControl w:val="0"/>
              <w:rPr>
                <w:rFonts w:hint="eastAsia" w:ascii="仿宋" w:hAnsi="仿宋" w:eastAsia="仿宋" w:cs="仿宋"/>
              </w:rPr>
            </w:pPr>
          </w:p>
        </w:tc>
        <w:tc>
          <w:tcPr>
            <w:tcW w:w="1992" w:type="dxa"/>
            <w:vAlign w:val="top"/>
          </w:tcPr>
          <w:p>
            <w:pPr>
              <w:pStyle w:val="17"/>
              <w:widowControl w:val="0"/>
              <w:rPr>
                <w:rFonts w:hint="eastAsia" w:ascii="仿宋" w:hAnsi="仿宋" w:eastAsia="仿宋" w:cs="仿宋"/>
              </w:rPr>
            </w:pPr>
          </w:p>
        </w:tc>
        <w:tc>
          <w:tcPr>
            <w:tcW w:w="3273" w:type="dxa"/>
            <w:vAlign w:val="center"/>
          </w:tcPr>
          <w:p>
            <w:pPr>
              <w:pStyle w:val="17"/>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90" w:hRule="atLeast"/>
        </w:trPr>
        <w:tc>
          <w:tcPr>
            <w:tcW w:w="7186" w:type="dxa"/>
            <w:gridSpan w:val="3"/>
            <w:vAlign w:val="top"/>
          </w:tcPr>
          <w:p>
            <w:pPr>
              <w:pStyle w:val="17"/>
              <w:widowControl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江苏省民政信息中心</w:t>
            </w:r>
          </w:p>
        </w:tc>
        <w:tc>
          <w:tcPr>
            <w:tcW w:w="3273" w:type="dxa"/>
            <w:vAlign w:val="center"/>
          </w:tcPr>
          <w:p>
            <w:pPr>
              <w:pStyle w:val="17"/>
              <w:widowControl w:val="0"/>
              <w:jc w:val="right"/>
              <w:rPr>
                <w:rFonts w:hint="eastAsia" w:ascii="仿宋" w:hAnsi="仿宋" w:eastAsia="仿宋" w:cs="仿宋"/>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17"/>
              <w:widowControl w:val="0"/>
              <w:jc w:val="center"/>
              <w:rPr>
                <w:rFonts w:hint="eastAsia" w:ascii="仿宋" w:hAnsi="仿宋" w:eastAsia="仿宋" w:cs="仿宋"/>
                <w:lang w:val="en-US" w:eastAsia="zh-CN"/>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17"/>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7"/>
              <w:widowControl w:val="0"/>
              <w:jc w:val="left"/>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17"/>
              <w:widowControl w:val="0"/>
              <w:jc w:val="right"/>
              <w:rPr>
                <w:rFonts w:hint="eastAsia" w:ascii="仿宋" w:hAnsi="仿宋" w:eastAsia="仿宋" w:cs="仿宋"/>
              </w:rPr>
            </w:pPr>
            <w:r>
              <w:rPr>
                <w:rFonts w:hint="eastAsia" w:ascii="仿宋" w:hAnsi="仿宋" w:eastAsia="仿宋" w:cs="仿宋"/>
              </w:rPr>
              <w:t>1.21</w:t>
            </w:r>
          </w:p>
        </w:tc>
      </w:tr>
    </w:tbl>
    <w:p>
      <w:pPr>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政府采购支出信息为单位纳入部门预算范围的各项政府采购支出情况。本表金额单位转换时可能存在尾数误差</w:t>
      </w:r>
      <w:r>
        <w:rPr>
          <w:rFonts w:hint="eastAsia" w:ascii="仿宋" w:hAnsi="仿宋" w:eastAsia="仿宋" w:cs="仿宋"/>
          <w:b w:val="0"/>
          <w:bCs w:val="0"/>
          <w:sz w:val="22"/>
          <w:szCs w:val="22"/>
        </w:rPr>
        <w:t>。</w:t>
      </w:r>
    </w:p>
    <w:p>
      <w:pPr>
        <w:numPr>
          <w:numId w:val="0"/>
        </w:numPr>
        <w:ind w:left="440" w:leftChars="200" w:firstLine="0" w:firstLineChars="0"/>
        <w:jc w:val="both"/>
        <w:rPr>
          <w:rFonts w:hint="eastAsia" w:ascii="仿宋" w:hAnsi="仿宋" w:eastAsia="仿宋" w:cs="仿宋"/>
          <w:b w:val="0"/>
          <w:bCs w:val="0"/>
          <w:sz w:val="22"/>
          <w:szCs w:val="22"/>
        </w:rPr>
        <w:sectPr>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outlineLvl w:val="0"/>
        <w:rPr>
          <w:rFonts w:hint="eastAsia" w:ascii="宋体" w:hAnsi="宋体" w:eastAsia="宋体" w:cs="宋体"/>
          <w:b/>
          <w:bCs/>
          <w:color w:val="000000"/>
          <w:kern w:val="0"/>
          <w:sz w:val="36"/>
          <w:szCs w:val="36"/>
          <w:lang w:val="zh-CN" w:eastAsia="ar-SA" w:bidi="zh-CN"/>
        </w:rPr>
      </w:pPr>
      <w:r>
        <w:rPr>
          <w:rFonts w:hint="eastAsia" w:ascii="宋体" w:hAnsi="宋体" w:eastAsia="宋体" w:cs="宋体"/>
          <w:b/>
          <w:bCs/>
          <w:color w:val="000000"/>
          <w:kern w:val="0"/>
          <w:sz w:val="36"/>
          <w:szCs w:val="36"/>
          <w:lang w:val="zh-CN" w:eastAsia="ar-SA" w:bidi="zh-CN"/>
        </w:rPr>
        <w:t>第三部分</w:t>
      </w:r>
      <w:r>
        <w:rPr>
          <w:rFonts w:hint="eastAsia" w:ascii="宋体" w:hAnsi="宋体" w:eastAsia="宋体" w:cs="宋体"/>
          <w:b/>
          <w:bCs/>
          <w:color w:val="000000"/>
          <w:kern w:val="0"/>
          <w:sz w:val="36"/>
          <w:szCs w:val="36"/>
          <w:lang w:val="en-US" w:eastAsia="zh-CN" w:bidi="zh-CN"/>
        </w:rPr>
        <w:t xml:space="preserve"> </w:t>
      </w:r>
      <w:r>
        <w:rPr>
          <w:rFonts w:hint="eastAsia" w:ascii="宋体" w:hAnsi="宋体" w:eastAsia="宋体" w:cs="宋体"/>
          <w:b/>
          <w:bCs/>
          <w:color w:val="000000"/>
          <w:kern w:val="0"/>
          <w:sz w:val="36"/>
          <w:szCs w:val="36"/>
          <w:lang w:val="zh-CN" w:eastAsia="zh-CN" w:bidi="zh-CN"/>
        </w:rPr>
        <w:t>2021</w:t>
      </w:r>
      <w:r>
        <w:rPr>
          <w:rFonts w:hint="eastAsia" w:ascii="宋体" w:hAnsi="宋体" w:eastAsia="宋体" w:cs="宋体"/>
          <w:b/>
          <w:bCs/>
          <w:color w:val="000000"/>
          <w:kern w:val="0"/>
          <w:sz w:val="36"/>
          <w:szCs w:val="36"/>
          <w:lang w:val="zh-CN" w:eastAsia="ar-SA" w:bidi="zh-CN"/>
        </w:rPr>
        <w:t>年度</w:t>
      </w:r>
      <w:r>
        <w:rPr>
          <w:rFonts w:ascii="宋体" w:hAnsi="宋体" w:eastAsia="宋体" w:cs="宋体"/>
          <w:b/>
          <w:color w:val="000000"/>
          <w:sz w:val="36"/>
        </w:rPr>
        <w:t>单位决算情况说明</w:t>
      </w:r>
    </w:p>
    <w:p>
      <w:pPr>
        <w:pStyle w:val="8"/>
        <w:widowControl w:val="0"/>
        <w:tabs>
          <w:tab w:val="left" w:pos="3864"/>
          <w:tab w:val="left" w:pos="6248"/>
          <w:tab w:val="left" w:pos="7386"/>
        </w:tabs>
        <w:wordWrap/>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一、收入支出决算总体情况说明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2021年度收入、支出决算总计237.46万元。与上年相比，收、支总计各减少73.91万元，减少23.74%。其中：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（一）收入决算总计237.46万元。包括：</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1.本年收入决算合计204.47万元。与上年相比，增加24.31万元，增长13.49%，变动原因：工资政策性调整导致人员经费的增加。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2.使用非财政拨款结余0万元。与上年决算数相同。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3.年初结转和结余32.99万元。与上年相比，减少98.22万元，减少74.86%，变动原因：上年度结转专项经费支出增加。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（二）支出决算总计237.46万元。包括：</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1.本年支出决算合计194.16万元。与上年相比，减少84.17万元，减少30.24%，变动原因：专项经费支出减少。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2.结余分配0万元。与上年决算数相同。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3.年末结转和结余43.3万元。结转和结余事项：人员经费和专项经费。与上年相比，增加10.26万元，增长31.05%，变动原因：工资政策性调整导致人员经费的减少。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二、收入决算情况说明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收入决算合计204.47万元，其中：财政拨款收入204.47万元，占100%；上级补助收入0万元，占0%；财政专户管理教育收费0万元，占0%；事业收入（不含专户管理教育收费）0万元，占0%；经营收入0万元，占0%；附属单位上缴收入0万元，占0%；其他收入0万元，占0%。</w:t>
      </w:r>
    </w:p>
    <w:p>
      <w:pPr>
        <w:pStyle w:val="8"/>
        <w:widowControl w:val="0"/>
        <w:tabs>
          <w:tab w:val="left" w:pos="3864"/>
          <w:tab w:val="left" w:pos="6248"/>
          <w:tab w:val="left" w:pos="7386"/>
        </w:tabs>
        <w:wordWrap/>
        <w:overflowPunct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color w:val="auto"/>
          <w:kern w:val="0"/>
          <w:sz w:val="32"/>
          <w:szCs w:val="32"/>
          <w:lang w:val="en-US" w:eastAsia="zh-CN" w:bidi="zh-CN"/>
        </w:rPr>
        <w:pict>
          <v:shape id="Drawing 1" o:spid="_x0000_s1039" type="#_x0000_t75" style="height:270pt;width:483pt;rotation:0f;" o:ole="f" fillcolor="#FFFFFF" filled="f" o:preferrelative="t" stroked="f" coordorigin="0,0" coordsize="21600,21600">
            <v:fill on="f" color2="#FFFFFF" focus="0%"/>
            <v:imagedata gain="65536f" blacklevel="0f" gamma="0" o:title="" r:id="rId20"/>
            <o:lock v:ext="edit" position="f" selection="f" grouping="f" rotation="f" cropping="f" text="f" aspectratio="t"/>
            <w10:wrap type="none"/>
            <w10:anchorlock/>
          </v:shape>
        </w:pic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2021年度本年支出决算合计194.16万元，其中：基本支出90.68万元，占46.7%；项目支出103.49万元，占53.3%；上缴上级支出0万元，占0%；经营支出0万元，占0%；对附属单位补助支出0万元，占0%。</w:t>
      </w:r>
    </w:p>
    <w:p>
      <w:pPr>
        <w:pStyle w:val="8"/>
        <w:widowControl w:val="0"/>
        <w:tabs>
          <w:tab w:val="left" w:pos="3864"/>
          <w:tab w:val="left" w:pos="6248"/>
          <w:tab w:val="left" w:pos="7386"/>
        </w:tabs>
        <w:wordWrap/>
        <w:overflowPunct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color w:val="auto"/>
          <w:kern w:val="0"/>
          <w:sz w:val="32"/>
          <w:szCs w:val="32"/>
          <w:lang w:val="en-US" w:eastAsia="zh-CN" w:bidi="zh-CN"/>
        </w:rPr>
        <w:pict>
          <v:shape id="Drawing 2" o:spid="_x0000_s1040" type="#_x0000_t75" style="height:270pt;width:483pt;rotation:0f;" o:ole="f" fillcolor="#FFFFFF" filled="f" o:preferrelative="t" stroked="f" coordorigin="0,0" coordsize="21600,21600">
            <v:fill on="f" color2="#FFFFFF" focus="0%"/>
            <v:imagedata gain="65536f" blacklevel="0f" gamma="0" o:title="" r:id="rId21"/>
            <o:lock v:ext="edit" position="f" selection="f" grouping="f" rotation="f" cropping="f" text="f" aspectratio="t"/>
            <w10:wrap type="none"/>
            <w10:anchorlock/>
          </v:shape>
        </w:pic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四、财政拨款收入支出决算总体情况说明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2021年度财政拨款收入、支出决算总计237.46万元。与上年相比，收、支总计各减少73.91万元，减少23.74%，变动原因：专项经费支出减少。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2021年度财政拨款支出决算194.16万元，占本年支出合计的100%。与2021年度财政拨款支出年初预算247.6万元相比，完成年初预算的78.42%。其中：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（一）社会保障和就业支出（类）</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1.民政管理事务（款）机关服务（项）。年初预算193.84万元，支出决算142.61万元，完成年初预算的73.57%。决算数与年初预算数的差异原因：工资政策性调整导致人员经费的减少。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2.民政管理事务（款）其他民政管理事务支出（项）。年初预算25万元，支出决算22.8万元，完成年初预算的91.2%。决算数与年初预算数的差异原因：本着厉行节约原则，会议费支出减少。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行政事业单位养老支出（款）机关事业单位基本养老保险缴费支出（项）。年初预算4.06万元，支出决算4.05万元，完成年初预算的99.75%。决算数与年初预算数的差异原因：工资政策性调整导致单位基本养老保险缴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行政事业单位养老支出（款）机关事业单位职业年金缴费支出（项）。年初预算2.03万元，支出决算2.02万元，完成年初预算的99.51%。决算数与年初预算数的差异原因：工资政策性调整导致单位职业年金缴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（二）住房保障支出（类）</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1.住房改革支出（款）住房公积金（项）。年初预算7.16万元，支出决算7.16万元，完成年初预算的100%。决算数与年初预算数相同。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2.住房改革支出（款）提租补贴（项）。年初预算15.51万元，支出决算15.51万元，完成年初预算的100%。决算数与年初预算数相同。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2021年度财政拨款基本支出决算90.68万元，其中：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（一）人员经费81.83万元。</w:t>
      </w:r>
      <w:r>
        <w:rPr>
          <w:rFonts w:ascii="仿宋" w:hAnsi="仿宋" w:eastAsia="仿宋" w:cs="仿宋"/>
        </w:rPr>
        <w:t>主要包括：基本工资、津贴补贴、奖金、绩效工资、机关事业单位基本养老保险缴费、职业年金缴费、职工基本医疗保险缴费、其他社会保障缴费、住房公积金、医疗费。</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（二）公用经费8.85万元。</w:t>
      </w:r>
      <w:r>
        <w:rPr>
          <w:rFonts w:ascii="仿宋" w:hAnsi="仿宋" w:eastAsia="仿宋" w:cs="仿宋"/>
        </w:rPr>
        <w:t>主要包括：办公费、邮电费、差旅费、工会经费、其他商品和服务支出。</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2021年度一般公共预算财政拨款支出决算194.16万元。与上年相比，减少84.17万元，减少30.24%，变动原因：专项经费支出减少。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2021年度一般公共预算财政拨款基本支出决算90.68万元，其中：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（一）人员经费81.83万元。</w:t>
      </w:r>
      <w:r>
        <w:rPr>
          <w:rFonts w:ascii="仿宋" w:hAnsi="仿宋" w:eastAsia="仿宋" w:cs="仿宋"/>
        </w:rPr>
        <w:t>主要包括：基本工资、津贴补贴、奖金、绩效工资、机关事业单位基本养老保险缴费、职业年金缴费、职工基本医疗保险缴费、其他社会保障缴费、住房公积金、医疗费。</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（二）公用经费8.85万元。</w:t>
      </w:r>
      <w:r>
        <w:rPr>
          <w:rFonts w:ascii="仿宋" w:hAnsi="仿宋" w:eastAsia="仿宋" w:cs="仿宋"/>
        </w:rPr>
        <w:t>主要包括：办公费、邮电费、差旅费、工会经费、其他商品和服务支出。</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（一）一般公共预算“三公”经费支出总体情况说明。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三公”经费支出决算1万元。与上年相比，减少0.36万元，变动原因：本着厉行节约原则，公务接待减少。其中，因公出国（境）费支出0万元，占“三公”经费的0%；公务用车购置及运行维护费支出0万元，占“三公”经费的0%；公务接待费支出1万元，占“三公”经费的100%。</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（二）一般公共预算“三公”经费支出具体情况说明。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1．因公出国（境）费支出预算0万元，支出决算0万元，完成预算的100%，决算数与预算数相同。全年使用一般公共预算财政拨款涉及的出国（境）团组0个，累计0人次。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2．公务用车购置及运行维护费支出预算0万元，支出决算0万元，完成预算的100%，决算数与预算数相同。其中：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（1）公务用车购置支出决算0万元。本年度使用一般公共预算财政拨款购置公务用车0辆。</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支出决算0万元。公务用车运行维护费主要用于按规定保留的公务用车的燃料费、维修费、过桥过路费、保险费、安全奖励费用等支出。截至2021年12月31日，使用一般公共预算财政拨款开支的公务用车保有量为0辆。</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支出预算1万元，支出决算1万元，完成预算的100%，决算数与预算数相同。其中：国内公务接待支出1万元，接待100批次，500人次，开支内容：接待民政部门考察调研和系统开发相关的网络公司；国（境）外公务接待支出0万元，接待0批次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（三）一般公共预算会议费支出决算情况说明。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会议费支出预算6.6万元，支出决算4.4万元，完成预算的66.67%，决算数与预算数的差异原因：疫情原因，召开的线上会议，会议费支出减少。2021年度全年召开会议1个，参加会议150人次，开支内容：线上会议的视频录制。</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（四）一般公共预算培训费支出决算情况说明。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2021年度一般公共预算财政拨款培训费支出预算0万元，支出决算0万元，完成预算的100%，决算数与预算数相同。2021年度全年组织培训0个，组织培训0人次。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十、政府性基金预算财政拨款支出决算情况说明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2021年度政府性基金预算财政拨款支出决算0万元。与上年决算数相同。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十一、国有资本经营预算财政拨款支出决算情况说明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2021年度国有资本经营预算财政拨款支出决算0万元。与上年决算数相同。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2021年度机关运行经费支出决算0万元。与上年决算数相同。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采购支出总额1.21万元，其中：政府采购货物支出1.21万元、政府采购工程支出0万元、政府采购服务支出0万元。政府采购授予中小企业合同金额1.21万元，占政府采购支出总额的100%，其中：授予小微企业合同金额1.21万元，占政府采购支出总额的100%。</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截至2021年12月31日，本单位共有车辆1辆，其中：副部(省)级及以上领导用车0辆、主要领导干部用车0辆、机要通信用车0辆、应急保障用车0辆、执法执勤用车0辆、特种专业技术用车0辆、离退休干部用车0辆、其他用车1辆；单价50万元（含）以上的通用设备0台（套），单价100万元（含）以上的专用设备0台（套）。</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十五、预算绩效评价工作开展情况</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2021年度，本单位共0个项目开展了财政重点绩效评价，涉及财政性资金合计0万元；本单位未开展单位整体支出财政重点绩效评价，涉及财政性资金0万元。</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本单位共对上年度已实施完成的2个项目开展了绩效自评价，涉及财政性资金合计108万元；本单位共开展1项单位整体支出绩效自评价，涉及财政性资金合计247.6万元。</w:t>
      </w:r>
    </w:p>
    <w:p>
      <w:pPr>
        <w:pStyle w:val="5"/>
        <w:tabs>
          <w:tab w:val="left" w:pos="3077"/>
        </w:tabs>
        <w:spacing w:line="616" w:lineRule="exact"/>
        <w:jc w:val="center"/>
        <w:outlineLvl w:val="0"/>
        <w:rPr>
          <w:rFonts w:hint="eastAsia" w:ascii="宋体" w:hAnsi="宋体" w:eastAsia="宋体" w:cs="宋体"/>
          <w:b/>
          <w:bCs/>
          <w:sz w:val="36"/>
          <w:szCs w:val="36"/>
        </w:rPr>
      </w:pPr>
      <w:r>
        <w:rPr>
          <w:rFonts w:hint="eastAsia" w:ascii="宋体" w:hAnsi="宋体" w:eastAsia="宋体" w:cs="宋体"/>
          <w:b/>
          <w:bCs/>
          <w:sz w:val="36"/>
          <w:szCs w:val="36"/>
        </w:rPr>
        <w:t>第四部分 名词</w:t>
      </w:r>
      <w:r>
        <w:rPr>
          <w:rFonts w:hint="eastAsia" w:ascii="宋体" w:hAnsi="宋体" w:eastAsia="宋体" w:cs="宋体"/>
          <w:b/>
          <w:bCs/>
          <w:color w:val="000000"/>
          <w:kern w:val="0"/>
          <w:sz w:val="36"/>
          <w:szCs w:val="36"/>
          <w:lang w:val="zh-CN" w:eastAsia="ar-SA" w:bidi="zh-CN"/>
        </w:rPr>
        <w:t>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十九、社会保障和就业支出(类)民政管理事务(款)机关服务(项)</w:t>
      </w:r>
      <w:r>
        <w:rPr>
          <w:rFonts w:ascii="仿宋" w:hAnsi="仿宋" w:eastAsia="仿宋" w:cs="仿宋"/>
          <w:b/>
        </w:rPr>
        <w:t>：</w:t>
      </w:r>
      <w:r>
        <w:rPr>
          <w:rFonts w:hint="eastAsia" w:ascii="仿宋" w:hAnsi="仿宋" w:eastAsia="仿宋" w:cs="仿宋"/>
        </w:rPr>
        <w:t>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Arial Unicode MS">
    <w:altName w:val="宋体"/>
    <w:panose1 w:val="020B0604020202020204"/>
    <w:charset w:val="86"/>
    <w:family w:val="auto"/>
    <w:pitch w:val="default"/>
    <w:sig w:usb0="00000000" w:usb1="00000000" w:usb2="0000003F" w:usb3="00000000" w:csb0="603F01FF" w:csb1="FFFF0000"/>
  </w:font>
  <w:font w:name="Liberation Sans">
    <w:altName w:val="宋体"/>
    <w:panose1 w:val="020B0604020202020204"/>
    <w:charset w:val="86"/>
    <w:family w:val="auto"/>
    <w:pitch w:val="default"/>
    <w:sig w:usb0="E0000AFF" w:usb1="500078FF" w:usb2="00000021" w:usb3="00000000" w:csb0="600001BF" w:csb1="DFF70000"/>
  </w:font>
  <w:font w:name="Liberation Mono">
    <w:altName w:val="宋体"/>
    <w:panose1 w:val="02070409020205020404"/>
    <w:charset w:val="86"/>
    <w:family w:val="auto"/>
    <w:pitch w:val="default"/>
    <w:sig w:usb0="E0000AFF" w:usb1="400078FF"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rPr>
        <w:rFonts w:hint="eastAsia" w:ascii="黑体" w:hAnsi="黑体" w:eastAsia="黑体" w:cs="黑体"/>
      </w:rPr>
    </w:pPr>
    <w:r>
      <w:rPr>
        <w:rFonts w:hint="eastAsia" w:ascii="黑体" w:hAnsi="黑体" w:eastAsia="黑体" w:cs="黑体"/>
        <w:color w:val="auto"/>
        <w:kern w:val="0"/>
        <w:sz w:val="18"/>
        <w:szCs w:val="18"/>
        <w:lang w:val="zh-CN" w:eastAsia="zh-CN" w:bidi="zh-CN"/>
      </w:rPr>
      <w:pict>
        <v:shape id="Quad Arrow 3073"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0" o:spid="_x0000_s1034" type="#_x0000_t202" style="position:absolute;left:0;margin-top:0pt;height:144pt;width:144pt;mso-position-horizontal:center;mso-position-horizontal-relative:margin;mso-wrap-style:none;rotation:0f;z-index:251667456;"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1" o:spid="_x0000_s1035" type="#_x0000_t202" style="position:absolute;left:0;margin-top:0pt;height:144pt;width:144pt;mso-position-horizontal:center;mso-position-horizontal-relative:margin;mso-wrap-style:none;rotation:0f;z-index:25166848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2" o:spid="_x0000_s1036" type="#_x0000_t202" style="position:absolute;left:0;margin-top:0pt;height:144pt;width:144pt;mso-position-horizontal:center;mso-position-horizontal-relative:margin;mso-wrap-style:none;rotation:0f;z-index:25166950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6" o:spid="_x0000_s1037" type="#_x0000_t202" style="position:absolute;left:0;margin-top:0pt;height:144pt;width:144pt;mso-position-horizontal:center;mso-position-horizontal-relative:margin;mso-wrap-style:none;rotation:0f;z-index:25167052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rPr>
        <w:rFonts w:hint="eastAsia" w:ascii="黑体" w:hAnsi="黑体" w:eastAsia="黑体" w:cs="黑体"/>
      </w:rPr>
    </w:pPr>
    <w:r>
      <w:rPr>
        <w:rFonts w:hint="eastAsia" w:ascii="黑体" w:hAnsi="黑体" w:eastAsia="黑体" w:cs="黑体"/>
        <w:color w:val="auto"/>
        <w:kern w:val="0"/>
        <w:sz w:val="18"/>
        <w:szCs w:val="18"/>
        <w:lang w:val="zh-CN" w:eastAsia="zh-CN" w:bidi="zh-CN"/>
      </w:rPr>
      <w:pict>
        <v:shape id="Quad Arrow 3089" o:spid="_x0000_s1026" type="#_x0000_t202" style="position:absolute;left:0;margin-top:0pt;height:144pt;width:144pt;mso-position-horizontal:center;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7" o:spid="_x0000_s1027" type="#_x0000_t202" style="position:absolute;left:0;margin-top:0pt;height:144pt;width:144pt;mso-position-horizontal:center;mso-position-horizontal-relative:margin;mso-wrap-style:none;rotation:0f;z-index:25166028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8" o:spid="_x0000_s1028" type="#_x0000_t202" style="position:absolute;left:0;margin-top:0pt;height:144pt;width:144pt;mso-position-horizontal:center;mso-position-horizontal-relative:margin;mso-wrap-style:none;rotation:0f;z-index:25166131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5" o:spid="_x0000_s1029" type="#_x0000_t202" style="position:absolute;left:0;margin-top:0pt;height:144pt;width:144pt;mso-position-horizontal:center;mso-position-horizontal-relative:margin;mso-wrap-style:none;rotation:0f;z-index:251662336;"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6" o:spid="_x0000_s1030" type="#_x0000_t202" style="position:absolute;left:0;margin-top:0pt;height:144pt;width:144pt;mso-position-horizontal:center;mso-position-horizontal-relative:margin;mso-wrap-style:none;rotation:0f;z-index:25166336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7" o:spid="_x0000_s1031" type="#_x0000_t202" style="position:absolute;left:0;margin-top:0pt;height:144pt;width:144pt;mso-position-horizontal:center;mso-position-horizontal-relative:margin;mso-wrap-style:none;rotation:0f;z-index:25166438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8" o:spid="_x0000_s1032" type="#_x0000_t202" style="position:absolute;left:0;margin-top:0pt;height:144pt;width:144pt;mso-position-horizontal:center;mso-position-horizontal-relative:margin;mso-wrap-style:none;rotation:0f;z-index:25166540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9" o:spid="_x0000_s1033" type="#_x0000_t202" style="position:absolute;left:0;margin-top:0pt;height:144pt;width:144pt;mso-position-horizontal:center;mso-position-horizontal-relative:margin;mso-wrap-style:none;rotation:0f;z-index:25166643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pBdr>
        <w:bottom w:val="single" w:color="000000" w:sz="4" w:space="1"/>
      </w:pBdr>
      <w:jc w:val="both"/>
      <w:rPr>
        <w:rFonts w:hint="default" w:eastAsia="Arial Unicode MS"/>
        <w:lang w:val="en-US" w:eastAsia="zh-CN"/>
      </w:rPr>
    </w:pPr>
    <w:r>
      <w:rPr>
        <w:rFonts w:hint="eastAsia"/>
        <w:lang w:val="en-US" w:eastAsia="zh-CN"/>
      </w:rPr>
      <w:t>江苏省民政信息中心</w:t>
    </w:r>
    <w:r>
      <w:t>2021年度单位决算公开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0"/>
  <w:bordersDoNotSurroundFooter w:val="0"/>
  <w:documentProtection w:enforcement="0"/>
  <w:defaultTabStop w:val="0"/>
  <w:drawingGridHorizontalSpacing w:val="0"/>
  <w:displayHorizontalDrawingGridEvery w:val="1"/>
  <w:displayVerticalDrawingGridEvery w:val="1"/>
  <w:noPunctuationKerning w:val="1"/>
  <w:characterSpacingControl w:val="doNotCompress"/>
  <w:compat>
    <w:spaceForUL/>
    <w:doNotLeaveBackslashAlone/>
    <w:ulTrailSpace/>
    <w:doNotExpandShiftReturn/>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MGUwNWYwNGFmYzNiMTMwMzI4MzFhMzI2ZWRjOTFjMmMifQ=="/>
  </w:docVar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1"/>
    <w:pPr>
      <w:widowControl w:val="0"/>
      <w:suppressAutoHyphens/>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paragraph" w:customStyle="1" w:styleId="13">
    <w:name w:val="标题样式"/>
    <w:basedOn w:val="1"/>
    <w:next w:val="8"/>
    <w:qFormat/>
    <w:uiPriority w:val="0"/>
    <w:pPr>
      <w:keepNext/>
      <w:spacing w:before="240" w:after="120"/>
    </w:pPr>
    <w:rPr>
      <w:rFonts w:ascii="Liberation Sans" w:hAnsi="Liberation Sans"/>
      <w:sz w:val="28"/>
      <w:szCs w:val="28"/>
    </w:rPr>
  </w:style>
  <w:style w:type="paragraph" w:customStyle="1" w:styleId="14">
    <w:name w:val="索引"/>
    <w:basedOn w:val="1"/>
    <w:qFormat/>
    <w:uiPriority w:val="0"/>
    <w:pPr>
      <w:suppressLineNumbers/>
    </w:pPr>
  </w:style>
  <w:style w:type="paragraph" w:customStyle="1" w:styleId="15">
    <w:name w:val="页眉与页脚"/>
    <w:basedOn w:val="1"/>
    <w:qFormat/>
    <w:uiPriority w:val="0"/>
  </w:style>
  <w:style w:type="paragraph" w:customStyle="1" w:styleId="16">
    <w:name w:val="List Paragraph"/>
    <w:basedOn w:val="1"/>
    <w:qFormat/>
    <w:uiPriority w:val="1"/>
    <w:pPr>
      <w:ind w:left="2039" w:hanging="782"/>
    </w:pPr>
  </w:style>
  <w:style w:type="paragraph" w:customStyle="1" w:styleId="17">
    <w:name w:val="Table Paragraph"/>
    <w:basedOn w:val="1"/>
    <w:qFormat/>
    <w:uiPriority w:val="1"/>
    <w:rPr>
      <w:rFonts w:ascii="宋体" w:hAnsi="宋体" w:eastAsia="宋体" w:cs="宋体"/>
    </w:rPr>
  </w:style>
  <w:style w:type="paragraph" w:customStyle="1" w:styleId="18">
    <w:name w:val="表格内容"/>
    <w:basedOn w:val="1"/>
    <w:qFormat/>
    <w:uiPriority w:val="0"/>
    <w:pPr>
      <w:suppressLineNumbers/>
    </w:pPr>
  </w:style>
  <w:style w:type="paragraph" w:customStyle="1" w:styleId="19">
    <w:name w:val="表格标题"/>
    <w:basedOn w:val="18"/>
    <w:qFormat/>
    <w:uiPriority w:val="0"/>
    <w:pPr>
      <w:jc w:val="center"/>
    </w:pPr>
    <w:rPr>
      <w:b/>
      <w:bCs/>
    </w:rPr>
  </w:style>
  <w:style w:type="paragraph" w:customStyle="1" w:styleId="20">
    <w:name w:val="预格式化的文本"/>
    <w:basedOn w:val="1"/>
    <w:qFormat/>
    <w:uiPriority w:val="0"/>
    <w:rPr>
      <w:rFonts w:ascii="Liberation Mono" w:hAnsi="Liberation Mono" w:eastAsia="新宋体" w:cs="Liberation Mono"/>
      <w:sz w:val="20"/>
      <w:szCs w:val="20"/>
    </w:rPr>
  </w:style>
  <w:style w:type="character" w:customStyle="1" w:styleId="21">
    <w:name w:val="编号符号"/>
    <w:qFormat/>
    <w:uiPriority w:val="0"/>
  </w:style>
  <w:style w:type="character" w:customStyle="1" w:styleId="22">
    <w:name w:val="页眉 字符"/>
    <w:basedOn w:val="12"/>
    <w:qFormat/>
    <w:uiPriority w:val="0"/>
    <w:rPr>
      <w:rFonts w:ascii="Arial Unicode MS" w:hAnsi="Arial Unicode MS" w:eastAsia="Arial Unicode MS" w:cs="Arial Unicode MS"/>
      <w:sz w:val="18"/>
      <w:szCs w:val="18"/>
      <w:lang w:val="zh-CN" w:bidi="zh-CN"/>
    </w:rPr>
  </w:style>
  <w:style w:type="character" w:customStyle="1" w:styleId="23">
    <w:name w:val="页脚 字符"/>
    <w:basedOn w:val="12"/>
    <w:qFormat/>
    <w:uiPriority w:val="0"/>
    <w:rPr>
      <w:rFonts w:ascii="Arial Unicode MS" w:hAnsi="Arial Unicode MS" w:eastAsia="Arial Unicode MS" w:cs="Arial Unicode MS"/>
      <w:sz w:val="18"/>
      <w:szCs w:val="18"/>
      <w:lang w:val="zh-CN" w:bidi="zh-CN"/>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19" Type="http://schemas.openxmlformats.org/officeDocument/2006/relationships/theme" Target="theme/theme1.xml"/><Relationship Id="rId2" Type="http://schemas.openxmlformats.org/officeDocument/2006/relationships/styles" Target="styles.xml"/><Relationship Id="rId20" Type="http://schemas.openxmlformats.org/officeDocument/2006/relationships/image" Target="media/image1.png"/><Relationship Id="rId21" Type="http://schemas.openxmlformats.org/officeDocument/2006/relationships/image" Target="media/image2.png"/><Relationship Id="rId22" Type="http://schemas.openxmlformats.org/officeDocument/2006/relationships/customXml" Target="../customXml/item1.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5" textRotate="1"/>
    <customShpInfo spid="_x0000_s1026" textRotate="1"/>
    <customShpInfo spid="_x0000_s1027" textRotate="1"/>
    <customShpInfo spid="_x0000_s1028" textRotate="1"/>
    <customShpInfo spid="_x0000_s1029" textRotate="1"/>
    <customShpInfo spid="_x0000_s1030" textRotate="1"/>
    <customShpInfo spid="_x0000_s1031" textRotate="1"/>
    <customShpInfo spid="_x0000_s1032" textRotate="1"/>
    <customShpInfo spid="_x0000_s1033" textRotate="1"/>
    <customShpInfo spid="_x0000_s1034" textRotate="1"/>
    <customShpInfo spid="_x0000_s1035" textRotate="1"/>
    <customShpInfo spid="_x0000_s1036" textRotate="1"/>
    <customShpInfo spid="_x0000_s103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2754</Words>
  <Characters>7511</Characters>
  <Lines>0</Lines>
  <Paragraphs>501</Paragraphs>
  <ScaleCrop>false</ScaleCrop>
  <LinksUpToDate>false</LinksUpToDate>
  <CharactersWithSpaces>0</CharactersWithSpaces>
  <Application>WPS Office 个人版_9.1.0.4739_{F1E327BC-269C-435d-A152-05C5408002CA}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Administrator</cp:lastModifiedBy>
  <dcterms:modified xsi:type="dcterms:W3CDTF">2022-09-09T02:29:01Z</dcterms:modified>
  <dc:title>部门决算公开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2052-9.1.0.4739</vt:lpwstr>
  </property>
  <property fmtid="{D5CDD505-2E9C-101B-9397-08002B2CF9AE}" pid="6" name="LastSaved">
    <vt:filetime>2021-04-15T00:00:00Z</vt:filetime>
  </property>
</Properties>
</file>