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FB059">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附件1</w:t>
      </w:r>
    </w:p>
    <w:p w14:paraId="446A4EB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color w:val="auto"/>
          <w:sz w:val="44"/>
          <w:szCs w:val="44"/>
          <w:lang w:val="en-US" w:eastAsia="zh-CN"/>
        </w:rPr>
      </w:pPr>
    </w:p>
    <w:p w14:paraId="056314D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color w:val="auto"/>
          <w:sz w:val="44"/>
          <w:szCs w:val="44"/>
          <w:lang w:val="en-US" w:eastAsia="zh-CN"/>
        </w:rPr>
      </w:pPr>
      <w:r>
        <w:rPr>
          <w:rFonts w:hint="default" w:ascii="Times New Roman" w:hAnsi="Times New Roman" w:eastAsia="方正小标宋_GBK" w:cs="Times New Roman"/>
          <w:color w:val="auto"/>
          <w:sz w:val="44"/>
          <w:szCs w:val="44"/>
          <w:lang w:val="en-US" w:eastAsia="zh-CN"/>
        </w:rPr>
        <w:t>关于推进殡葬</w:t>
      </w:r>
      <w:r>
        <w:rPr>
          <w:rFonts w:hint="eastAsia" w:ascii="Times New Roman" w:hAnsi="Times New Roman" w:eastAsia="方正小标宋_GBK" w:cs="Times New Roman"/>
          <w:color w:val="auto"/>
          <w:sz w:val="44"/>
          <w:szCs w:val="44"/>
          <w:lang w:val="en-US" w:eastAsia="zh-CN"/>
        </w:rPr>
        <w:t>行业</w:t>
      </w:r>
      <w:r>
        <w:rPr>
          <w:rFonts w:hint="default" w:ascii="Times New Roman" w:hAnsi="Times New Roman" w:eastAsia="方正小标宋_GBK" w:cs="Times New Roman"/>
          <w:color w:val="auto"/>
          <w:sz w:val="44"/>
          <w:szCs w:val="44"/>
          <w:lang w:val="en-US" w:eastAsia="zh-CN"/>
        </w:rPr>
        <w:t>跨部门</w:t>
      </w:r>
    </w:p>
    <w:p w14:paraId="28BFA46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color w:val="auto"/>
          <w:sz w:val="44"/>
          <w:szCs w:val="44"/>
          <w:lang w:val="en-US" w:eastAsia="zh-CN"/>
        </w:rPr>
      </w:pPr>
      <w:r>
        <w:rPr>
          <w:rFonts w:hint="default" w:ascii="Times New Roman" w:hAnsi="Times New Roman" w:eastAsia="方正小标宋_GBK" w:cs="Times New Roman"/>
          <w:color w:val="auto"/>
          <w:sz w:val="44"/>
          <w:szCs w:val="44"/>
          <w:lang w:val="en-US" w:eastAsia="zh-CN"/>
        </w:rPr>
        <w:t>综合监管的指导意见</w:t>
      </w:r>
    </w:p>
    <w:p w14:paraId="5B8BB9A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 w:cs="Times New Roman"/>
          <w:color w:val="auto"/>
          <w:sz w:val="32"/>
          <w:szCs w:val="32"/>
          <w:lang w:val="en-US" w:eastAsia="zh-CN"/>
        </w:rPr>
      </w:pPr>
      <w:r>
        <w:rPr>
          <w:rFonts w:hint="default" w:ascii="Times New Roman" w:hAnsi="Times New Roman" w:eastAsia="方正楷体_GBK" w:cs="Times New Roman"/>
          <w:color w:val="auto"/>
          <w:sz w:val="32"/>
          <w:szCs w:val="32"/>
          <w:lang w:val="en-US" w:eastAsia="zh-CN"/>
        </w:rPr>
        <w:t>（</w:t>
      </w:r>
      <w:r>
        <w:rPr>
          <w:rFonts w:hint="eastAsia" w:ascii="Times New Roman" w:hAnsi="Times New Roman" w:eastAsia="方正楷体_GBK" w:cs="Times New Roman"/>
          <w:color w:val="auto"/>
          <w:sz w:val="32"/>
          <w:szCs w:val="32"/>
          <w:lang w:val="en-US" w:eastAsia="zh-CN"/>
        </w:rPr>
        <w:t>公开征求意见</w:t>
      </w:r>
      <w:r>
        <w:rPr>
          <w:rFonts w:hint="default" w:ascii="Times New Roman" w:hAnsi="Times New Roman" w:eastAsia="方正楷体_GBK" w:cs="Times New Roman"/>
          <w:color w:val="auto"/>
          <w:sz w:val="32"/>
          <w:szCs w:val="32"/>
          <w:lang w:val="en-US" w:eastAsia="zh-CN"/>
        </w:rPr>
        <w:t>稿）</w:t>
      </w:r>
    </w:p>
    <w:p w14:paraId="2E60954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 w:cs="Times New Roman"/>
          <w:color w:val="auto"/>
          <w:sz w:val="32"/>
          <w:szCs w:val="32"/>
          <w:lang w:val="en-US" w:eastAsia="zh-CN"/>
        </w:rPr>
      </w:pPr>
    </w:p>
    <w:p w14:paraId="50A987F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仿宋_GBK" w:hAnsi="方正仿宋_GBK" w:eastAsia="方正仿宋_GBK" w:cs="方正仿宋_GBK"/>
          <w:color w:val="auto"/>
          <w:sz w:val="32"/>
          <w:szCs w:val="40"/>
          <w:lang w:val="en-US" w:eastAsia="zh-CN"/>
        </w:rPr>
      </w:pPr>
      <w:r>
        <w:rPr>
          <w:rFonts w:hint="eastAsia" w:ascii="方正仿宋_GBK" w:hAnsi="方正仿宋_GBK" w:eastAsia="方正仿宋_GBK" w:cs="方正仿宋_GBK"/>
          <w:color w:val="auto"/>
          <w:sz w:val="32"/>
          <w:szCs w:val="40"/>
          <w:lang w:val="en-US" w:eastAsia="zh-CN"/>
        </w:rPr>
        <w:t>各设区市</w:t>
      </w:r>
      <w:r>
        <w:rPr>
          <w:rFonts w:hint="eastAsia" w:ascii="方正仿宋_GBK" w:hAnsi="方正仿宋_GBK" w:eastAsia="方正仿宋_GBK" w:cs="方正仿宋_GBK"/>
          <w:color w:val="auto"/>
          <w:sz w:val="32"/>
          <w:szCs w:val="40"/>
        </w:rPr>
        <w:t>民政</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w:t>
      </w:r>
      <w:r>
        <w:rPr>
          <w:rFonts w:hint="eastAsia" w:ascii="方正仿宋_GBK" w:hAnsi="方正仿宋_GBK" w:eastAsia="方正仿宋_GBK" w:cs="方正仿宋_GBK"/>
          <w:color w:val="auto"/>
          <w:sz w:val="32"/>
          <w:szCs w:val="40"/>
          <w:lang w:val="en-US" w:eastAsia="zh-CN"/>
        </w:rPr>
        <w:t>市委网信办、</w:t>
      </w:r>
      <w:r>
        <w:rPr>
          <w:rFonts w:hint="eastAsia" w:ascii="方正仿宋_GBK" w:hAnsi="方正仿宋_GBK" w:eastAsia="方正仿宋_GBK" w:cs="方正仿宋_GBK"/>
          <w:color w:val="auto"/>
          <w:sz w:val="32"/>
          <w:szCs w:val="40"/>
        </w:rPr>
        <w:t>发展改革</w:t>
      </w:r>
      <w:r>
        <w:rPr>
          <w:rFonts w:hint="eastAsia" w:ascii="方正仿宋_GBK" w:hAnsi="方正仿宋_GBK" w:eastAsia="方正仿宋_GBK" w:cs="方正仿宋_GBK"/>
          <w:color w:val="auto"/>
          <w:sz w:val="32"/>
          <w:szCs w:val="40"/>
          <w:lang w:val="en-US" w:eastAsia="zh-CN"/>
        </w:rPr>
        <w:t>委</w:t>
      </w:r>
      <w:r>
        <w:rPr>
          <w:rFonts w:hint="eastAsia" w:ascii="方正仿宋_GBK" w:hAnsi="方正仿宋_GBK" w:eastAsia="方正仿宋_GBK" w:cs="方正仿宋_GBK"/>
          <w:color w:val="auto"/>
          <w:sz w:val="32"/>
          <w:szCs w:val="40"/>
        </w:rPr>
        <w:t>、工业和信息化局</w:t>
      </w:r>
      <w:r>
        <w:rPr>
          <w:rFonts w:hint="eastAsia" w:ascii="方正仿宋_GBK" w:hAnsi="方正仿宋_GBK" w:eastAsia="方正仿宋_GBK" w:cs="方正仿宋_GBK"/>
          <w:color w:val="auto"/>
          <w:sz w:val="32"/>
          <w:szCs w:val="40"/>
          <w:lang w:eastAsia="zh-CN"/>
        </w:rPr>
        <w:t>、</w:t>
      </w:r>
      <w:r>
        <w:rPr>
          <w:rFonts w:hint="eastAsia" w:ascii="Times New Roman" w:hAnsi="Times New Roman" w:eastAsia="方正仿宋_GBK" w:cs="Times New Roman"/>
          <w:b w:val="0"/>
          <w:bCs w:val="0"/>
          <w:color w:val="auto"/>
          <w:sz w:val="32"/>
          <w:szCs w:val="32"/>
          <w:lang w:val="en-US" w:eastAsia="zh-CN"/>
        </w:rPr>
        <w:t>公安局、</w:t>
      </w:r>
      <w:r>
        <w:rPr>
          <w:rFonts w:hint="eastAsia" w:ascii="方正仿宋_GBK" w:hAnsi="方正仿宋_GBK" w:eastAsia="方正仿宋_GBK" w:cs="方正仿宋_GBK"/>
          <w:color w:val="auto"/>
          <w:sz w:val="32"/>
          <w:szCs w:val="40"/>
        </w:rPr>
        <w:t>自然资源</w:t>
      </w:r>
      <w:r>
        <w:rPr>
          <w:rFonts w:hint="eastAsia" w:ascii="方正仿宋_GBK" w:hAnsi="方正仿宋_GBK" w:eastAsia="方正仿宋_GBK" w:cs="方正仿宋_GBK"/>
          <w:color w:val="auto"/>
          <w:sz w:val="32"/>
          <w:szCs w:val="40"/>
          <w:lang w:val="en-US" w:eastAsia="zh-CN"/>
        </w:rPr>
        <w:t>主管</w:t>
      </w:r>
      <w:r>
        <w:rPr>
          <w:rFonts w:hint="eastAsia" w:ascii="方正仿宋_GBK" w:hAnsi="方正仿宋_GBK" w:eastAsia="方正仿宋_GBK" w:cs="方正仿宋_GBK"/>
          <w:color w:val="auto"/>
          <w:sz w:val="32"/>
          <w:szCs w:val="40"/>
        </w:rPr>
        <w:t>部门、住房和城乡建设局（建委）、交通运输</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水利</w:t>
      </w:r>
      <w:r>
        <w:rPr>
          <w:rFonts w:hint="eastAsia" w:ascii="方正仿宋_GBK" w:hAnsi="方正仿宋_GBK" w:eastAsia="方正仿宋_GBK" w:cs="方正仿宋_GBK"/>
          <w:color w:val="auto"/>
          <w:sz w:val="32"/>
          <w:szCs w:val="40"/>
          <w:lang w:eastAsia="zh-CN"/>
        </w:rPr>
        <w:t>（</w:t>
      </w:r>
      <w:r>
        <w:rPr>
          <w:rFonts w:hint="eastAsia" w:ascii="方正仿宋_GBK" w:hAnsi="方正仿宋_GBK" w:eastAsia="方正仿宋_GBK" w:cs="方正仿宋_GBK"/>
          <w:color w:val="auto"/>
          <w:sz w:val="32"/>
          <w:szCs w:val="40"/>
          <w:lang w:val="en-US" w:eastAsia="zh-CN"/>
        </w:rPr>
        <w:t>务</w:t>
      </w:r>
      <w:r>
        <w:rPr>
          <w:rFonts w:hint="eastAsia" w:ascii="方正仿宋_GBK" w:hAnsi="方正仿宋_GBK" w:eastAsia="方正仿宋_GBK" w:cs="方正仿宋_GBK"/>
          <w:color w:val="auto"/>
          <w:sz w:val="32"/>
          <w:szCs w:val="40"/>
          <w:lang w:eastAsia="zh-CN"/>
        </w:rPr>
        <w:t>）</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、农业农村</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卫生健康</w:t>
      </w:r>
      <w:r>
        <w:rPr>
          <w:rFonts w:hint="eastAsia" w:ascii="方正仿宋_GBK" w:hAnsi="方正仿宋_GBK" w:eastAsia="方正仿宋_GBK" w:cs="方正仿宋_GBK"/>
          <w:color w:val="auto"/>
          <w:sz w:val="32"/>
          <w:szCs w:val="40"/>
          <w:lang w:val="en-US" w:eastAsia="zh-CN"/>
        </w:rPr>
        <w:t>委、</w:t>
      </w:r>
      <w:r>
        <w:rPr>
          <w:rFonts w:hint="eastAsia" w:ascii="方正仿宋_GBK" w:hAnsi="方正仿宋_GBK" w:eastAsia="方正仿宋_GBK" w:cs="方正仿宋_GBK"/>
          <w:color w:val="auto"/>
          <w:sz w:val="32"/>
          <w:szCs w:val="40"/>
        </w:rPr>
        <w:t>应急管理</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、市场监管</w:t>
      </w:r>
      <w:r>
        <w:rPr>
          <w:rFonts w:hint="eastAsia" w:ascii="方正仿宋_GBK" w:hAnsi="方正仿宋_GBK" w:eastAsia="方正仿宋_GBK" w:cs="方正仿宋_GBK"/>
          <w:color w:val="auto"/>
          <w:sz w:val="32"/>
          <w:szCs w:val="40"/>
          <w:lang w:val="en-US" w:eastAsia="zh-CN"/>
        </w:rPr>
        <w:t>局、</w:t>
      </w:r>
      <w:r>
        <w:rPr>
          <w:rFonts w:hint="eastAsia" w:ascii="方正仿宋_GBK" w:hAnsi="方正仿宋_GBK" w:eastAsia="方正仿宋_GBK" w:cs="方正仿宋_GBK"/>
          <w:color w:val="auto"/>
          <w:sz w:val="32"/>
          <w:szCs w:val="40"/>
        </w:rPr>
        <w:t>林业</w:t>
      </w:r>
      <w:r>
        <w:rPr>
          <w:rFonts w:hint="eastAsia" w:ascii="方正仿宋_GBK" w:hAnsi="方正仿宋_GBK" w:eastAsia="方正仿宋_GBK" w:cs="方正仿宋_GBK"/>
          <w:color w:val="auto"/>
          <w:sz w:val="32"/>
          <w:szCs w:val="40"/>
          <w:lang w:val="en-US" w:eastAsia="zh-CN"/>
        </w:rPr>
        <w:t>局、人民银行各市分行：</w:t>
      </w:r>
    </w:p>
    <w:p w14:paraId="23D35CD4">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为进一步加强殡葬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跨部门综合监管，提升综合监管有效性，规范殡葬市场秩序，根据《国务院办公厅关于深入推进跨部门综合监管的指导意见》（国办发</w:t>
      </w:r>
      <w:r>
        <w:rPr>
          <w:rFonts w:hint="default" w:ascii="Times New Roman" w:hAnsi="Times New Roman" w:eastAsia="方正仿宋_GBK" w:cs="Times New Roman"/>
          <w:color w:val="auto"/>
          <w:sz w:val="32"/>
          <w:szCs w:val="32"/>
        </w:rPr>
        <w:t>〔20</w:t>
      </w:r>
      <w:r>
        <w:rPr>
          <w:rFonts w:hint="default" w:ascii="Times New Roman" w:hAnsi="Times New Roman" w:eastAsia="方正仿宋_GBK" w:cs="Times New Roman"/>
          <w:color w:val="auto"/>
          <w:sz w:val="32"/>
          <w:szCs w:val="32"/>
          <w:lang w:val="en-US" w:eastAsia="zh-CN"/>
        </w:rPr>
        <w:t>2</w:t>
      </w:r>
      <w:r>
        <w:rPr>
          <w:rFonts w:hint="default" w:ascii="Times New Roman" w:hAnsi="Times New Roman" w:eastAsia="方正仿宋_GBK" w:cs="Times New Roman"/>
          <w:color w:val="auto"/>
          <w:sz w:val="32"/>
          <w:szCs w:val="32"/>
        </w:rPr>
        <w:t>3〕</w:t>
      </w:r>
      <w:r>
        <w:rPr>
          <w:rFonts w:hint="default" w:ascii="Times New Roman" w:hAnsi="Times New Roman" w:eastAsia="方正仿宋_GBK" w:cs="Times New Roman"/>
          <w:color w:val="auto"/>
          <w:sz w:val="32"/>
          <w:szCs w:val="32"/>
          <w:lang w:val="en-US" w:eastAsia="zh-CN"/>
        </w:rPr>
        <w:t>1</w:t>
      </w:r>
      <w:r>
        <w:rPr>
          <w:rFonts w:hint="default" w:ascii="Times New Roman" w:hAnsi="Times New Roman" w:eastAsia="方正仿宋_GBK" w:cs="Times New Roman"/>
          <w:color w:val="auto"/>
          <w:sz w:val="32"/>
          <w:szCs w:val="32"/>
        </w:rPr>
        <w:t>号</w:t>
      </w:r>
      <w:r>
        <w:rPr>
          <w:rFonts w:hint="default" w:ascii="Times New Roman" w:hAnsi="Times New Roman" w:eastAsia="方正仿宋_GBK" w:cs="Times New Roman"/>
          <w:color w:val="auto"/>
          <w:sz w:val="32"/>
          <w:szCs w:val="32"/>
          <w:lang w:val="en-US" w:eastAsia="zh-CN"/>
        </w:rPr>
        <w:t>）</w:t>
      </w:r>
      <w:r>
        <w:rPr>
          <w:rFonts w:hint="eastAsia" w:ascii="Times New Roman" w:hAnsi="Times New Roman" w:eastAsia="方正仿宋_GBK" w:cs="Times New Roman"/>
          <w:color w:val="auto"/>
          <w:sz w:val="32"/>
          <w:szCs w:val="32"/>
          <w:lang w:val="en-US" w:eastAsia="zh-CN"/>
        </w:rPr>
        <w:t>等相关文件要求</w:t>
      </w:r>
      <w:r>
        <w:rPr>
          <w:rFonts w:hint="default" w:ascii="Times New Roman" w:hAnsi="Times New Roman" w:eastAsia="方正仿宋_GBK" w:cs="Times New Roman"/>
          <w:color w:val="auto"/>
          <w:sz w:val="32"/>
          <w:szCs w:val="32"/>
          <w:lang w:val="en-US" w:eastAsia="zh-CN"/>
        </w:rPr>
        <w:t>，结合</w:t>
      </w:r>
      <w:r>
        <w:rPr>
          <w:rFonts w:hint="eastAsia" w:ascii="Times New Roman" w:hAnsi="Times New Roman" w:eastAsia="方正仿宋_GBK" w:cs="Times New Roman"/>
          <w:color w:val="auto"/>
          <w:sz w:val="32"/>
          <w:szCs w:val="32"/>
          <w:lang w:val="en-US" w:eastAsia="zh-CN"/>
        </w:rPr>
        <w:t>我</w:t>
      </w:r>
      <w:r>
        <w:rPr>
          <w:rFonts w:hint="default" w:ascii="Times New Roman" w:hAnsi="Times New Roman" w:eastAsia="方正仿宋_GBK" w:cs="Times New Roman"/>
          <w:color w:val="auto"/>
          <w:sz w:val="32"/>
          <w:szCs w:val="32"/>
          <w:lang w:val="en-US" w:eastAsia="zh-CN"/>
        </w:rPr>
        <w:t>省实际，制定如下指导意见。</w:t>
      </w:r>
    </w:p>
    <w:p w14:paraId="0104B1D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黑体_GBK" w:cs="Times New Roman"/>
          <w:color w:val="auto"/>
          <w:sz w:val="32"/>
          <w:szCs w:val="32"/>
          <w:lang w:val="en-US" w:eastAsia="zh-CN"/>
        </w:rPr>
      </w:pPr>
      <w:r>
        <w:rPr>
          <w:rFonts w:hint="default" w:ascii="Times New Roman" w:hAnsi="Times New Roman" w:eastAsia="方正黑体_GBK" w:cs="Times New Roman"/>
          <w:color w:val="auto"/>
          <w:sz w:val="32"/>
          <w:szCs w:val="32"/>
          <w:lang w:val="en-US" w:eastAsia="zh-CN"/>
        </w:rPr>
        <w:t>一、总体</w:t>
      </w:r>
      <w:r>
        <w:rPr>
          <w:rFonts w:hint="eastAsia" w:ascii="Times New Roman" w:hAnsi="Times New Roman" w:eastAsia="方正黑体_GBK" w:cs="Times New Roman"/>
          <w:color w:val="auto"/>
          <w:sz w:val="32"/>
          <w:szCs w:val="32"/>
          <w:lang w:val="en-US" w:eastAsia="zh-CN"/>
        </w:rPr>
        <w:t>要求</w:t>
      </w:r>
    </w:p>
    <w:p w14:paraId="2B2A25F7">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以习近平新时代中国特色社会主义思想为指导，深入学习贯彻习近平总书记关于殡葬工作的</w:t>
      </w:r>
      <w:r>
        <w:rPr>
          <w:rFonts w:hint="eastAsia" w:ascii="Times New Roman" w:hAnsi="Times New Roman" w:eastAsia="方正仿宋_GBK" w:cs="Times New Roman"/>
          <w:color w:val="auto"/>
          <w:sz w:val="32"/>
          <w:szCs w:val="32"/>
          <w:lang w:val="en-US" w:eastAsia="zh-CN"/>
        </w:rPr>
        <w:t>重要指示批示精神</w:t>
      </w:r>
      <w:r>
        <w:rPr>
          <w:rFonts w:hint="default" w:ascii="Times New Roman" w:hAnsi="Times New Roman" w:eastAsia="方正仿宋_GBK" w:cs="Times New Roman"/>
          <w:color w:val="auto"/>
          <w:sz w:val="32"/>
          <w:szCs w:val="32"/>
          <w:lang w:val="en-US" w:eastAsia="zh-CN"/>
        </w:rPr>
        <w:t>，坚持以人民为中心，强化公益惠民导向，全面深化殡葬领域改革。围绕“逝、殡、葬、祭”全领域，聚焦</w:t>
      </w:r>
      <w:r>
        <w:rPr>
          <w:rFonts w:hint="eastAsia" w:ascii="Times New Roman" w:hAnsi="Times New Roman" w:eastAsia="方正仿宋_GBK" w:cs="Times New Roman"/>
          <w:color w:val="auto"/>
          <w:sz w:val="32"/>
          <w:szCs w:val="32"/>
          <w:lang w:val="en-US" w:eastAsia="zh-CN"/>
        </w:rPr>
        <w:t>突出问题、重点矛盾、薄弱环节，</w:t>
      </w:r>
      <w:r>
        <w:rPr>
          <w:rFonts w:hint="default" w:ascii="Times New Roman" w:hAnsi="Times New Roman" w:eastAsia="方正仿宋_GBK" w:cs="Times New Roman"/>
          <w:color w:val="auto"/>
          <w:sz w:val="32"/>
          <w:szCs w:val="32"/>
          <w:lang w:val="en-US" w:eastAsia="zh-CN"/>
        </w:rPr>
        <w:t>明确监管任务，明晰部门职责，建立健全“各司其职、各负其责、相互配合、齐抓共管”的跨部门综合监管体制机制</w:t>
      </w:r>
      <w:r>
        <w:rPr>
          <w:rFonts w:hint="eastAsia" w:ascii="Times New Roman" w:hAnsi="Times New Roman" w:eastAsia="方正仿宋_GBK" w:cs="Times New Roman"/>
          <w:color w:val="auto"/>
          <w:sz w:val="32"/>
          <w:szCs w:val="32"/>
          <w:lang w:val="en-US" w:eastAsia="zh-CN"/>
        </w:rPr>
        <w:t>。</w:t>
      </w:r>
    </w:p>
    <w:p w14:paraId="5405EA1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方正黑体_GBK" w:cs="Times New Roman"/>
          <w:color w:val="auto"/>
          <w:sz w:val="32"/>
          <w:szCs w:val="32"/>
          <w:lang w:val="en-US" w:eastAsia="zh-CN"/>
        </w:rPr>
      </w:pPr>
      <w:r>
        <w:rPr>
          <w:rFonts w:hint="eastAsia" w:ascii="Times New Roman" w:hAnsi="Times New Roman" w:eastAsia="方正黑体_GBK" w:cs="Times New Roman"/>
          <w:color w:val="auto"/>
          <w:sz w:val="32"/>
          <w:szCs w:val="32"/>
          <w:lang w:val="en-US" w:eastAsia="zh-CN"/>
        </w:rPr>
        <w:t>工作目标</w:t>
      </w:r>
    </w:p>
    <w:p w14:paraId="47902540">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到2025年底，全省</w:t>
      </w:r>
      <w:r>
        <w:rPr>
          <w:rFonts w:hint="eastAsia" w:ascii="Times New Roman" w:hAnsi="Times New Roman" w:eastAsia="方正仿宋_GBK" w:cs="Times New Roman"/>
          <w:color w:val="auto"/>
          <w:sz w:val="32"/>
          <w:szCs w:val="32"/>
          <w:lang w:val="en-US" w:eastAsia="zh-CN"/>
        </w:rPr>
        <w:t>基本</w:t>
      </w:r>
      <w:r>
        <w:rPr>
          <w:rFonts w:hint="default" w:ascii="Times New Roman" w:hAnsi="Times New Roman" w:eastAsia="方正仿宋_GBK" w:cs="Times New Roman"/>
          <w:color w:val="auto"/>
          <w:sz w:val="32"/>
          <w:szCs w:val="32"/>
          <w:lang w:val="en-US" w:eastAsia="zh-CN"/>
        </w:rPr>
        <w:t>形成行业主管部门牵头、各职能部门协同联动的综合监管体系，殡葬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跨部门综合监管机制更加完善，联动更加顺畅，殡葬活动更加规范，殡葬服务更加有序，广大群众获得感和满意度</w:t>
      </w:r>
      <w:r>
        <w:rPr>
          <w:rFonts w:hint="eastAsia" w:ascii="Times New Roman" w:hAnsi="Times New Roman" w:eastAsia="方正仿宋_GBK" w:cs="Times New Roman"/>
          <w:color w:val="auto"/>
          <w:sz w:val="32"/>
          <w:szCs w:val="32"/>
          <w:lang w:val="en-US" w:eastAsia="zh-CN"/>
        </w:rPr>
        <w:t>明显</w:t>
      </w:r>
      <w:r>
        <w:rPr>
          <w:rFonts w:hint="default" w:ascii="Times New Roman" w:hAnsi="Times New Roman" w:eastAsia="方正仿宋_GBK" w:cs="Times New Roman"/>
          <w:color w:val="auto"/>
          <w:sz w:val="32"/>
          <w:szCs w:val="32"/>
          <w:lang w:val="en-US" w:eastAsia="zh-CN"/>
        </w:rPr>
        <w:t>提升。</w:t>
      </w:r>
      <w:r>
        <w:rPr>
          <w:rFonts w:hint="eastAsia" w:ascii="Times New Roman" w:hAnsi="Times New Roman" w:eastAsia="方正仿宋_GBK" w:cs="Times New Roman"/>
          <w:color w:val="auto"/>
          <w:sz w:val="32"/>
          <w:szCs w:val="32"/>
          <w:lang w:val="en-US" w:eastAsia="zh-CN"/>
        </w:rPr>
        <w:t>具体目标包括：实现殡葬服务价格透明化，有效遏制各类违法违规行为，显著提升殡葬设施的安全性和管理水平，推动殡葬行业健康有序发展，形成具有江苏特色的殡葬服务管理新模式。同时，通过跨部门综合监管，进一步促进殡葬文化的传承与创新，引导社会公众树立文明、绿色、生态的殡葬新风尚。</w:t>
      </w:r>
    </w:p>
    <w:p w14:paraId="33C444E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黑体_GBK" w:cs="Times New Roman"/>
          <w:color w:val="auto"/>
          <w:sz w:val="32"/>
          <w:szCs w:val="32"/>
          <w:lang w:val="en-US" w:eastAsia="zh-CN"/>
        </w:rPr>
      </w:pPr>
      <w:r>
        <w:rPr>
          <w:rFonts w:hint="eastAsia" w:ascii="Times New Roman" w:hAnsi="Times New Roman" w:eastAsia="方正黑体_GBK" w:cs="Times New Roman"/>
          <w:color w:val="auto"/>
          <w:sz w:val="32"/>
          <w:szCs w:val="32"/>
          <w:lang w:val="en-US" w:eastAsia="zh-CN"/>
        </w:rPr>
        <w:t>三、</w:t>
      </w:r>
      <w:r>
        <w:rPr>
          <w:rFonts w:hint="default" w:ascii="Times New Roman" w:hAnsi="Times New Roman" w:eastAsia="方正黑体_GBK" w:cs="Times New Roman"/>
          <w:color w:val="auto"/>
          <w:sz w:val="32"/>
          <w:szCs w:val="32"/>
          <w:lang w:val="en-US" w:eastAsia="zh-CN"/>
        </w:rPr>
        <w:t>主要任务</w:t>
      </w:r>
    </w:p>
    <w:p w14:paraId="380A27A9">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b w:val="0"/>
          <w:bCs w:val="0"/>
          <w:color w:val="auto"/>
          <w:sz w:val="32"/>
          <w:szCs w:val="32"/>
          <w:lang w:val="en-US" w:eastAsia="zh-CN"/>
        </w:rPr>
      </w:pPr>
      <w:r>
        <w:rPr>
          <w:rFonts w:hint="eastAsia" w:ascii="Times New Roman" w:hAnsi="Times New Roman" w:eastAsia="方正楷体_GBK" w:cs="Times New Roman"/>
          <w:b w:val="0"/>
          <w:bCs w:val="0"/>
          <w:color w:val="auto"/>
          <w:sz w:val="32"/>
          <w:szCs w:val="32"/>
          <w:lang w:val="en-US" w:eastAsia="zh-CN"/>
        </w:rPr>
        <w:t>（一）健全跨部门综合监管工作机制。</w:t>
      </w:r>
      <w:r>
        <w:rPr>
          <w:rFonts w:hint="eastAsia" w:ascii="Times New Roman" w:hAnsi="Times New Roman" w:eastAsia="方正仿宋_GBK" w:cs="Times New Roman"/>
          <w:color w:val="auto"/>
          <w:kern w:val="2"/>
          <w:sz w:val="32"/>
          <w:szCs w:val="32"/>
          <w:lang w:val="en-US" w:eastAsia="zh-CN" w:bidi="ar-SA"/>
        </w:rPr>
        <w:t>县级以上地方人民政府应当建立殡葬行业跨部门综合监管工作机制，</w:t>
      </w:r>
      <w:r>
        <w:rPr>
          <w:rFonts w:hint="default" w:ascii="Times New Roman" w:hAnsi="Times New Roman" w:eastAsia="方正仿宋_GBK" w:cs="Times New Roman"/>
          <w:color w:val="auto"/>
          <w:sz w:val="32"/>
          <w:szCs w:val="32"/>
          <w:lang w:val="en-US" w:eastAsia="zh-CN"/>
        </w:rPr>
        <w:t>全面统筹协调本地区殡葬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跨部门综合监管任务</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b w:val="0"/>
          <w:bCs w:val="0"/>
          <w:color w:val="auto"/>
          <w:sz w:val="32"/>
          <w:szCs w:val="32"/>
          <w:lang w:val="en-US" w:eastAsia="zh-CN"/>
        </w:rPr>
        <w:t>强化统筹调度，明确工作重点，细化落实措施，定期会商研判，解决发现问题。聚焦殡葬</w:t>
      </w:r>
      <w:r>
        <w:rPr>
          <w:rFonts w:hint="eastAsia" w:ascii="Times New Roman" w:hAnsi="Times New Roman" w:eastAsia="方正仿宋_GBK" w:cs="Times New Roman"/>
          <w:b w:val="0"/>
          <w:bCs w:val="0"/>
          <w:color w:val="auto"/>
          <w:sz w:val="32"/>
          <w:szCs w:val="32"/>
          <w:lang w:val="en-US" w:eastAsia="zh-CN"/>
        </w:rPr>
        <w:t>设施</w:t>
      </w:r>
      <w:r>
        <w:rPr>
          <w:rFonts w:hint="default" w:ascii="Times New Roman" w:hAnsi="Times New Roman" w:eastAsia="方正仿宋_GBK" w:cs="Times New Roman"/>
          <w:b w:val="0"/>
          <w:bCs w:val="0"/>
          <w:color w:val="auto"/>
          <w:sz w:val="32"/>
          <w:szCs w:val="32"/>
          <w:lang w:val="en-US" w:eastAsia="zh-CN"/>
        </w:rPr>
        <w:t>违规建设、违规收费、丧事扰民、殡葬市场秩序、散埋乱葬、文明祭扫等多发问题，建立风险隐患</w:t>
      </w:r>
      <w:r>
        <w:rPr>
          <w:rFonts w:hint="eastAsia" w:ascii="Times New Roman" w:hAnsi="Times New Roman" w:eastAsia="方正仿宋_GBK" w:cs="Times New Roman"/>
          <w:b w:val="0"/>
          <w:bCs w:val="0"/>
          <w:color w:val="auto"/>
          <w:sz w:val="32"/>
          <w:szCs w:val="32"/>
          <w:lang w:val="en-US" w:eastAsia="zh-CN"/>
        </w:rPr>
        <w:t>联合</w:t>
      </w:r>
      <w:r>
        <w:rPr>
          <w:rFonts w:hint="default" w:ascii="Times New Roman" w:hAnsi="Times New Roman" w:eastAsia="方正仿宋_GBK" w:cs="Times New Roman"/>
          <w:b w:val="0"/>
          <w:bCs w:val="0"/>
          <w:color w:val="auto"/>
          <w:sz w:val="32"/>
          <w:szCs w:val="32"/>
          <w:lang w:val="en-US" w:eastAsia="zh-CN"/>
        </w:rPr>
        <w:t>监测机制，利用信息手段全面提升监测能力</w:t>
      </w:r>
      <w:r>
        <w:rPr>
          <w:rFonts w:hint="eastAsia" w:ascii="Times New Roman" w:hAnsi="Times New Roman" w:eastAsia="方正仿宋_GBK" w:cs="Times New Roman"/>
          <w:b w:val="0"/>
          <w:bCs w:val="0"/>
          <w:color w:val="auto"/>
          <w:sz w:val="32"/>
          <w:szCs w:val="32"/>
          <w:lang w:val="en-US" w:eastAsia="zh-CN"/>
        </w:rPr>
        <w:t>，</w:t>
      </w:r>
      <w:r>
        <w:rPr>
          <w:rFonts w:hint="default" w:ascii="Times New Roman" w:hAnsi="Times New Roman" w:eastAsia="方正仿宋_GBK" w:cs="Times New Roman"/>
          <w:b w:val="0"/>
          <w:bCs w:val="0"/>
          <w:color w:val="auto"/>
          <w:sz w:val="32"/>
          <w:szCs w:val="32"/>
          <w:lang w:val="en-US" w:eastAsia="zh-CN"/>
        </w:rPr>
        <w:t>有效</w:t>
      </w:r>
      <w:r>
        <w:rPr>
          <w:rFonts w:hint="eastAsia" w:ascii="Times New Roman" w:hAnsi="Times New Roman" w:eastAsia="方正仿宋_GBK" w:cs="Times New Roman"/>
          <w:b w:val="0"/>
          <w:bCs w:val="0"/>
          <w:color w:val="auto"/>
          <w:sz w:val="32"/>
          <w:szCs w:val="32"/>
          <w:lang w:val="en-US" w:eastAsia="zh-CN"/>
        </w:rPr>
        <w:t>归集</w:t>
      </w:r>
      <w:r>
        <w:rPr>
          <w:rFonts w:hint="default" w:ascii="Times New Roman" w:hAnsi="Times New Roman" w:eastAsia="方正仿宋_GBK" w:cs="Times New Roman"/>
          <w:b w:val="0"/>
          <w:bCs w:val="0"/>
          <w:color w:val="auto"/>
          <w:sz w:val="32"/>
          <w:szCs w:val="32"/>
          <w:lang w:val="en-US" w:eastAsia="zh-CN"/>
        </w:rPr>
        <w:t>相关监测信息，对重大问题开展跨部门综合研判，确保专项问题尽快处置、复杂问题联动处置</w:t>
      </w:r>
      <w:r>
        <w:rPr>
          <w:rFonts w:hint="eastAsia" w:ascii="Times New Roman" w:hAnsi="Times New Roman" w:eastAsia="方正仿宋_GBK" w:cs="Times New Roman"/>
          <w:b w:val="0"/>
          <w:bCs w:val="0"/>
          <w:color w:val="auto"/>
          <w:sz w:val="32"/>
          <w:szCs w:val="32"/>
          <w:lang w:val="en-US" w:eastAsia="zh-CN"/>
        </w:rPr>
        <w:t>。积极整合</w:t>
      </w:r>
      <w:r>
        <w:rPr>
          <w:rFonts w:hint="default" w:ascii="Times New Roman" w:hAnsi="Times New Roman" w:eastAsia="方正仿宋_GBK" w:cs="Times New Roman"/>
          <w:b w:val="0"/>
          <w:bCs w:val="0"/>
          <w:color w:val="auto"/>
          <w:sz w:val="32"/>
          <w:szCs w:val="32"/>
          <w:lang w:val="en-US" w:eastAsia="zh-CN"/>
        </w:rPr>
        <w:t>监管执法资源，统筹殡葬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b w:val="0"/>
          <w:bCs w:val="0"/>
          <w:color w:val="auto"/>
          <w:sz w:val="32"/>
          <w:szCs w:val="32"/>
          <w:lang w:val="en-US" w:eastAsia="zh-CN"/>
        </w:rPr>
        <w:t>跨部门综合监管执法力量，</w:t>
      </w:r>
      <w:r>
        <w:rPr>
          <w:rFonts w:hint="eastAsia" w:ascii="Times New Roman" w:hAnsi="Times New Roman" w:eastAsia="方正仿宋_GBK" w:cs="Times New Roman"/>
          <w:b w:val="0"/>
          <w:bCs w:val="0"/>
          <w:color w:val="auto"/>
          <w:sz w:val="32"/>
          <w:szCs w:val="32"/>
          <w:lang w:val="en-US" w:eastAsia="zh-CN"/>
        </w:rPr>
        <w:t>组织</w:t>
      </w:r>
      <w:r>
        <w:rPr>
          <w:rFonts w:hint="default" w:ascii="Times New Roman" w:hAnsi="Times New Roman" w:eastAsia="方正仿宋_GBK" w:cs="Times New Roman"/>
          <w:b w:val="0"/>
          <w:bCs w:val="0"/>
          <w:color w:val="auto"/>
          <w:sz w:val="32"/>
          <w:szCs w:val="32"/>
          <w:lang w:val="en-US" w:eastAsia="zh-CN"/>
        </w:rPr>
        <w:t>开展联合抽查检查，持续提升协同监管能力。针对殡葬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b w:val="0"/>
          <w:bCs w:val="0"/>
          <w:color w:val="auto"/>
          <w:sz w:val="32"/>
          <w:szCs w:val="32"/>
          <w:lang w:val="en-US" w:eastAsia="zh-CN"/>
        </w:rPr>
        <w:t>涉及多个部门监管的突出问题，</w:t>
      </w:r>
      <w:r>
        <w:rPr>
          <w:rFonts w:hint="eastAsia" w:ascii="Times New Roman" w:hAnsi="Times New Roman" w:eastAsia="方正仿宋_GBK" w:cs="Times New Roman"/>
          <w:b w:val="0"/>
          <w:bCs w:val="0"/>
          <w:color w:val="auto"/>
          <w:sz w:val="32"/>
          <w:szCs w:val="32"/>
          <w:lang w:val="en-US" w:eastAsia="zh-CN"/>
        </w:rPr>
        <w:t>健全完善以“双随机、一公开”监管为基本手段、以重点监管为补充、以信用监管为基础的新型监管机制，</w:t>
      </w:r>
      <w:r>
        <w:rPr>
          <w:rFonts w:hint="default" w:ascii="Times New Roman" w:hAnsi="Times New Roman" w:eastAsia="方正仿宋_GBK" w:cs="Times New Roman"/>
          <w:b w:val="0"/>
          <w:bCs w:val="0"/>
          <w:color w:val="auto"/>
          <w:sz w:val="32"/>
          <w:szCs w:val="32"/>
          <w:lang w:val="en-US" w:eastAsia="zh-CN"/>
        </w:rPr>
        <w:t>不断优化抽查检查形式，定期组织开展联合执法行动，</w:t>
      </w:r>
      <w:r>
        <w:rPr>
          <w:rFonts w:hint="eastAsia" w:ascii="Times New Roman" w:hAnsi="Times New Roman" w:eastAsia="方正仿宋_GBK" w:cs="Times New Roman"/>
          <w:b w:val="0"/>
          <w:bCs w:val="0"/>
          <w:color w:val="auto"/>
          <w:sz w:val="32"/>
          <w:szCs w:val="32"/>
          <w:lang w:val="en-US" w:eastAsia="zh-CN"/>
        </w:rPr>
        <w:t>加大</w:t>
      </w:r>
      <w:r>
        <w:rPr>
          <w:rFonts w:hint="default" w:ascii="Times New Roman" w:hAnsi="Times New Roman" w:eastAsia="方正仿宋_GBK" w:cs="Times New Roman"/>
          <w:b w:val="0"/>
          <w:bCs w:val="0"/>
          <w:color w:val="auto"/>
          <w:sz w:val="32"/>
          <w:szCs w:val="32"/>
          <w:lang w:val="en-US" w:eastAsia="zh-CN"/>
        </w:rPr>
        <w:t>对违法违规行为</w:t>
      </w:r>
      <w:r>
        <w:rPr>
          <w:rFonts w:hint="eastAsia" w:ascii="Times New Roman" w:hAnsi="Times New Roman" w:eastAsia="方正仿宋_GBK" w:cs="Times New Roman"/>
          <w:b w:val="0"/>
          <w:bCs w:val="0"/>
          <w:color w:val="auto"/>
          <w:sz w:val="32"/>
          <w:szCs w:val="32"/>
          <w:lang w:val="en-US" w:eastAsia="zh-CN"/>
        </w:rPr>
        <w:t>的查处力度。</w:t>
      </w:r>
      <w:r>
        <w:rPr>
          <w:rFonts w:hint="default" w:ascii="Times New Roman" w:hAnsi="Times New Roman" w:eastAsia="方正仿宋_GBK" w:cs="Times New Roman"/>
          <w:b w:val="0"/>
          <w:bCs w:val="0"/>
          <w:color w:val="auto"/>
          <w:sz w:val="32"/>
          <w:szCs w:val="32"/>
          <w:lang w:val="en-US" w:eastAsia="zh-CN"/>
        </w:rPr>
        <w:t>相关部门在依法查处殡葬违法行为过程中发现涉嫌犯罪、依法需要追究刑事责任的，应及时移送有关机关处理；存在暴力抗法等情形的，可商请有关机关协助调查处理。</w:t>
      </w:r>
    </w:p>
    <w:p w14:paraId="62313E63">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方正仿宋_GBK" w:cs="Times New Roman"/>
          <w:b w:val="0"/>
          <w:bCs w:val="0"/>
          <w:color w:val="auto"/>
          <w:sz w:val="32"/>
          <w:szCs w:val="32"/>
          <w:lang w:val="en-US" w:eastAsia="zh-CN"/>
        </w:rPr>
      </w:pPr>
      <w:r>
        <w:rPr>
          <w:rFonts w:hint="default" w:ascii="Times New Roman" w:hAnsi="Times New Roman" w:eastAsia="方正楷体_GBK" w:cs="Times New Roman"/>
          <w:b w:val="0"/>
          <w:bCs w:val="0"/>
          <w:color w:val="auto"/>
          <w:sz w:val="32"/>
          <w:szCs w:val="32"/>
          <w:lang w:val="en-US" w:eastAsia="zh-CN"/>
        </w:rPr>
        <w:t>（</w:t>
      </w:r>
      <w:r>
        <w:rPr>
          <w:rFonts w:hint="eastAsia" w:ascii="Times New Roman" w:hAnsi="Times New Roman" w:eastAsia="方正楷体_GBK" w:cs="Times New Roman"/>
          <w:b w:val="0"/>
          <w:bCs w:val="0"/>
          <w:color w:val="auto"/>
          <w:sz w:val="32"/>
          <w:szCs w:val="32"/>
          <w:lang w:val="en-US" w:eastAsia="zh-CN"/>
        </w:rPr>
        <w:t>二</w:t>
      </w:r>
      <w:r>
        <w:rPr>
          <w:rFonts w:hint="default" w:ascii="Times New Roman" w:hAnsi="Times New Roman" w:eastAsia="方正楷体_GBK" w:cs="Times New Roman"/>
          <w:b w:val="0"/>
          <w:bCs w:val="0"/>
          <w:color w:val="auto"/>
          <w:sz w:val="32"/>
          <w:szCs w:val="32"/>
          <w:lang w:val="en-US" w:eastAsia="zh-CN"/>
        </w:rPr>
        <w:t>）明确重点监管事项</w:t>
      </w:r>
      <w:r>
        <w:rPr>
          <w:rFonts w:hint="eastAsia" w:ascii="Times New Roman" w:hAnsi="Times New Roman" w:eastAsia="方正楷体_GBK" w:cs="Times New Roman"/>
          <w:b w:val="0"/>
          <w:bCs w:val="0"/>
          <w:color w:val="auto"/>
          <w:sz w:val="32"/>
          <w:szCs w:val="32"/>
          <w:lang w:val="en-US" w:eastAsia="zh-CN"/>
        </w:rPr>
        <w:t>和部门职责。</w:t>
      </w:r>
      <w:r>
        <w:rPr>
          <w:rFonts w:hint="default" w:ascii="Times New Roman" w:hAnsi="Times New Roman" w:eastAsia="方正仿宋_GBK" w:cs="Times New Roman"/>
          <w:color w:val="auto"/>
          <w:sz w:val="32"/>
          <w:szCs w:val="32"/>
          <w:lang w:val="en-US" w:eastAsia="zh-CN"/>
        </w:rPr>
        <w:t>各地民政部门会同相关职能部门，结合本地区实际，</w:t>
      </w:r>
      <w:r>
        <w:rPr>
          <w:rFonts w:hint="eastAsia" w:ascii="Times New Roman" w:hAnsi="Times New Roman" w:eastAsia="方正仿宋_GBK" w:cs="Times New Roman"/>
          <w:color w:val="auto"/>
          <w:sz w:val="32"/>
          <w:szCs w:val="32"/>
          <w:lang w:val="en-US" w:eastAsia="zh-CN"/>
        </w:rPr>
        <w:t>加大对</w:t>
      </w:r>
      <w:r>
        <w:rPr>
          <w:rFonts w:hint="default" w:ascii="Times New Roman" w:hAnsi="Times New Roman" w:eastAsia="方正仿宋_GBK" w:cs="Times New Roman"/>
          <w:color w:val="auto"/>
          <w:sz w:val="32"/>
          <w:szCs w:val="32"/>
          <w:lang w:val="en-US" w:eastAsia="zh-CN"/>
        </w:rPr>
        <w:t>遗体接运、殡仪服务、骨灰安</w:t>
      </w:r>
      <w:r>
        <w:rPr>
          <w:rFonts w:hint="eastAsia" w:ascii="Times New Roman" w:hAnsi="Times New Roman" w:eastAsia="方正仿宋_GBK" w:cs="Times New Roman"/>
          <w:color w:val="auto"/>
          <w:sz w:val="32"/>
          <w:szCs w:val="32"/>
          <w:lang w:val="en-US" w:eastAsia="zh-CN"/>
        </w:rPr>
        <w:t>葬</w:t>
      </w:r>
      <w:r>
        <w:rPr>
          <w:rFonts w:hint="default" w:ascii="Times New Roman" w:hAnsi="Times New Roman" w:eastAsia="方正仿宋_GBK" w:cs="Times New Roman"/>
          <w:color w:val="auto"/>
          <w:sz w:val="32"/>
          <w:szCs w:val="32"/>
          <w:lang w:val="en-US" w:eastAsia="zh-CN"/>
        </w:rPr>
        <w:t>、殡葬用品市场等服务机构、组织和个人</w:t>
      </w:r>
      <w:r>
        <w:rPr>
          <w:rFonts w:hint="eastAsia" w:ascii="Times New Roman" w:hAnsi="Times New Roman" w:eastAsia="方正仿宋_GBK" w:cs="Times New Roman"/>
          <w:color w:val="auto"/>
          <w:sz w:val="32"/>
          <w:szCs w:val="32"/>
          <w:lang w:val="en-US" w:eastAsia="zh-CN"/>
        </w:rPr>
        <w:t>行为的监管力度。</w:t>
      </w:r>
      <w:r>
        <w:rPr>
          <w:rFonts w:hint="default" w:ascii="Times New Roman" w:hAnsi="Times New Roman" w:eastAsia="方正仿宋_GBK" w:cs="Times New Roman"/>
          <w:color w:val="auto"/>
          <w:sz w:val="32"/>
          <w:szCs w:val="32"/>
          <w:lang w:val="en-US" w:eastAsia="zh-CN"/>
        </w:rPr>
        <w:t>围绕“逝、殡、葬、祭”等环节，聚焦殡葬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阶段性突出问题，从监管场景入手，针对重点监管事项，进一步完善监管制度，规范殡葬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各项工作内容、流程和标准，为跨部门综合监管提供有效依据，不断提升跨部门综合监管的精准性和有效性</w:t>
      </w:r>
      <w:r>
        <w:rPr>
          <w:rFonts w:hint="default" w:ascii="Times New Roman" w:hAnsi="Times New Roman" w:eastAsia="方正仿宋_GBK" w:cs="Times New Roman"/>
          <w:b w:val="0"/>
          <w:bCs w:val="0"/>
          <w:color w:val="auto"/>
          <w:sz w:val="32"/>
          <w:szCs w:val="32"/>
          <w:lang w:val="en-US" w:eastAsia="zh-CN"/>
        </w:rPr>
        <w:t>。</w:t>
      </w:r>
      <w:r>
        <w:rPr>
          <w:rFonts w:hint="eastAsia" w:ascii="Times New Roman" w:hAnsi="Times New Roman" w:eastAsia="方正仿宋_GBK" w:cs="Times New Roman"/>
          <w:b w:val="0"/>
          <w:bCs w:val="0"/>
          <w:color w:val="auto"/>
          <w:sz w:val="32"/>
          <w:szCs w:val="32"/>
          <w:lang w:val="en-US" w:eastAsia="zh-CN"/>
        </w:rPr>
        <w:t>要</w:t>
      </w:r>
      <w:r>
        <w:rPr>
          <w:rFonts w:hint="default" w:ascii="Times New Roman" w:hAnsi="Times New Roman" w:eastAsia="方正仿宋_GBK" w:cs="Times New Roman"/>
          <w:b w:val="0"/>
          <w:bCs w:val="0"/>
          <w:color w:val="auto"/>
          <w:sz w:val="32"/>
          <w:szCs w:val="32"/>
          <w:lang w:val="en-US" w:eastAsia="zh-CN"/>
        </w:rPr>
        <w:t>建立殡葬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跨部门综合监管事项清单，</w:t>
      </w:r>
      <w:r>
        <w:rPr>
          <w:rFonts w:hint="eastAsia" w:ascii="Times New Roman" w:hAnsi="Times New Roman" w:eastAsia="方正仿宋_GBK" w:cs="Times New Roman"/>
          <w:color w:val="auto"/>
          <w:sz w:val="32"/>
          <w:szCs w:val="32"/>
          <w:lang w:val="en-US" w:eastAsia="zh-CN"/>
        </w:rPr>
        <w:t>明确监管重点事项名称、牵头单位、配合单位、监管对象、责任分工、监管方式等事项，并实行动态管理。要压实主体责任，</w:t>
      </w:r>
      <w:r>
        <w:rPr>
          <w:rFonts w:hint="default" w:ascii="Times New Roman" w:hAnsi="Times New Roman" w:eastAsia="方正仿宋_GBK" w:cs="Times New Roman"/>
          <w:color w:val="auto"/>
          <w:sz w:val="32"/>
          <w:szCs w:val="32"/>
          <w:lang w:val="en-US" w:eastAsia="zh-CN"/>
        </w:rPr>
        <w:t>按照法律法规、“三定”规定和权责清单，明确监管事项责任分工，</w:t>
      </w:r>
      <w:r>
        <w:rPr>
          <w:rFonts w:hint="eastAsia" w:ascii="Times New Roman" w:hAnsi="Times New Roman" w:eastAsia="方正仿宋_GBK" w:cs="Times New Roman"/>
          <w:color w:val="auto"/>
          <w:sz w:val="32"/>
          <w:szCs w:val="32"/>
          <w:lang w:val="en-US" w:eastAsia="zh-CN"/>
        </w:rPr>
        <w:t>加强协同联动，强化事前、事中、事后全链条全领域监管。</w:t>
      </w:r>
      <w:r>
        <w:rPr>
          <w:rFonts w:hint="eastAsia" w:ascii="Times New Roman" w:hAnsi="Times New Roman" w:eastAsia="方正仿宋_GBK" w:cs="Times New Roman"/>
          <w:b w:val="0"/>
          <w:bCs w:val="0"/>
          <w:color w:val="auto"/>
          <w:sz w:val="32"/>
          <w:szCs w:val="32"/>
          <w:lang w:val="en-US" w:eastAsia="zh-CN"/>
        </w:rPr>
        <w:t>县级以上地方人民政</w:t>
      </w:r>
      <w:r>
        <w:rPr>
          <w:rFonts w:hint="eastAsia" w:ascii="Times New Roman" w:hAnsi="Times New Roman" w:eastAsia="方正仿宋_GBK" w:cs="Times New Roman"/>
          <w:color w:val="auto"/>
          <w:sz w:val="32"/>
          <w:szCs w:val="32"/>
          <w:lang w:val="en-US" w:eastAsia="zh-CN"/>
        </w:rPr>
        <w:t>府民政部门应当</w:t>
      </w:r>
      <w:r>
        <w:rPr>
          <w:rFonts w:hint="eastAsia" w:ascii="Times New Roman" w:hAnsi="Times New Roman" w:eastAsia="方正仿宋_GBK" w:cs="Times New Roman"/>
          <w:b w:val="0"/>
          <w:bCs w:val="0"/>
          <w:color w:val="auto"/>
          <w:sz w:val="32"/>
          <w:szCs w:val="32"/>
          <w:lang w:val="en-US" w:eastAsia="zh-CN"/>
        </w:rPr>
        <w:t>加强殡葬行业日常监管，明确服务规范和工作流程，对殡葬行业组织进行指导</w:t>
      </w:r>
      <w:r>
        <w:rPr>
          <w:rFonts w:hint="eastAsia" w:ascii="Times New Roman" w:hAnsi="Times New Roman" w:eastAsia="方正仿宋_GBK" w:cs="Times New Roman"/>
          <w:color w:val="auto"/>
          <w:sz w:val="32"/>
          <w:szCs w:val="32"/>
          <w:lang w:val="en-US" w:eastAsia="zh-CN"/>
        </w:rPr>
        <w:t>；发展改革部门应</w:t>
      </w:r>
      <w:r>
        <w:rPr>
          <w:rFonts w:hint="eastAsia" w:ascii="Times New Roman" w:hAnsi="Times New Roman" w:eastAsia="方正仿宋_GBK" w:cs="Times New Roman"/>
          <w:b w:val="0"/>
          <w:bCs w:val="0"/>
          <w:color w:val="auto"/>
          <w:sz w:val="32"/>
          <w:szCs w:val="32"/>
          <w:lang w:val="en-US" w:eastAsia="zh-CN"/>
        </w:rPr>
        <w:t>当加强对经营者未按规定进行价格备案行为的监督管理</w:t>
      </w:r>
      <w:r>
        <w:rPr>
          <w:rFonts w:hint="eastAsia" w:ascii="Times New Roman" w:hAnsi="Times New Roman" w:eastAsia="方正仿宋_GBK" w:cs="Times New Roman"/>
          <w:color w:val="auto"/>
          <w:sz w:val="32"/>
          <w:szCs w:val="32"/>
          <w:lang w:val="en-US" w:eastAsia="zh-CN"/>
        </w:rPr>
        <w:t>；公安机关应</w:t>
      </w:r>
      <w:r>
        <w:rPr>
          <w:rFonts w:hint="eastAsia" w:ascii="Times New Roman" w:hAnsi="Times New Roman" w:eastAsia="方正仿宋_GBK" w:cs="Times New Roman"/>
          <w:b w:val="0"/>
          <w:bCs w:val="0"/>
          <w:color w:val="auto"/>
          <w:sz w:val="32"/>
          <w:szCs w:val="32"/>
          <w:lang w:val="en-US" w:eastAsia="zh-CN"/>
        </w:rPr>
        <w:t>当依法查处涉及殡葬</w:t>
      </w:r>
      <w:r>
        <w:rPr>
          <w:rFonts w:hint="eastAsia" w:ascii="Times New Roman" w:hAnsi="Times New Roman" w:eastAsia="方正仿宋_GBK" w:cs="Times New Roman"/>
          <w:color w:val="auto"/>
          <w:sz w:val="32"/>
          <w:szCs w:val="32"/>
          <w:lang w:val="en-US" w:eastAsia="zh-CN"/>
        </w:rPr>
        <w:t>行业</w:t>
      </w:r>
      <w:r>
        <w:rPr>
          <w:rFonts w:hint="eastAsia" w:ascii="Times New Roman" w:hAnsi="Times New Roman" w:eastAsia="方正仿宋_GBK" w:cs="Times New Roman"/>
          <w:b w:val="0"/>
          <w:bCs w:val="0"/>
          <w:color w:val="auto"/>
          <w:sz w:val="32"/>
          <w:szCs w:val="32"/>
          <w:lang w:val="en-US" w:eastAsia="zh-CN"/>
        </w:rPr>
        <w:t>的违法犯罪行为及违反治安管理的行为；自然资源部门应当加强对殡葬设施违法占地及占用耕地建坟的监督管理；交通运输部门应当加强对</w:t>
      </w:r>
      <w:r>
        <w:rPr>
          <w:rFonts w:hint="default" w:ascii="方正仿宋_GBK" w:hAnsi="方正仿宋_GBK" w:eastAsia="方正仿宋_GBK" w:cs="方正仿宋_GBK"/>
          <w:color w:val="auto"/>
          <w:sz w:val="32"/>
          <w:szCs w:val="32"/>
          <w:lang w:val="en-US" w:eastAsia="zh-CN"/>
        </w:rPr>
        <w:t>未取得道路运输经营许可</w:t>
      </w:r>
      <w:r>
        <w:rPr>
          <w:rFonts w:hint="eastAsia" w:ascii="方正仿宋_GBK" w:hAnsi="方正仿宋_GBK" w:eastAsia="方正仿宋_GBK" w:cs="方正仿宋_GBK"/>
          <w:color w:val="auto"/>
          <w:sz w:val="32"/>
          <w:szCs w:val="32"/>
          <w:lang w:val="en-US" w:eastAsia="zh-CN"/>
        </w:rPr>
        <w:t>、</w:t>
      </w:r>
      <w:r>
        <w:rPr>
          <w:rFonts w:hint="default" w:ascii="方正仿宋_GBK" w:hAnsi="方正仿宋_GBK" w:eastAsia="方正仿宋_GBK" w:cs="方正仿宋_GBK"/>
          <w:color w:val="auto"/>
          <w:sz w:val="32"/>
          <w:szCs w:val="32"/>
          <w:lang w:val="en-US" w:eastAsia="zh-CN"/>
        </w:rPr>
        <w:t>擅自从事道路客运</w:t>
      </w:r>
      <w:r>
        <w:rPr>
          <w:rFonts w:hint="eastAsia" w:ascii="方正仿宋_GBK" w:hAnsi="方正仿宋_GBK" w:eastAsia="方正仿宋_GBK" w:cs="方正仿宋_GBK"/>
          <w:color w:val="auto"/>
          <w:sz w:val="32"/>
          <w:szCs w:val="32"/>
          <w:lang w:val="en-US" w:eastAsia="zh-CN"/>
        </w:rPr>
        <w:t>及普通货物运输</w:t>
      </w:r>
      <w:r>
        <w:rPr>
          <w:rFonts w:hint="default" w:ascii="方正仿宋_GBK" w:hAnsi="方正仿宋_GBK" w:eastAsia="方正仿宋_GBK" w:cs="方正仿宋_GBK"/>
          <w:color w:val="auto"/>
          <w:sz w:val="32"/>
          <w:szCs w:val="32"/>
          <w:lang w:val="en-US" w:eastAsia="zh-CN"/>
        </w:rPr>
        <w:t>经营</w:t>
      </w:r>
      <w:r>
        <w:rPr>
          <w:rFonts w:hint="eastAsia" w:ascii="方正仿宋_GBK" w:hAnsi="方正仿宋_GBK" w:eastAsia="方正仿宋_GBK" w:cs="方正仿宋_GBK"/>
          <w:color w:val="auto"/>
          <w:sz w:val="32"/>
          <w:szCs w:val="32"/>
          <w:lang w:val="en-US" w:eastAsia="zh-CN"/>
        </w:rPr>
        <w:t>的监督管理，严厉打击擅自改装已取得车辆营运证车辆的行为；</w:t>
      </w:r>
      <w:r>
        <w:rPr>
          <w:rFonts w:hint="eastAsia" w:ascii="Times New Roman" w:hAnsi="Times New Roman" w:eastAsia="方正仿宋_GBK" w:cs="Times New Roman"/>
          <w:b w:val="0"/>
          <w:bCs w:val="0"/>
          <w:color w:val="auto"/>
          <w:sz w:val="32"/>
          <w:szCs w:val="32"/>
          <w:lang w:val="en-US" w:eastAsia="zh-CN"/>
        </w:rPr>
        <w:t>卫生健康部门应当加强对医疗卫生机构及太平间的监督管理；市场监管部门应当加强对殡葬设备、丧葬用品生产经营“无照经营”“黑中介”及殡葬服务价格收费的监督管理；网信、工业和信息化部门要加强对网络祭扫平台的监督管理；其他有关部门依照各自职责做好殡葬行业有关监督管理工作。</w:t>
      </w:r>
    </w:p>
    <w:p w14:paraId="280A38AD">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b w:val="0"/>
          <w:bCs w:val="0"/>
          <w:color w:val="auto"/>
          <w:sz w:val="32"/>
          <w:szCs w:val="32"/>
          <w:lang w:val="en-US" w:eastAsia="zh-CN"/>
        </w:rPr>
        <w:t>（三）强化跨部门综合监管执法。</w:t>
      </w:r>
      <w:r>
        <w:rPr>
          <w:rFonts w:hint="default" w:ascii="Times New Roman" w:hAnsi="Times New Roman" w:eastAsia="方正仿宋_GBK" w:cs="Times New Roman"/>
          <w:b w:val="0"/>
          <w:bCs w:val="0"/>
          <w:color w:val="auto"/>
          <w:sz w:val="32"/>
          <w:szCs w:val="32"/>
          <w:lang w:val="en-US" w:eastAsia="zh-CN"/>
        </w:rPr>
        <w:t>各地</w:t>
      </w:r>
      <w:r>
        <w:rPr>
          <w:rFonts w:hint="eastAsia" w:ascii="Times New Roman" w:hAnsi="Times New Roman" w:eastAsia="方正仿宋_GBK" w:cs="Times New Roman"/>
          <w:color w:val="auto"/>
          <w:sz w:val="32"/>
          <w:szCs w:val="32"/>
          <w:lang w:val="en-US" w:eastAsia="zh-CN"/>
        </w:rPr>
        <w:t>殡葬行业跨部门综合监管工作机制要将殡葬执法纳入市、县综合执法范围，暂未纳入的应建立健全联动执法机制，</w:t>
      </w:r>
      <w:r>
        <w:rPr>
          <w:rFonts w:hint="default" w:ascii="Times New Roman" w:hAnsi="Times New Roman" w:eastAsia="方正仿宋_GBK" w:cs="Times New Roman"/>
          <w:color w:val="auto"/>
          <w:sz w:val="32"/>
          <w:szCs w:val="32"/>
          <w:lang w:val="en-US" w:eastAsia="zh-CN"/>
        </w:rPr>
        <w:t>形成跨部门综合监管合力。对涉及多部门联合监管的事项，明确牵头部门和参与配合部门，构建“1+N”多主角监管和去中心化协同体系</w:t>
      </w:r>
      <w:r>
        <w:rPr>
          <w:rFonts w:hint="eastAsia" w:ascii="Times New Roman" w:hAnsi="Times New Roman" w:eastAsia="方正仿宋_GBK" w:cs="Times New Roman"/>
          <w:color w:val="auto"/>
          <w:sz w:val="32"/>
          <w:szCs w:val="32"/>
          <w:lang w:val="en-US" w:eastAsia="zh-CN"/>
        </w:rPr>
        <w:t>，形成监管合力。</w:t>
      </w:r>
      <w:r>
        <w:rPr>
          <w:rFonts w:hint="eastAsia" w:ascii="Times New Roman" w:hAnsi="Times New Roman" w:eastAsia="方正仿宋_GBK" w:cs="Times New Roman"/>
          <w:b w:val="0"/>
          <w:bCs w:val="0"/>
          <w:color w:val="auto"/>
          <w:sz w:val="32"/>
          <w:szCs w:val="32"/>
          <w:lang w:val="en-US" w:eastAsia="zh-CN"/>
        </w:rPr>
        <w:t>要建立发现</w:t>
      </w:r>
      <w:r>
        <w:rPr>
          <w:rFonts w:hint="eastAsia" w:ascii="Times New Roman" w:hAnsi="Times New Roman" w:eastAsia="方正仿宋_GBK" w:cs="Times New Roman"/>
          <w:color w:val="auto"/>
          <w:sz w:val="32"/>
          <w:szCs w:val="32"/>
          <w:lang w:val="en-US" w:eastAsia="zh-CN"/>
        </w:rPr>
        <w:t>问题联合会商、联合处置及通报机制，针对“双随机”检查、专项检查及投诉举报中发现的违法违规行为，迅速组织联合行动，确保问题得到及时有效整改。</w:t>
      </w:r>
      <w:r>
        <w:rPr>
          <w:rFonts w:hint="default" w:ascii="Times New Roman" w:hAnsi="Times New Roman" w:eastAsia="方正仿宋_GBK" w:cs="Times New Roman"/>
          <w:color w:val="auto"/>
          <w:sz w:val="32"/>
          <w:szCs w:val="32"/>
          <w:lang w:val="en-US" w:eastAsia="zh-CN"/>
        </w:rPr>
        <w:t>加强跨部门综合监管政策的协同性、有效性和可操作性，既要防止出现监管漏洞，又要避免政策叠加造成不利影响。</w:t>
      </w:r>
      <w:r>
        <w:rPr>
          <w:rFonts w:hint="eastAsia" w:ascii="Times New Roman" w:hAnsi="Times New Roman" w:eastAsia="方正仿宋_GBK" w:cs="Times New Roman"/>
          <w:color w:val="auto"/>
          <w:sz w:val="32"/>
          <w:szCs w:val="32"/>
          <w:lang w:val="en-US" w:eastAsia="zh-CN"/>
        </w:rPr>
        <w:t>要健全监管问责机制，细化责任追究措施，因失职渎职、滥用职权等导致逝者及其家属权益受到严重侵害的，对工作不力造成不良社会影响的责任单位和个人，依照有关法律法规追究责任。</w:t>
      </w:r>
    </w:p>
    <w:p w14:paraId="1A847A2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楷体_GBK" w:cs="Times New Roman"/>
          <w:b w:val="0"/>
          <w:bCs w:val="0"/>
          <w:color w:val="auto"/>
          <w:sz w:val="32"/>
          <w:szCs w:val="32"/>
          <w:lang w:val="en-US" w:eastAsia="zh-CN"/>
        </w:rPr>
        <w:t>（四）</w:t>
      </w:r>
      <w:r>
        <w:rPr>
          <w:rFonts w:hint="eastAsia" w:ascii="Times New Roman" w:hAnsi="Times New Roman" w:eastAsia="方正楷体_GBK" w:cs="Times New Roman"/>
          <w:b w:val="0"/>
          <w:bCs w:val="0"/>
          <w:color w:val="auto"/>
          <w:sz w:val="32"/>
          <w:szCs w:val="32"/>
          <w:lang w:val="en-US" w:eastAsia="zh-CN"/>
        </w:rPr>
        <w:t>推动跨部门综合监管智慧平台建设。</w:t>
      </w:r>
      <w:r>
        <w:rPr>
          <w:rFonts w:hint="eastAsia" w:ascii="Times New Roman" w:hAnsi="Times New Roman" w:eastAsia="方正仿宋_GBK" w:cs="Times New Roman"/>
          <w:color w:val="auto"/>
          <w:sz w:val="32"/>
          <w:szCs w:val="32"/>
          <w:lang w:val="en-US" w:eastAsia="zh-CN"/>
        </w:rPr>
        <w:t>充分运用大数据等新技术手段，建立健全源头追溯、线索移交、联合调查、联动执法等机制，推动综合监管规范化、精准化、智能化。要</w:t>
      </w:r>
      <w:r>
        <w:rPr>
          <w:rFonts w:hint="default" w:ascii="Times New Roman" w:hAnsi="Times New Roman" w:eastAsia="方正仿宋_GBK" w:cs="Times New Roman"/>
          <w:color w:val="auto"/>
          <w:sz w:val="32"/>
          <w:szCs w:val="32"/>
          <w:lang w:val="en-US" w:eastAsia="zh-CN"/>
        </w:rPr>
        <w:t>利用“互联网+监管”，搭建综合监管信息平台，汇集殡葬管理基础数据。积极发挥数据作用，建立数据决策分析库，及时发布殡葬动态信息，为制定殡葬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服务管理政策提供</w:t>
      </w:r>
      <w:r>
        <w:rPr>
          <w:rFonts w:hint="eastAsia" w:ascii="Times New Roman" w:hAnsi="Times New Roman" w:eastAsia="方正仿宋_GBK" w:cs="Times New Roman"/>
          <w:color w:val="auto"/>
          <w:sz w:val="32"/>
          <w:szCs w:val="32"/>
          <w:lang w:val="en-US" w:eastAsia="zh-CN"/>
        </w:rPr>
        <w:t>数据支撑</w:t>
      </w:r>
      <w:r>
        <w:rPr>
          <w:rFonts w:hint="default" w:ascii="Times New Roman" w:hAnsi="Times New Roman" w:eastAsia="方正仿宋_GBK" w:cs="Times New Roman"/>
          <w:color w:val="auto"/>
          <w:sz w:val="32"/>
          <w:szCs w:val="32"/>
          <w:lang w:val="en-US" w:eastAsia="zh-CN"/>
        </w:rPr>
        <w:t>；建立数据交换共享库，为财政、人社、医保、公积金等多部门</w:t>
      </w:r>
      <w:r>
        <w:rPr>
          <w:rFonts w:hint="eastAsia" w:ascii="Times New Roman" w:hAnsi="Times New Roman" w:eastAsia="方正仿宋_GBK" w:cs="Times New Roman"/>
          <w:color w:val="auto"/>
          <w:sz w:val="32"/>
          <w:szCs w:val="32"/>
          <w:lang w:val="en-US" w:eastAsia="zh-CN"/>
        </w:rPr>
        <w:t>“个人身后一件事”</w:t>
      </w:r>
      <w:r>
        <w:rPr>
          <w:rFonts w:hint="default" w:ascii="Times New Roman" w:hAnsi="Times New Roman" w:eastAsia="方正仿宋_GBK" w:cs="Times New Roman"/>
          <w:color w:val="auto"/>
          <w:sz w:val="32"/>
          <w:szCs w:val="32"/>
          <w:lang w:val="en-US" w:eastAsia="zh-CN"/>
        </w:rPr>
        <w:t>业务办理、业务注销、停发待遇提供数据参考依据。</w:t>
      </w:r>
      <w:r>
        <w:rPr>
          <w:rFonts w:hint="eastAsia" w:ascii="Times New Roman" w:hAnsi="Times New Roman" w:eastAsia="方正仿宋_GBK" w:cs="Times New Roman"/>
          <w:color w:val="auto"/>
          <w:sz w:val="32"/>
          <w:szCs w:val="32"/>
          <w:lang w:val="en-US" w:eastAsia="zh-CN"/>
        </w:rPr>
        <w:t>要完善平台链接功能，逐步将医院太平间、殡仪馆、公墓等场所的视频监控系统、遗体接运车辆管理系统以及数据资源交换共享平台、网上祭扫系统等有机对接</w:t>
      </w:r>
      <w:r>
        <w:rPr>
          <w:rFonts w:hint="default" w:ascii="Times New Roman" w:hAnsi="Times New Roman" w:eastAsia="方正仿宋_GBK" w:cs="Times New Roman"/>
          <w:color w:val="auto"/>
          <w:sz w:val="32"/>
          <w:szCs w:val="32"/>
          <w:lang w:val="en-US" w:eastAsia="zh-CN"/>
        </w:rPr>
        <w:t>，</w:t>
      </w:r>
      <w:r>
        <w:rPr>
          <w:rFonts w:hint="eastAsia" w:ascii="Times New Roman" w:hAnsi="Times New Roman" w:eastAsia="方正仿宋_GBK" w:cs="Times New Roman"/>
          <w:color w:val="auto"/>
          <w:sz w:val="32"/>
          <w:szCs w:val="32"/>
          <w:lang w:val="en-US" w:eastAsia="zh-CN"/>
        </w:rPr>
        <w:t>促进殡葬服务管理实现全要素监管，骨灰安放流程实现全链条追溯</w:t>
      </w:r>
      <w:r>
        <w:rPr>
          <w:rFonts w:hint="default" w:ascii="Times New Roman" w:hAnsi="Times New Roman" w:eastAsia="方正仿宋_GBK" w:cs="Times New Roman"/>
          <w:color w:val="auto"/>
          <w:sz w:val="32"/>
          <w:szCs w:val="32"/>
          <w:lang w:val="en-US" w:eastAsia="zh-CN"/>
        </w:rPr>
        <w:t>，规范殡葬服务秩序。</w:t>
      </w:r>
      <w:r>
        <w:rPr>
          <w:rFonts w:hint="eastAsia" w:ascii="Times New Roman" w:hAnsi="Times New Roman" w:eastAsia="方正仿宋_GBK" w:cs="Times New Roman"/>
          <w:color w:val="auto"/>
          <w:sz w:val="32"/>
          <w:szCs w:val="32"/>
          <w:lang w:val="en-US" w:eastAsia="zh-CN"/>
        </w:rPr>
        <w:t>要</w:t>
      </w:r>
      <w:r>
        <w:rPr>
          <w:rFonts w:hint="default" w:ascii="Times New Roman" w:hAnsi="Times New Roman" w:eastAsia="方正仿宋_GBK" w:cs="Times New Roman"/>
          <w:color w:val="auto"/>
          <w:sz w:val="32"/>
          <w:szCs w:val="32"/>
          <w:lang w:val="en-US" w:eastAsia="zh-CN"/>
        </w:rPr>
        <w:t>建设殡葬基础设施</w:t>
      </w:r>
      <w:r>
        <w:rPr>
          <w:rFonts w:hint="eastAsia" w:ascii="Times New Roman" w:hAnsi="Times New Roman" w:eastAsia="方正仿宋_GBK" w:cs="Times New Roman"/>
          <w:color w:val="auto"/>
          <w:sz w:val="32"/>
          <w:szCs w:val="32"/>
          <w:lang w:val="en-US" w:eastAsia="zh-CN"/>
        </w:rPr>
        <w:t>管理</w:t>
      </w:r>
      <w:r>
        <w:rPr>
          <w:rFonts w:hint="default" w:ascii="Times New Roman" w:hAnsi="Times New Roman" w:eastAsia="方正仿宋_GBK" w:cs="Times New Roman"/>
          <w:color w:val="auto"/>
          <w:sz w:val="32"/>
          <w:szCs w:val="32"/>
          <w:lang w:val="en-US" w:eastAsia="zh-CN"/>
        </w:rPr>
        <w:t>模块，由自然资源规划部门和民政部门定期上传殡葬设施图斑和实际用地</w:t>
      </w:r>
      <w:r>
        <w:rPr>
          <w:rFonts w:hint="eastAsia" w:ascii="Times New Roman" w:hAnsi="Times New Roman" w:eastAsia="方正仿宋_GBK" w:cs="Times New Roman"/>
          <w:color w:val="auto"/>
          <w:sz w:val="32"/>
          <w:szCs w:val="32"/>
          <w:lang w:val="en-US" w:eastAsia="zh-CN"/>
        </w:rPr>
        <w:t>信息</w:t>
      </w:r>
      <w:r>
        <w:rPr>
          <w:rFonts w:hint="default" w:ascii="Times New Roman" w:hAnsi="Times New Roman" w:eastAsia="方正仿宋_GBK" w:cs="Times New Roman"/>
          <w:color w:val="auto"/>
          <w:sz w:val="32"/>
          <w:szCs w:val="32"/>
          <w:lang w:val="en-US" w:eastAsia="zh-CN"/>
        </w:rPr>
        <w:t>，及时预警发现违法用地行为，实现殡葬设施用地规划、用地指标和实际用地相一致。</w:t>
      </w:r>
      <w:r>
        <w:rPr>
          <w:rFonts w:hint="eastAsia" w:ascii="Times New Roman" w:hAnsi="Times New Roman" w:eastAsia="方正仿宋_GBK" w:cs="Times New Roman"/>
          <w:color w:val="auto"/>
          <w:sz w:val="32"/>
          <w:szCs w:val="32"/>
          <w:lang w:val="en-US" w:eastAsia="zh-CN"/>
        </w:rPr>
        <w:t>要充分</w:t>
      </w:r>
      <w:r>
        <w:rPr>
          <w:rFonts w:hint="default" w:ascii="Times New Roman" w:hAnsi="Times New Roman" w:eastAsia="方正仿宋_GBK" w:cs="Times New Roman"/>
          <w:color w:val="auto"/>
          <w:sz w:val="32"/>
          <w:szCs w:val="32"/>
          <w:lang w:val="en-US" w:eastAsia="zh-CN"/>
        </w:rPr>
        <w:t>发挥平台调度作用</w:t>
      </w:r>
      <w:r>
        <w:rPr>
          <w:rFonts w:hint="eastAsia" w:ascii="Times New Roman" w:hAnsi="Times New Roman" w:eastAsia="方正仿宋_GBK" w:cs="Times New Roman"/>
          <w:color w:val="auto"/>
          <w:sz w:val="32"/>
          <w:szCs w:val="32"/>
          <w:lang w:val="en-US" w:eastAsia="zh-CN"/>
        </w:rPr>
        <w:t>，对</w:t>
      </w:r>
      <w:r>
        <w:rPr>
          <w:rFonts w:hint="default" w:ascii="Times New Roman" w:hAnsi="Times New Roman" w:eastAsia="方正仿宋_GBK" w:cs="Times New Roman"/>
          <w:color w:val="auto"/>
          <w:sz w:val="32"/>
          <w:szCs w:val="32"/>
          <w:lang w:val="en-US" w:eastAsia="zh-CN"/>
        </w:rPr>
        <w:t>殡葬领域“逝、殡、葬、祭”的业务流转、公众办理预约、车辆使用、祭扫活动等环节信息</w:t>
      </w:r>
      <w:r>
        <w:rPr>
          <w:rFonts w:hint="eastAsia" w:ascii="Times New Roman" w:hAnsi="Times New Roman" w:eastAsia="方正仿宋_GBK" w:cs="Times New Roman"/>
          <w:color w:val="auto"/>
          <w:sz w:val="32"/>
          <w:szCs w:val="32"/>
          <w:lang w:val="en-US" w:eastAsia="zh-CN"/>
        </w:rPr>
        <w:t>高效响应</w:t>
      </w:r>
      <w:r>
        <w:rPr>
          <w:rFonts w:hint="default" w:ascii="Times New Roman" w:hAnsi="Times New Roman" w:eastAsia="方正仿宋_GBK" w:cs="Times New Roman"/>
          <w:color w:val="auto"/>
          <w:sz w:val="32"/>
          <w:szCs w:val="32"/>
          <w:lang w:val="en-US" w:eastAsia="zh-CN"/>
        </w:rPr>
        <w:t>，以信息资源共享共治为基础，</w:t>
      </w:r>
      <w:r>
        <w:rPr>
          <w:rFonts w:hint="eastAsia" w:ascii="Times New Roman" w:hAnsi="Times New Roman" w:eastAsia="方正仿宋_GBK" w:cs="Times New Roman"/>
          <w:color w:val="auto"/>
          <w:sz w:val="32"/>
          <w:szCs w:val="32"/>
          <w:lang w:val="en-US" w:eastAsia="zh-CN"/>
        </w:rPr>
        <w:t>推进</w:t>
      </w:r>
      <w:r>
        <w:rPr>
          <w:rFonts w:hint="default" w:ascii="Times New Roman" w:hAnsi="Times New Roman" w:eastAsia="方正仿宋_GBK" w:cs="Times New Roman"/>
          <w:color w:val="auto"/>
          <w:sz w:val="32"/>
          <w:szCs w:val="32"/>
          <w:lang w:val="en-US" w:eastAsia="zh-CN"/>
        </w:rPr>
        <w:t>远程调度、合力监管</w:t>
      </w:r>
      <w:r>
        <w:rPr>
          <w:rFonts w:hint="eastAsia" w:ascii="Times New Roman" w:hAnsi="Times New Roman" w:eastAsia="方正仿宋_GBK" w:cs="Times New Roman"/>
          <w:color w:val="auto"/>
          <w:sz w:val="32"/>
          <w:szCs w:val="32"/>
          <w:lang w:val="en-US" w:eastAsia="zh-CN"/>
        </w:rPr>
        <w:t>。</w:t>
      </w:r>
    </w:p>
    <w:p w14:paraId="53A362E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b w:val="0"/>
          <w:bCs w:val="0"/>
          <w:color w:val="auto"/>
          <w:sz w:val="32"/>
          <w:szCs w:val="32"/>
          <w:lang w:val="en-US" w:eastAsia="zh-CN"/>
        </w:rPr>
        <w:t>（五）定期开展综合监管跟踪评估。</w:t>
      </w:r>
      <w:r>
        <w:rPr>
          <w:rFonts w:hint="eastAsia" w:ascii="Times New Roman" w:hAnsi="Times New Roman" w:eastAsia="方正仿宋_GBK" w:cs="Times New Roman"/>
          <w:color w:val="auto"/>
          <w:sz w:val="32"/>
          <w:szCs w:val="32"/>
          <w:lang w:val="en-US" w:eastAsia="zh-CN"/>
        </w:rPr>
        <w:t>要建立健全综合监管跟踪评估机制，开展综合监管情况和效果评估。</w:t>
      </w:r>
      <w:r>
        <w:rPr>
          <w:rFonts w:hint="default" w:ascii="Times New Roman" w:hAnsi="Times New Roman" w:eastAsia="方正仿宋_GBK" w:cs="Times New Roman"/>
          <w:color w:val="auto"/>
          <w:sz w:val="32"/>
          <w:szCs w:val="32"/>
          <w:lang w:val="en-US" w:eastAsia="zh-CN"/>
        </w:rPr>
        <w:t>通过用户评价、投诉举报等环节收集问题线索，形成联合监管工单，</w:t>
      </w:r>
      <w:r>
        <w:rPr>
          <w:rFonts w:hint="eastAsia" w:ascii="Times New Roman" w:hAnsi="Times New Roman" w:eastAsia="方正仿宋_GBK" w:cs="Times New Roman"/>
          <w:color w:val="auto"/>
          <w:sz w:val="32"/>
          <w:szCs w:val="32"/>
          <w:lang w:val="en-US" w:eastAsia="zh-CN"/>
        </w:rPr>
        <w:t>通过系统平台分</w:t>
      </w:r>
      <w:r>
        <w:rPr>
          <w:rFonts w:hint="default" w:ascii="Times New Roman" w:hAnsi="Times New Roman" w:eastAsia="方正仿宋_GBK" w:cs="Times New Roman"/>
          <w:color w:val="auto"/>
          <w:sz w:val="32"/>
          <w:szCs w:val="32"/>
          <w:lang w:val="en-US" w:eastAsia="zh-CN"/>
        </w:rPr>
        <w:t>发部门处理，</w:t>
      </w:r>
      <w:r>
        <w:rPr>
          <w:rFonts w:hint="eastAsia" w:ascii="Times New Roman" w:hAnsi="Times New Roman" w:eastAsia="方正仿宋_GBK" w:cs="Times New Roman"/>
          <w:color w:val="auto"/>
          <w:sz w:val="32"/>
          <w:szCs w:val="32"/>
          <w:lang w:val="en-US" w:eastAsia="zh-CN"/>
        </w:rPr>
        <w:t>跟踪</w:t>
      </w:r>
      <w:r>
        <w:rPr>
          <w:rFonts w:hint="default" w:ascii="Times New Roman" w:hAnsi="Times New Roman" w:eastAsia="方正仿宋_GBK" w:cs="Times New Roman"/>
          <w:color w:val="auto"/>
          <w:sz w:val="32"/>
          <w:szCs w:val="32"/>
          <w:lang w:val="en-US" w:eastAsia="zh-CN"/>
        </w:rPr>
        <w:t>督促完成反馈，形成问题闭环处置。通过</w:t>
      </w:r>
      <w:r>
        <w:rPr>
          <w:rFonts w:hint="eastAsia" w:ascii="Times New Roman" w:hAnsi="Times New Roman" w:eastAsia="方正仿宋_GBK" w:cs="Times New Roman"/>
          <w:color w:val="auto"/>
          <w:sz w:val="32"/>
          <w:szCs w:val="32"/>
          <w:lang w:val="en-US" w:eastAsia="zh-CN"/>
        </w:rPr>
        <w:t>整合</w:t>
      </w:r>
      <w:r>
        <w:rPr>
          <w:rFonts w:hint="default" w:ascii="Times New Roman" w:hAnsi="Times New Roman" w:eastAsia="方正仿宋_GBK" w:cs="Times New Roman"/>
          <w:color w:val="auto"/>
          <w:sz w:val="32"/>
          <w:szCs w:val="32"/>
          <w:lang w:val="en-US" w:eastAsia="zh-CN"/>
        </w:rPr>
        <w:t>部门联合监管成效、业务办理结果等各类数据资源内容，对违规收费、高价办丧等</w:t>
      </w:r>
      <w:r>
        <w:rPr>
          <w:rFonts w:hint="eastAsia" w:ascii="Times New Roman" w:hAnsi="Times New Roman" w:eastAsia="方正仿宋_GBK" w:cs="Times New Roman"/>
          <w:color w:val="auto"/>
          <w:sz w:val="32"/>
          <w:szCs w:val="32"/>
          <w:lang w:val="en-US" w:eastAsia="zh-CN"/>
        </w:rPr>
        <w:t>情形</w:t>
      </w:r>
      <w:r>
        <w:rPr>
          <w:rFonts w:hint="default" w:ascii="Times New Roman" w:hAnsi="Times New Roman" w:eastAsia="方正仿宋_GBK" w:cs="Times New Roman"/>
          <w:color w:val="auto"/>
          <w:sz w:val="32"/>
          <w:szCs w:val="32"/>
          <w:lang w:val="en-US" w:eastAsia="zh-CN"/>
        </w:rPr>
        <w:t>自动生成报告，提升监管效率。</w:t>
      </w:r>
      <w:r>
        <w:rPr>
          <w:rFonts w:hint="eastAsia" w:ascii="Times New Roman" w:hAnsi="Times New Roman" w:eastAsia="方正仿宋_GBK" w:cs="Times New Roman"/>
          <w:color w:val="auto"/>
          <w:sz w:val="32"/>
          <w:szCs w:val="32"/>
          <w:lang w:val="en-US" w:eastAsia="zh-CN"/>
        </w:rPr>
        <w:t>要建立健全定期督导检查工作机制，对殡葬行业综合监管进展情况进行跟踪检查和业务指导。对综合监管中存在的问题，及时进行会商、督导落实，形成闭环管理。加强殡葬服务信用建设，把相关个人和殡葬服务机构的信息数据和失信情况等纳入诚信体系，</w:t>
      </w:r>
      <w:r>
        <w:rPr>
          <w:rFonts w:hint="default" w:ascii="Times New Roman" w:hAnsi="Times New Roman" w:eastAsia="方正仿宋_GBK" w:cs="Times New Roman"/>
          <w:color w:val="auto"/>
          <w:sz w:val="32"/>
          <w:szCs w:val="32"/>
          <w:lang w:val="en-US" w:eastAsia="zh-CN"/>
        </w:rPr>
        <w:t>探索适合殡葬行业的信用监管模式，建立健全跨部门综合监管事项信用评价指标体系，明确分级分类标准及相应的协同措施。</w:t>
      </w:r>
      <w:r>
        <w:rPr>
          <w:rFonts w:hint="eastAsia" w:ascii="Times New Roman" w:hAnsi="Times New Roman" w:eastAsia="方正仿宋_GBK" w:cs="Times New Roman"/>
          <w:color w:val="auto"/>
          <w:sz w:val="32"/>
          <w:szCs w:val="32"/>
          <w:lang w:val="en-US" w:eastAsia="zh-CN"/>
        </w:rPr>
        <w:t>依托信用监管平台，全面记录殡葬服务市场主体在注册登记、资质审核、日常监管、公共服务及执法办案等各个环节中的信用行为，及</w:t>
      </w:r>
      <w:r>
        <w:rPr>
          <w:rFonts w:hint="default" w:ascii="Times New Roman" w:hAnsi="Times New Roman" w:eastAsia="方正仿宋_GBK" w:cs="Times New Roman"/>
          <w:color w:val="auto"/>
          <w:sz w:val="32"/>
          <w:szCs w:val="32"/>
          <w:lang w:val="en-US" w:eastAsia="zh-CN"/>
        </w:rPr>
        <w:t>时归集共享信用信息，实现违法信息在线披露和信用共享。</w:t>
      </w:r>
      <w:r>
        <w:rPr>
          <w:rFonts w:hint="eastAsia" w:ascii="Times New Roman" w:hAnsi="Times New Roman" w:eastAsia="方正仿宋_GBK" w:cs="Times New Roman"/>
          <w:color w:val="auto"/>
          <w:sz w:val="32"/>
          <w:szCs w:val="32"/>
          <w:lang w:val="en-US" w:eastAsia="zh-CN"/>
        </w:rPr>
        <w:t>聚焦殡葬服务机构的核心业务监管，全面汇聚、整合并共享监管对象的信用数据，同时实施联合惩戒措施</w:t>
      </w:r>
      <w:r>
        <w:rPr>
          <w:rFonts w:hint="default" w:ascii="Times New Roman" w:hAnsi="Times New Roman" w:eastAsia="方正仿宋_GBK" w:cs="Times New Roman"/>
          <w:color w:val="auto"/>
          <w:sz w:val="32"/>
          <w:szCs w:val="32"/>
          <w:lang w:val="en-US" w:eastAsia="zh-CN"/>
        </w:rPr>
        <w:t>，助力监管业务开展。</w:t>
      </w:r>
    </w:p>
    <w:p w14:paraId="0550EA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黑体_GBK" w:cs="Times New Roman"/>
          <w:color w:val="auto"/>
          <w:sz w:val="32"/>
          <w:szCs w:val="32"/>
          <w:lang w:val="en-US" w:eastAsia="zh-CN"/>
        </w:rPr>
      </w:pPr>
      <w:r>
        <w:rPr>
          <w:rFonts w:hint="eastAsia" w:ascii="Times New Roman" w:hAnsi="Times New Roman" w:eastAsia="方正黑体_GBK" w:cs="Times New Roman"/>
          <w:color w:val="auto"/>
          <w:sz w:val="32"/>
          <w:szCs w:val="32"/>
          <w:lang w:val="en-US" w:eastAsia="zh-CN"/>
        </w:rPr>
        <w:t>四</w:t>
      </w:r>
      <w:r>
        <w:rPr>
          <w:rFonts w:hint="default" w:ascii="Times New Roman" w:hAnsi="Times New Roman" w:eastAsia="方正黑体_GBK" w:cs="Times New Roman"/>
          <w:color w:val="auto"/>
          <w:sz w:val="32"/>
          <w:szCs w:val="32"/>
          <w:lang w:val="en-US" w:eastAsia="zh-CN"/>
        </w:rPr>
        <w:t>、保障措施</w:t>
      </w:r>
    </w:p>
    <w:p w14:paraId="6FBE075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楷体_GBK" w:cs="Times New Roman"/>
          <w:b w:val="0"/>
          <w:bCs w:val="0"/>
          <w:color w:val="auto"/>
          <w:sz w:val="32"/>
          <w:szCs w:val="32"/>
          <w:lang w:val="en-US" w:eastAsia="zh-CN"/>
        </w:rPr>
        <w:t>（一）加强组织领导。</w:t>
      </w:r>
      <w:r>
        <w:rPr>
          <w:rFonts w:hint="default" w:ascii="Times New Roman" w:hAnsi="Times New Roman" w:eastAsia="方正仿宋_GBK" w:cs="Times New Roman"/>
          <w:color w:val="auto"/>
          <w:sz w:val="32"/>
          <w:szCs w:val="32"/>
          <w:lang w:val="en-US" w:eastAsia="zh-CN"/>
        </w:rPr>
        <w:t>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跨部门综合监管工作涉及多</w:t>
      </w:r>
      <w:r>
        <w:rPr>
          <w:rFonts w:hint="eastAsia" w:ascii="Times New Roman" w:hAnsi="Times New Roman" w:eastAsia="方正仿宋_GBK" w:cs="Times New Roman"/>
          <w:color w:val="auto"/>
          <w:sz w:val="32"/>
          <w:szCs w:val="32"/>
          <w:lang w:val="en-US" w:eastAsia="zh-CN"/>
        </w:rPr>
        <w:t>个</w:t>
      </w:r>
      <w:r>
        <w:rPr>
          <w:rFonts w:hint="default" w:ascii="Times New Roman" w:hAnsi="Times New Roman" w:eastAsia="方正仿宋_GBK" w:cs="Times New Roman"/>
          <w:color w:val="auto"/>
          <w:sz w:val="32"/>
          <w:szCs w:val="32"/>
          <w:lang w:val="en-US" w:eastAsia="zh-CN"/>
        </w:rPr>
        <w:t>部门，各地要切实提高政治站位，把综合监管作为深化殡葬改革</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推进</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逝有所安</w:t>
      </w:r>
      <w:r>
        <w:rPr>
          <w:rFonts w:hint="eastAsia" w:ascii="Times New Roman" w:hAnsi="Times New Roman" w:eastAsia="方正仿宋_GBK" w:cs="Times New Roman"/>
          <w:color w:val="auto"/>
          <w:sz w:val="32"/>
          <w:szCs w:val="32"/>
          <w:lang w:val="en-US" w:eastAsia="zh-CN"/>
        </w:rPr>
        <w:t>”</w:t>
      </w:r>
      <w:r>
        <w:rPr>
          <w:rFonts w:hint="default" w:ascii="Times New Roman" w:hAnsi="Times New Roman" w:eastAsia="方正仿宋_GBK" w:cs="Times New Roman"/>
          <w:color w:val="auto"/>
          <w:sz w:val="32"/>
          <w:szCs w:val="32"/>
          <w:lang w:val="en-US" w:eastAsia="zh-CN"/>
        </w:rPr>
        <w:t>的重要内容，加强统筹谋划，加快推进落实。</w:t>
      </w:r>
      <w:r>
        <w:rPr>
          <w:rFonts w:hint="eastAsia" w:ascii="Times New Roman" w:hAnsi="Times New Roman" w:eastAsia="方正仿宋_GBK" w:cs="Times New Roman"/>
          <w:color w:val="auto"/>
          <w:sz w:val="32"/>
          <w:szCs w:val="32"/>
          <w:lang w:val="en-US" w:eastAsia="zh-CN"/>
        </w:rPr>
        <w:t>县级以上地方人民政府</w:t>
      </w:r>
      <w:r>
        <w:rPr>
          <w:rFonts w:hint="eastAsia" w:ascii="Times New Roman" w:hAnsi="Times New Roman" w:eastAsia="方正仿宋_GBK" w:cs="Times New Roman"/>
          <w:color w:val="auto"/>
          <w:kern w:val="2"/>
          <w:sz w:val="32"/>
          <w:szCs w:val="32"/>
          <w:lang w:val="en-US" w:eastAsia="zh-CN" w:bidi="ar-SA"/>
        </w:rPr>
        <w:t>对未履行相关监管职责的部门，要适时约谈其主要负责人，约谈情况和整改情况纳入对有关部门的工作评议、考核记录。</w:t>
      </w:r>
    </w:p>
    <w:p w14:paraId="698CB60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楷体_GBK" w:cs="Times New Roman"/>
          <w:b w:val="0"/>
          <w:bCs w:val="0"/>
          <w:color w:val="auto"/>
          <w:sz w:val="32"/>
          <w:szCs w:val="32"/>
          <w:lang w:val="en-US" w:eastAsia="zh-CN"/>
        </w:rPr>
        <w:t>（二）加强队伍建设。</w:t>
      </w:r>
      <w:r>
        <w:rPr>
          <w:rFonts w:hint="default" w:ascii="Times New Roman" w:hAnsi="Times New Roman" w:eastAsia="方正仿宋_GBK" w:cs="Times New Roman"/>
          <w:color w:val="auto"/>
          <w:sz w:val="32"/>
          <w:szCs w:val="32"/>
          <w:lang w:val="en-US" w:eastAsia="zh-CN"/>
        </w:rPr>
        <w:t>根据跨部门综合监管工作需要，各地要有针对性地开展多部门联合执法培训，做好人员、技术、设备和经费保障。坚持属地管理与部门联动，加强对殡葬服务全过程的监管，可以探索将殡葬执法纳入乡镇（街道）综合执法管理范畴，推动殡葬监管下沉、关口前移。各地要</w:t>
      </w:r>
      <w:r>
        <w:rPr>
          <w:rFonts w:hint="eastAsia" w:ascii="Times New Roman" w:hAnsi="Times New Roman" w:eastAsia="方正仿宋_GBK" w:cs="Times New Roman"/>
          <w:color w:val="auto"/>
          <w:sz w:val="32"/>
          <w:szCs w:val="32"/>
          <w:lang w:val="en-US" w:eastAsia="zh-CN"/>
        </w:rPr>
        <w:t>及时</w:t>
      </w:r>
      <w:r>
        <w:rPr>
          <w:rFonts w:hint="default" w:ascii="Times New Roman" w:hAnsi="Times New Roman" w:eastAsia="方正仿宋_GBK" w:cs="Times New Roman"/>
          <w:color w:val="auto"/>
          <w:sz w:val="32"/>
          <w:szCs w:val="32"/>
          <w:lang w:val="en-US" w:eastAsia="zh-CN"/>
        </w:rPr>
        <w:t>对一些典型的殡葬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执法案件进行总结，</w:t>
      </w:r>
      <w:r>
        <w:rPr>
          <w:rFonts w:hint="eastAsia" w:ascii="Times New Roman" w:hAnsi="Times New Roman" w:eastAsia="方正仿宋_GBK" w:cs="Times New Roman"/>
          <w:color w:val="auto"/>
          <w:sz w:val="32"/>
          <w:szCs w:val="32"/>
          <w:lang w:val="en-US" w:eastAsia="zh-CN"/>
        </w:rPr>
        <w:t>不断</w:t>
      </w:r>
      <w:r>
        <w:rPr>
          <w:rFonts w:hint="default" w:ascii="Times New Roman" w:hAnsi="Times New Roman" w:eastAsia="方正仿宋_GBK" w:cs="Times New Roman"/>
          <w:color w:val="auto"/>
          <w:sz w:val="32"/>
          <w:szCs w:val="32"/>
          <w:lang w:val="en-US" w:eastAsia="zh-CN"/>
        </w:rPr>
        <w:t>规范执法资格、调查取证、案件文书，形成一批执法案例卷宗，用以指导殡葬</w:t>
      </w:r>
      <w:r>
        <w:rPr>
          <w:rFonts w:hint="eastAsia" w:ascii="Times New Roman" w:hAnsi="Times New Roman" w:eastAsia="方正仿宋_GBK" w:cs="Times New Roman"/>
          <w:color w:val="auto"/>
          <w:sz w:val="32"/>
          <w:szCs w:val="32"/>
          <w:lang w:val="en-US" w:eastAsia="zh-CN"/>
        </w:rPr>
        <w:t>行业</w:t>
      </w:r>
      <w:r>
        <w:rPr>
          <w:rFonts w:hint="default" w:ascii="Times New Roman" w:hAnsi="Times New Roman" w:eastAsia="方正仿宋_GBK" w:cs="Times New Roman"/>
          <w:color w:val="auto"/>
          <w:sz w:val="32"/>
          <w:szCs w:val="32"/>
          <w:lang w:val="en-US" w:eastAsia="zh-CN"/>
        </w:rPr>
        <w:t>执法实践。</w:t>
      </w:r>
    </w:p>
    <w:p w14:paraId="59411EC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楷体_GBK" w:cs="Times New Roman"/>
          <w:b w:val="0"/>
          <w:bCs w:val="0"/>
          <w:color w:val="auto"/>
          <w:sz w:val="32"/>
          <w:szCs w:val="32"/>
          <w:lang w:val="en-US" w:eastAsia="zh-CN"/>
        </w:rPr>
        <w:t>（三）加强宣传引导。</w:t>
      </w:r>
      <w:r>
        <w:rPr>
          <w:rFonts w:hint="default" w:ascii="Times New Roman" w:hAnsi="Times New Roman" w:eastAsia="方正仿宋_GBK" w:cs="Times New Roman"/>
          <w:color w:val="auto"/>
          <w:sz w:val="32"/>
          <w:szCs w:val="32"/>
          <w:lang w:val="en-US" w:eastAsia="zh-CN"/>
        </w:rPr>
        <w:t>各地要把跨部门综合监管与保障群众合法权益、提升殡葬服务质量、促进殡葬事业健康发展结合起来，</w:t>
      </w:r>
      <w:r>
        <w:rPr>
          <w:rFonts w:hint="eastAsia" w:ascii="Times New Roman" w:hAnsi="Times New Roman" w:eastAsia="方正仿宋_GBK" w:cs="Times New Roman"/>
          <w:color w:val="auto"/>
          <w:sz w:val="32"/>
          <w:szCs w:val="32"/>
          <w:lang w:val="en-US" w:eastAsia="zh-CN"/>
        </w:rPr>
        <w:t>利用媒体平台和多样化的宣传形式，深入普及殡葬管理法律法规及相关政策，增强群众的认知度，并激发公众参与跨部门综合监管的积极性。</w:t>
      </w:r>
      <w:r>
        <w:rPr>
          <w:rFonts w:hint="default" w:ascii="Times New Roman" w:hAnsi="Times New Roman" w:eastAsia="方正仿宋_GBK" w:cs="Times New Roman"/>
          <w:color w:val="auto"/>
          <w:sz w:val="32"/>
          <w:szCs w:val="32"/>
          <w:lang w:val="en-US" w:eastAsia="zh-CN"/>
        </w:rPr>
        <w:t>充分发挥党员干部表率作用，大力宣传丧葬习俗改革中以身作则的先进事例，形成示范带动效应。充分发挥</w:t>
      </w:r>
      <w:r>
        <w:rPr>
          <w:rFonts w:hint="eastAsia" w:ascii="Times New Roman" w:hAnsi="Times New Roman" w:eastAsia="方正仿宋_GBK" w:cs="Times New Roman"/>
          <w:color w:val="auto"/>
          <w:sz w:val="32"/>
          <w:szCs w:val="32"/>
          <w:lang w:val="en-US" w:eastAsia="zh-CN"/>
        </w:rPr>
        <w:t>殡葬协会、</w:t>
      </w:r>
      <w:r>
        <w:rPr>
          <w:rFonts w:hint="default" w:ascii="Times New Roman" w:hAnsi="Times New Roman" w:eastAsia="方正仿宋_GBK" w:cs="Times New Roman"/>
          <w:color w:val="auto"/>
          <w:sz w:val="32"/>
          <w:szCs w:val="32"/>
          <w:lang w:val="en-US" w:eastAsia="zh-CN"/>
        </w:rPr>
        <w:t>村（居）红白理事会</w:t>
      </w:r>
      <w:r>
        <w:rPr>
          <w:rFonts w:hint="eastAsia" w:ascii="Times New Roman" w:hAnsi="Times New Roman" w:eastAsia="方正仿宋_GBK" w:cs="Times New Roman"/>
          <w:color w:val="auto"/>
          <w:sz w:val="32"/>
          <w:szCs w:val="32"/>
          <w:lang w:val="en-US" w:eastAsia="zh-CN"/>
        </w:rPr>
        <w:t>的</w:t>
      </w:r>
      <w:r>
        <w:rPr>
          <w:rFonts w:hint="default" w:ascii="Times New Roman" w:hAnsi="Times New Roman" w:eastAsia="方正仿宋_GBK" w:cs="Times New Roman"/>
          <w:color w:val="auto"/>
          <w:sz w:val="32"/>
          <w:szCs w:val="32"/>
          <w:lang w:val="en-US" w:eastAsia="zh-CN"/>
        </w:rPr>
        <w:t>宣传、引导作用，努力营造公平有序的发展环境。</w:t>
      </w:r>
    </w:p>
    <w:p w14:paraId="211D0EB2">
      <w:pPr>
        <w:pStyle w:val="9"/>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color w:val="auto"/>
          <w:sz w:val="32"/>
          <w:szCs w:val="32"/>
          <w:lang w:val="en-US" w:eastAsia="zh-CN"/>
        </w:rPr>
      </w:pPr>
    </w:p>
    <w:p w14:paraId="362DA0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附件：江苏省殡葬行业跨部门综合监管重点事项清单</w:t>
      </w:r>
    </w:p>
    <w:p w14:paraId="78B3372D">
      <w:pPr>
        <w:pStyle w:val="9"/>
        <w:rPr>
          <w:rFonts w:hint="default" w:ascii="Times New Roman" w:hAnsi="Times New Roman" w:eastAsia="方正仿宋_GBK" w:cs="Times New Roman"/>
          <w:color w:val="auto"/>
          <w:sz w:val="32"/>
          <w:szCs w:val="32"/>
          <w:lang w:val="en-US" w:eastAsia="zh-CN"/>
        </w:rPr>
      </w:pPr>
    </w:p>
    <w:p w14:paraId="77B17E24">
      <w:pPr>
        <w:pStyle w:val="9"/>
        <w:rPr>
          <w:rFonts w:hint="default" w:ascii="Times New Roman" w:hAnsi="Times New Roman" w:eastAsia="方正仿宋_GBK" w:cs="Times New Roman"/>
          <w:color w:val="auto"/>
          <w:sz w:val="32"/>
          <w:szCs w:val="32"/>
          <w:lang w:val="en-US" w:eastAsia="zh-CN"/>
        </w:rPr>
      </w:pPr>
    </w:p>
    <w:p w14:paraId="0EBADC19">
      <w:pPr>
        <w:pStyle w:val="9"/>
        <w:wordWrap/>
        <w:ind w:left="0" w:leftChars="0" w:firstLine="0" w:firstLineChars="0"/>
        <w:jc w:val="both"/>
        <w:rPr>
          <w:rFonts w:hint="eastAsia" w:ascii="方正仿宋_GBK" w:hAnsi="方正仿宋_GBK" w:eastAsia="方正仿宋_GBK" w:cs="方正仿宋_GBK"/>
          <w:color w:val="auto"/>
          <w:sz w:val="32"/>
          <w:szCs w:val="40"/>
          <w:lang w:val="en-US" w:eastAsia="zh-CN"/>
        </w:rPr>
      </w:pPr>
      <w:r>
        <w:rPr>
          <w:rFonts w:hint="eastAsia" w:ascii="Times New Roman" w:hAnsi="Times New Roman" w:eastAsia="方正仿宋_GBK" w:cs="Times New Roman"/>
          <w:color w:val="auto"/>
          <w:sz w:val="32"/>
          <w:szCs w:val="32"/>
          <w:lang w:val="en-US" w:eastAsia="zh-CN"/>
        </w:rPr>
        <w:t>江苏省民政厅</w:t>
      </w:r>
      <w:r>
        <w:rPr>
          <w:rFonts w:hint="eastAsia" w:ascii="方正仿宋_GBK" w:hAnsi="方正仿宋_GBK" w:eastAsia="方正仿宋_GBK" w:cs="方正仿宋_GBK"/>
          <w:color w:val="auto"/>
          <w:sz w:val="32"/>
          <w:szCs w:val="40"/>
          <w:lang w:val="en-US" w:eastAsia="zh-CN"/>
        </w:rPr>
        <w:t xml:space="preserve">       江苏省委网信办      江苏省</w:t>
      </w:r>
      <w:r>
        <w:rPr>
          <w:rFonts w:hint="eastAsia" w:ascii="方正仿宋_GBK" w:hAnsi="方正仿宋_GBK" w:eastAsia="方正仿宋_GBK" w:cs="方正仿宋_GBK"/>
          <w:color w:val="auto"/>
          <w:sz w:val="32"/>
          <w:szCs w:val="40"/>
        </w:rPr>
        <w:t>发展改革</w:t>
      </w:r>
      <w:r>
        <w:rPr>
          <w:rFonts w:hint="eastAsia" w:ascii="方正仿宋_GBK" w:hAnsi="方正仿宋_GBK" w:eastAsia="方正仿宋_GBK" w:cs="方正仿宋_GBK"/>
          <w:color w:val="auto"/>
          <w:sz w:val="32"/>
          <w:szCs w:val="40"/>
          <w:lang w:val="en-US" w:eastAsia="zh-CN"/>
        </w:rPr>
        <w:t>委</w:t>
      </w:r>
    </w:p>
    <w:p w14:paraId="30ED7A6C">
      <w:pPr>
        <w:pStyle w:val="9"/>
        <w:wordWrap/>
        <w:ind w:left="0" w:leftChars="0" w:firstLine="0" w:firstLineChars="0"/>
        <w:jc w:val="both"/>
        <w:rPr>
          <w:rFonts w:hint="eastAsia" w:ascii="方正仿宋_GBK" w:hAnsi="方正仿宋_GBK" w:eastAsia="方正仿宋_GBK" w:cs="方正仿宋_GBK"/>
          <w:color w:val="auto"/>
          <w:sz w:val="32"/>
          <w:szCs w:val="40"/>
          <w:lang w:val="en-US" w:eastAsia="zh-CN"/>
        </w:rPr>
      </w:pPr>
      <w:r>
        <w:rPr>
          <w:rFonts w:hint="eastAsia" w:ascii="方正仿宋_GBK" w:hAnsi="方正仿宋_GBK" w:eastAsia="方正仿宋_GBK" w:cs="方正仿宋_GBK"/>
          <w:color w:val="auto"/>
          <w:sz w:val="32"/>
          <w:szCs w:val="40"/>
          <w:lang w:val="en-US" w:eastAsia="zh-CN"/>
        </w:rPr>
        <w:t>江苏省</w:t>
      </w:r>
      <w:r>
        <w:rPr>
          <w:rFonts w:hint="eastAsia" w:ascii="方正仿宋_GBK" w:hAnsi="方正仿宋_GBK" w:eastAsia="方正仿宋_GBK" w:cs="方正仿宋_GBK"/>
          <w:color w:val="auto"/>
          <w:sz w:val="32"/>
          <w:szCs w:val="40"/>
        </w:rPr>
        <w:t>工业和信息化</w:t>
      </w:r>
      <w:r>
        <w:rPr>
          <w:rFonts w:hint="eastAsia" w:ascii="方正仿宋_GBK" w:hAnsi="方正仿宋_GBK" w:eastAsia="方正仿宋_GBK" w:cs="方正仿宋_GBK"/>
          <w:color w:val="auto"/>
          <w:sz w:val="32"/>
          <w:szCs w:val="40"/>
          <w:lang w:val="en-US" w:eastAsia="zh-CN"/>
        </w:rPr>
        <w:t>厅   江苏省</w:t>
      </w:r>
      <w:r>
        <w:rPr>
          <w:rFonts w:hint="eastAsia" w:ascii="Times New Roman" w:hAnsi="Times New Roman" w:eastAsia="方正仿宋_GBK" w:cs="Times New Roman"/>
          <w:b w:val="0"/>
          <w:bCs w:val="0"/>
          <w:color w:val="auto"/>
          <w:sz w:val="32"/>
          <w:szCs w:val="32"/>
          <w:lang w:val="en-US" w:eastAsia="zh-CN"/>
        </w:rPr>
        <w:t xml:space="preserve">公安厅    </w:t>
      </w:r>
      <w:r>
        <w:rPr>
          <w:rFonts w:hint="eastAsia" w:ascii="方正仿宋_GBK" w:hAnsi="方正仿宋_GBK" w:eastAsia="方正仿宋_GBK" w:cs="方正仿宋_GBK"/>
          <w:color w:val="auto"/>
          <w:sz w:val="32"/>
          <w:szCs w:val="40"/>
          <w:lang w:val="en-US" w:eastAsia="zh-CN"/>
        </w:rPr>
        <w:t>江苏省</w:t>
      </w:r>
      <w:r>
        <w:rPr>
          <w:rFonts w:hint="eastAsia" w:ascii="方正仿宋_GBK" w:hAnsi="方正仿宋_GBK" w:eastAsia="方正仿宋_GBK" w:cs="方正仿宋_GBK"/>
          <w:color w:val="auto"/>
          <w:sz w:val="32"/>
          <w:szCs w:val="40"/>
        </w:rPr>
        <w:t>自然资源</w:t>
      </w:r>
      <w:r>
        <w:rPr>
          <w:rFonts w:hint="eastAsia" w:ascii="方正仿宋_GBK" w:hAnsi="方正仿宋_GBK" w:eastAsia="方正仿宋_GBK" w:cs="方正仿宋_GBK"/>
          <w:color w:val="auto"/>
          <w:sz w:val="32"/>
          <w:szCs w:val="40"/>
          <w:lang w:val="en-US" w:eastAsia="zh-CN"/>
        </w:rPr>
        <w:t>厅</w:t>
      </w:r>
    </w:p>
    <w:p w14:paraId="35C1D9CD">
      <w:pPr>
        <w:pStyle w:val="9"/>
        <w:wordWrap w:val="0"/>
        <w:ind w:left="0" w:leftChars="0" w:firstLine="0" w:firstLineChars="0"/>
        <w:jc w:val="both"/>
        <w:rPr>
          <w:rFonts w:hint="eastAsia" w:ascii="方正仿宋_GBK" w:hAnsi="方正仿宋_GBK" w:eastAsia="方正仿宋_GBK" w:cs="方正仿宋_GBK"/>
          <w:color w:val="auto"/>
          <w:sz w:val="32"/>
          <w:szCs w:val="40"/>
          <w:lang w:val="en-US" w:eastAsia="zh-CN"/>
        </w:rPr>
      </w:pPr>
      <w:r>
        <w:rPr>
          <w:rFonts w:hint="eastAsia" w:ascii="方正仿宋_GBK" w:hAnsi="方正仿宋_GBK" w:eastAsia="方正仿宋_GBK" w:cs="方正仿宋_GBK"/>
          <w:color w:val="auto"/>
          <w:sz w:val="32"/>
          <w:szCs w:val="40"/>
          <w:lang w:val="en-US" w:eastAsia="zh-CN"/>
        </w:rPr>
        <w:t>江苏省</w:t>
      </w:r>
      <w:r>
        <w:rPr>
          <w:rFonts w:hint="eastAsia" w:ascii="方正仿宋_GBK" w:hAnsi="方正仿宋_GBK" w:eastAsia="方正仿宋_GBK" w:cs="方正仿宋_GBK"/>
          <w:color w:val="auto"/>
          <w:sz w:val="32"/>
          <w:szCs w:val="40"/>
        </w:rPr>
        <w:t>住房和城乡建设</w:t>
      </w:r>
      <w:r>
        <w:rPr>
          <w:rFonts w:hint="eastAsia" w:ascii="方正仿宋_GBK" w:hAnsi="方正仿宋_GBK" w:eastAsia="方正仿宋_GBK" w:cs="方正仿宋_GBK"/>
          <w:color w:val="auto"/>
          <w:sz w:val="32"/>
          <w:szCs w:val="40"/>
          <w:lang w:val="en-US" w:eastAsia="zh-CN"/>
        </w:rPr>
        <w:t>厅   江苏省</w:t>
      </w:r>
      <w:r>
        <w:rPr>
          <w:rFonts w:hint="eastAsia" w:ascii="方正仿宋_GBK" w:hAnsi="方正仿宋_GBK" w:eastAsia="方正仿宋_GBK" w:cs="方正仿宋_GBK"/>
          <w:color w:val="auto"/>
          <w:sz w:val="32"/>
          <w:szCs w:val="40"/>
        </w:rPr>
        <w:t>交通运输</w:t>
      </w:r>
      <w:r>
        <w:rPr>
          <w:rFonts w:hint="eastAsia" w:ascii="方正仿宋_GBK" w:hAnsi="方正仿宋_GBK" w:eastAsia="方正仿宋_GBK" w:cs="方正仿宋_GBK"/>
          <w:color w:val="auto"/>
          <w:sz w:val="32"/>
          <w:szCs w:val="40"/>
          <w:lang w:val="en-US" w:eastAsia="zh-CN"/>
        </w:rPr>
        <w:t>厅  江苏省</w:t>
      </w:r>
      <w:r>
        <w:rPr>
          <w:rFonts w:hint="eastAsia" w:ascii="方正仿宋_GBK" w:hAnsi="方正仿宋_GBK" w:eastAsia="方正仿宋_GBK" w:cs="方正仿宋_GBK"/>
          <w:color w:val="auto"/>
          <w:sz w:val="32"/>
          <w:szCs w:val="40"/>
        </w:rPr>
        <w:t>水利</w:t>
      </w:r>
      <w:r>
        <w:rPr>
          <w:rFonts w:hint="eastAsia" w:ascii="方正仿宋_GBK" w:hAnsi="方正仿宋_GBK" w:eastAsia="方正仿宋_GBK" w:cs="方正仿宋_GBK"/>
          <w:color w:val="auto"/>
          <w:sz w:val="32"/>
          <w:szCs w:val="40"/>
          <w:lang w:val="en-US" w:eastAsia="zh-CN"/>
        </w:rPr>
        <w:t>厅</w:t>
      </w:r>
    </w:p>
    <w:p w14:paraId="3420FB55">
      <w:pPr>
        <w:pStyle w:val="9"/>
        <w:wordWrap w:val="0"/>
        <w:ind w:left="0" w:leftChars="0" w:firstLine="0" w:firstLineChars="0"/>
        <w:jc w:val="both"/>
        <w:rPr>
          <w:rFonts w:hint="eastAsia" w:ascii="方正仿宋_GBK" w:hAnsi="方正仿宋_GBK" w:eastAsia="方正仿宋_GBK" w:cs="方正仿宋_GBK"/>
          <w:color w:val="auto"/>
          <w:sz w:val="32"/>
          <w:szCs w:val="40"/>
          <w:lang w:val="en-US" w:eastAsia="zh-CN"/>
        </w:rPr>
      </w:pPr>
      <w:r>
        <w:rPr>
          <w:rFonts w:hint="eastAsia" w:ascii="方正仿宋_GBK" w:hAnsi="方正仿宋_GBK" w:eastAsia="方正仿宋_GBK" w:cs="方正仿宋_GBK"/>
          <w:color w:val="auto"/>
          <w:sz w:val="32"/>
          <w:szCs w:val="40"/>
          <w:lang w:val="en-US" w:eastAsia="zh-CN"/>
        </w:rPr>
        <w:t>江苏省</w:t>
      </w:r>
      <w:r>
        <w:rPr>
          <w:rFonts w:hint="eastAsia" w:ascii="方正仿宋_GBK" w:hAnsi="方正仿宋_GBK" w:eastAsia="方正仿宋_GBK" w:cs="方正仿宋_GBK"/>
          <w:color w:val="auto"/>
          <w:sz w:val="32"/>
          <w:szCs w:val="40"/>
        </w:rPr>
        <w:t>农业农村</w:t>
      </w:r>
      <w:r>
        <w:rPr>
          <w:rFonts w:hint="eastAsia" w:ascii="方正仿宋_GBK" w:hAnsi="方正仿宋_GBK" w:eastAsia="方正仿宋_GBK" w:cs="方正仿宋_GBK"/>
          <w:color w:val="auto"/>
          <w:sz w:val="32"/>
          <w:szCs w:val="40"/>
          <w:lang w:val="en-US" w:eastAsia="zh-CN"/>
        </w:rPr>
        <w:t>厅   江苏省</w:t>
      </w:r>
      <w:r>
        <w:rPr>
          <w:rFonts w:hint="eastAsia" w:ascii="方正仿宋_GBK" w:hAnsi="方正仿宋_GBK" w:eastAsia="方正仿宋_GBK" w:cs="方正仿宋_GBK"/>
          <w:color w:val="auto"/>
          <w:sz w:val="32"/>
          <w:szCs w:val="40"/>
        </w:rPr>
        <w:t>卫生健康</w:t>
      </w:r>
      <w:r>
        <w:rPr>
          <w:rFonts w:hint="eastAsia" w:ascii="方正仿宋_GBK" w:hAnsi="方正仿宋_GBK" w:eastAsia="方正仿宋_GBK" w:cs="方正仿宋_GBK"/>
          <w:color w:val="auto"/>
          <w:sz w:val="32"/>
          <w:szCs w:val="40"/>
          <w:lang w:val="en-US" w:eastAsia="zh-CN"/>
        </w:rPr>
        <w:t>委    江苏省</w:t>
      </w:r>
      <w:r>
        <w:rPr>
          <w:rFonts w:hint="eastAsia" w:ascii="方正仿宋_GBK" w:hAnsi="方正仿宋_GBK" w:eastAsia="方正仿宋_GBK" w:cs="方正仿宋_GBK"/>
          <w:color w:val="auto"/>
          <w:sz w:val="32"/>
          <w:szCs w:val="40"/>
        </w:rPr>
        <w:t>应急管理</w:t>
      </w:r>
      <w:r>
        <w:rPr>
          <w:rFonts w:hint="eastAsia" w:ascii="方正仿宋_GBK" w:hAnsi="方正仿宋_GBK" w:eastAsia="方正仿宋_GBK" w:cs="方正仿宋_GBK"/>
          <w:color w:val="auto"/>
          <w:sz w:val="32"/>
          <w:szCs w:val="40"/>
          <w:lang w:val="en-US" w:eastAsia="zh-CN"/>
        </w:rPr>
        <w:t>厅</w:t>
      </w:r>
    </w:p>
    <w:p w14:paraId="28A6A3A9">
      <w:pPr>
        <w:pStyle w:val="9"/>
        <w:wordWrap w:val="0"/>
        <w:ind w:left="0" w:leftChars="0" w:firstLine="0" w:firstLineChars="0"/>
        <w:jc w:val="both"/>
        <w:rPr>
          <w:rFonts w:hint="default" w:ascii="Times New Roman" w:hAnsi="Times New Roman" w:eastAsia="方正仿宋_GBK" w:cs="Times New Roman"/>
          <w:color w:val="auto"/>
          <w:sz w:val="32"/>
          <w:szCs w:val="32"/>
          <w:lang w:val="en-US" w:eastAsia="zh-CN"/>
        </w:rPr>
      </w:pPr>
      <w:r>
        <w:rPr>
          <w:rFonts w:hint="eastAsia" w:ascii="方正仿宋_GBK" w:hAnsi="方正仿宋_GBK" w:eastAsia="方正仿宋_GBK" w:cs="方正仿宋_GBK"/>
          <w:color w:val="auto"/>
          <w:sz w:val="32"/>
          <w:szCs w:val="40"/>
          <w:lang w:val="en-US" w:eastAsia="zh-CN"/>
        </w:rPr>
        <w:t>江苏省</w:t>
      </w:r>
      <w:r>
        <w:rPr>
          <w:rFonts w:hint="eastAsia" w:ascii="方正仿宋_GBK" w:hAnsi="方正仿宋_GBK" w:eastAsia="方正仿宋_GBK" w:cs="方正仿宋_GBK"/>
          <w:color w:val="auto"/>
          <w:sz w:val="32"/>
          <w:szCs w:val="40"/>
        </w:rPr>
        <w:t>市场监管</w:t>
      </w:r>
      <w:r>
        <w:rPr>
          <w:rFonts w:hint="eastAsia" w:ascii="方正仿宋_GBK" w:hAnsi="方正仿宋_GBK" w:eastAsia="方正仿宋_GBK" w:cs="方正仿宋_GBK"/>
          <w:color w:val="auto"/>
          <w:sz w:val="32"/>
          <w:szCs w:val="40"/>
          <w:lang w:val="en-US" w:eastAsia="zh-CN"/>
        </w:rPr>
        <w:t>局   江苏省</w:t>
      </w:r>
      <w:r>
        <w:rPr>
          <w:rFonts w:hint="eastAsia" w:ascii="方正仿宋_GBK" w:hAnsi="方正仿宋_GBK" w:eastAsia="方正仿宋_GBK" w:cs="方正仿宋_GBK"/>
          <w:color w:val="auto"/>
          <w:sz w:val="32"/>
          <w:szCs w:val="40"/>
        </w:rPr>
        <w:t>林业</w:t>
      </w:r>
      <w:r>
        <w:rPr>
          <w:rFonts w:hint="eastAsia" w:ascii="方正仿宋_GBK" w:hAnsi="方正仿宋_GBK" w:eastAsia="方正仿宋_GBK" w:cs="方正仿宋_GBK"/>
          <w:color w:val="auto"/>
          <w:sz w:val="32"/>
          <w:szCs w:val="40"/>
          <w:lang w:val="en-US" w:eastAsia="zh-CN"/>
        </w:rPr>
        <w:t>局  中国人民银行江苏省分行</w:t>
      </w:r>
    </w:p>
    <w:p w14:paraId="68430C90">
      <w:pPr>
        <w:pStyle w:val="9"/>
        <w:wordWrap w:val="0"/>
        <w:jc w:val="right"/>
        <w:rPr>
          <w:rFonts w:hint="default" w:ascii="Times New Roman" w:hAnsi="Times New Roman" w:eastAsia="仿宋"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 xml:space="preserve">  2025年  月  日       </w:t>
      </w:r>
    </w:p>
    <w:p w14:paraId="14F30D9B">
      <w:pPr>
        <w:pStyle w:val="9"/>
        <w:keepNext w:val="0"/>
        <w:keepLines w:val="0"/>
        <w:pageBreakBefore w:val="0"/>
        <w:widowControl w:val="0"/>
        <w:kinsoku/>
        <w:wordWrap/>
        <w:topLinePunct w:val="0"/>
        <w:autoSpaceDE/>
        <w:autoSpaceDN/>
        <w:bidi w:val="0"/>
        <w:spacing w:line="560" w:lineRule="exact"/>
        <w:ind w:left="0" w:leftChars="0" w:firstLine="0" w:firstLineChars="0"/>
        <w:textAlignment w:val="auto"/>
        <w:rPr>
          <w:rFonts w:hint="default" w:ascii="Times New Roman" w:hAnsi="Times New Roman" w:eastAsia="仿宋" w:cs="Times New Roman"/>
          <w:color w:val="auto"/>
          <w:sz w:val="32"/>
          <w:szCs w:val="32"/>
          <w:lang w:val="en-US" w:eastAsia="zh-CN"/>
        </w:rPr>
        <w:sectPr>
          <w:footerReference r:id="rId3" w:type="default"/>
          <w:pgSz w:w="11906" w:h="16838"/>
          <w:pgMar w:top="2098" w:right="1531" w:bottom="1984" w:left="1531" w:header="851" w:footer="992" w:gutter="0"/>
          <w:pgNumType w:fmt="decimal"/>
          <w:cols w:space="720" w:num="1"/>
          <w:rtlGutter w:val="0"/>
          <w:docGrid w:type="lines" w:linePitch="312" w:charSpace="0"/>
        </w:sectPr>
      </w:pPr>
    </w:p>
    <w:p w14:paraId="5404CA86">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color w:val="auto"/>
          <w:sz w:val="32"/>
          <w:szCs w:val="32"/>
          <w:lang w:val="en-US" w:eastAsia="zh-CN"/>
        </w:rPr>
      </w:pPr>
      <w:r>
        <w:rPr>
          <w:rFonts w:hint="eastAsia" w:ascii="Times New Roman" w:hAnsi="Times New Roman" w:eastAsia="方正仿宋_GBK" w:cs="Times New Roman"/>
          <w:color w:val="auto"/>
          <w:sz w:val="32"/>
          <w:szCs w:val="32"/>
          <w:lang w:val="en-US" w:eastAsia="zh-CN"/>
        </w:rPr>
        <w:t>附件：</w:t>
      </w:r>
      <w:bookmarkStart w:id="0" w:name="_GoBack"/>
      <w:bookmarkEnd w:id="0"/>
    </w:p>
    <w:p w14:paraId="31744AF7">
      <w:pPr>
        <w:keepNext w:val="0"/>
        <w:keepLines w:val="0"/>
        <w:pageBreakBefore w:val="0"/>
        <w:widowControl w:val="0"/>
        <w:numPr>
          <w:ilvl w:val="0"/>
          <w:numId w:val="0"/>
        </w:numPr>
        <w:kinsoku/>
        <w:wordWrap/>
        <w:overflowPunct w:val="0"/>
        <w:topLinePunct w:val="0"/>
        <w:autoSpaceDE/>
        <w:autoSpaceDN/>
        <w:bidi w:val="0"/>
        <w:adjustRightInd w:val="0"/>
        <w:snapToGrid w:val="0"/>
        <w:spacing w:before="157" w:beforeLines="50" w:after="157" w:afterLines="50" w:line="560" w:lineRule="exact"/>
        <w:jc w:val="center"/>
        <w:textAlignment w:val="auto"/>
        <w:rPr>
          <w:rFonts w:hint="eastAsia"/>
          <w:color w:val="auto"/>
        </w:rPr>
      </w:pPr>
      <w:r>
        <w:rPr>
          <w:rFonts w:hint="eastAsia" w:ascii="方正小标宋_GBK" w:hAnsi="方正小标宋_GBK" w:eastAsia="方正小标宋_GBK" w:cs="方正小标宋_GBK"/>
          <w:b w:val="0"/>
          <w:bCs w:val="0"/>
          <w:color w:val="auto"/>
          <w:sz w:val="44"/>
          <w:szCs w:val="44"/>
          <w:lang w:val="en-US" w:eastAsia="zh-CN"/>
        </w:rPr>
        <w:t>江苏省殡葬行业跨部门综合监管重点事项清单</w:t>
      </w:r>
    </w:p>
    <w:tbl>
      <w:tblPr>
        <w:tblStyle w:val="6"/>
        <w:tblW w:w="151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7"/>
        <w:gridCol w:w="1215"/>
        <w:gridCol w:w="2189"/>
        <w:gridCol w:w="1176"/>
        <w:gridCol w:w="5370"/>
        <w:gridCol w:w="1350"/>
        <w:gridCol w:w="1815"/>
        <w:gridCol w:w="1255"/>
      </w:tblGrid>
      <w:tr w14:paraId="618C7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67" w:type="dxa"/>
            <w:vAlign w:val="center"/>
          </w:tcPr>
          <w:p w14:paraId="0BE2467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黑体_GBK" w:cs="Times New Roman"/>
                <w:b w:val="0"/>
                <w:bCs w:val="0"/>
                <w:color w:val="auto"/>
                <w:kern w:val="2"/>
                <w:sz w:val="24"/>
                <w:szCs w:val="24"/>
                <w:u w:val="none"/>
                <w:lang w:val="en-US" w:eastAsia="zh-CN" w:bidi="ar-SA"/>
              </w:rPr>
            </w:pPr>
            <w:r>
              <w:rPr>
                <w:rFonts w:hint="default" w:ascii="Times New Roman" w:hAnsi="Times New Roman" w:eastAsia="方正黑体_GBK" w:cs="Times New Roman"/>
                <w:b w:val="0"/>
                <w:bCs w:val="0"/>
                <w:color w:val="auto"/>
                <w:kern w:val="2"/>
                <w:sz w:val="24"/>
                <w:szCs w:val="24"/>
                <w:u w:val="none"/>
                <w:lang w:val="en-US" w:eastAsia="zh-CN" w:bidi="ar-SA"/>
              </w:rPr>
              <w:t>序号</w:t>
            </w:r>
          </w:p>
        </w:tc>
        <w:tc>
          <w:tcPr>
            <w:tcW w:w="1215" w:type="dxa"/>
            <w:vAlign w:val="center"/>
          </w:tcPr>
          <w:p w14:paraId="0C9F3D5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监管领域</w:t>
            </w:r>
          </w:p>
        </w:tc>
        <w:tc>
          <w:tcPr>
            <w:tcW w:w="2189" w:type="dxa"/>
            <w:vAlign w:val="center"/>
          </w:tcPr>
          <w:p w14:paraId="0CD1A9E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事项名称</w:t>
            </w:r>
          </w:p>
        </w:tc>
        <w:tc>
          <w:tcPr>
            <w:tcW w:w="1176" w:type="dxa"/>
            <w:vAlign w:val="center"/>
          </w:tcPr>
          <w:p w14:paraId="61BCE31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监管对象</w:t>
            </w:r>
          </w:p>
        </w:tc>
        <w:tc>
          <w:tcPr>
            <w:tcW w:w="5370" w:type="dxa"/>
            <w:vAlign w:val="center"/>
          </w:tcPr>
          <w:p w14:paraId="7190562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设定依据</w:t>
            </w:r>
          </w:p>
        </w:tc>
        <w:tc>
          <w:tcPr>
            <w:tcW w:w="1350" w:type="dxa"/>
            <w:shd w:val="clear" w:color="auto" w:fill="auto"/>
            <w:vAlign w:val="center"/>
          </w:tcPr>
          <w:p w14:paraId="3388A23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牵头单位</w:t>
            </w:r>
          </w:p>
        </w:tc>
        <w:tc>
          <w:tcPr>
            <w:tcW w:w="1815" w:type="dxa"/>
            <w:shd w:val="clear" w:color="auto" w:fill="auto"/>
            <w:vAlign w:val="center"/>
          </w:tcPr>
          <w:p w14:paraId="1ADAE05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配合单位</w:t>
            </w:r>
          </w:p>
        </w:tc>
        <w:tc>
          <w:tcPr>
            <w:tcW w:w="1255" w:type="dxa"/>
            <w:shd w:val="clear" w:color="auto" w:fill="auto"/>
            <w:vAlign w:val="center"/>
          </w:tcPr>
          <w:p w14:paraId="0ADDBC8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黑体_GBK" w:hAnsi="方正黑体_GBK" w:eastAsia="方正黑体_GBK" w:cs="方正黑体_GBK"/>
                <w:b w:val="0"/>
                <w:bCs w:val="0"/>
                <w:color w:val="auto"/>
                <w:kern w:val="2"/>
                <w:sz w:val="24"/>
                <w:szCs w:val="24"/>
                <w:u w:val="none"/>
                <w:lang w:val="en-US" w:eastAsia="zh-CN" w:bidi="ar-SA"/>
              </w:rPr>
            </w:pPr>
            <w:r>
              <w:rPr>
                <w:rFonts w:hint="eastAsia" w:ascii="方正黑体_GBK" w:hAnsi="方正黑体_GBK" w:eastAsia="方正黑体_GBK" w:cs="方正黑体_GBK"/>
                <w:b w:val="0"/>
                <w:bCs w:val="0"/>
                <w:color w:val="auto"/>
                <w:kern w:val="2"/>
                <w:sz w:val="24"/>
                <w:szCs w:val="24"/>
                <w:u w:val="none"/>
                <w:lang w:val="en-US" w:eastAsia="zh-CN" w:bidi="ar-SA"/>
              </w:rPr>
              <w:t>监管方式</w:t>
            </w:r>
          </w:p>
        </w:tc>
      </w:tr>
      <w:tr w14:paraId="40428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767" w:type="dxa"/>
            <w:vAlign w:val="center"/>
          </w:tcPr>
          <w:p w14:paraId="3AE3BCF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w:t>
            </w:r>
          </w:p>
        </w:tc>
        <w:tc>
          <w:tcPr>
            <w:tcW w:w="1215" w:type="dxa"/>
            <w:vAlign w:val="center"/>
          </w:tcPr>
          <w:p w14:paraId="68E8F8E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591D54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对殡葬服务主体资格的监管</w:t>
            </w:r>
          </w:p>
        </w:tc>
        <w:tc>
          <w:tcPr>
            <w:tcW w:w="1176" w:type="dxa"/>
            <w:vAlign w:val="center"/>
          </w:tcPr>
          <w:p w14:paraId="79A5EFC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718DC07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lang w:eastAsia="zh-CN"/>
              </w:rPr>
              <w:t>《中华人民共和国市场主体登记管理条例》第四十三条、《无证无照经营查处办法》第十三条、第十</w:t>
            </w:r>
            <w:r>
              <w:rPr>
                <w:rFonts w:hint="eastAsia" w:ascii="方正仿宋_GBK" w:hAnsi="方正仿宋_GBK" w:eastAsia="方正仿宋_GBK" w:cs="方正仿宋_GBK"/>
                <w:b w:val="0"/>
                <w:bCs w:val="0"/>
                <w:color w:val="auto"/>
                <w:sz w:val="24"/>
                <w:szCs w:val="24"/>
                <w:vertAlign w:val="baseline"/>
                <w:lang w:val="en-US" w:eastAsia="zh-CN"/>
              </w:rPr>
              <w:t>五</w:t>
            </w:r>
            <w:r>
              <w:rPr>
                <w:rFonts w:hint="eastAsia" w:ascii="方正仿宋_GBK" w:hAnsi="方正仿宋_GBK" w:eastAsia="方正仿宋_GBK" w:cs="方正仿宋_GBK"/>
                <w:b w:val="0"/>
                <w:bCs w:val="0"/>
                <w:color w:val="auto"/>
                <w:sz w:val="24"/>
                <w:szCs w:val="24"/>
                <w:vertAlign w:val="baseline"/>
                <w:lang w:eastAsia="zh-CN"/>
              </w:rPr>
              <w:t>条</w:t>
            </w:r>
          </w:p>
        </w:tc>
        <w:tc>
          <w:tcPr>
            <w:tcW w:w="1350" w:type="dxa"/>
            <w:vAlign w:val="center"/>
          </w:tcPr>
          <w:p w14:paraId="051514F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815" w:type="dxa"/>
            <w:vAlign w:val="center"/>
          </w:tcPr>
          <w:p w14:paraId="11CB324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255" w:type="dxa"/>
            <w:vAlign w:val="center"/>
          </w:tcPr>
          <w:p w14:paraId="02E0068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04611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Merge w:val="restart"/>
            <w:vAlign w:val="center"/>
          </w:tcPr>
          <w:p w14:paraId="63EB8C2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w:t>
            </w:r>
          </w:p>
        </w:tc>
        <w:tc>
          <w:tcPr>
            <w:tcW w:w="1215" w:type="dxa"/>
            <w:vMerge w:val="restart"/>
            <w:vAlign w:val="center"/>
          </w:tcPr>
          <w:p w14:paraId="3198467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Merge w:val="restart"/>
            <w:vAlign w:val="center"/>
          </w:tcPr>
          <w:p w14:paraId="2EC47E7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对殡葬服务机构安全生产的监管</w:t>
            </w:r>
          </w:p>
        </w:tc>
        <w:tc>
          <w:tcPr>
            <w:tcW w:w="1176" w:type="dxa"/>
            <w:vMerge w:val="restart"/>
            <w:vAlign w:val="center"/>
          </w:tcPr>
          <w:p w14:paraId="7912F2A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殡葬服务机构</w:t>
            </w:r>
          </w:p>
        </w:tc>
        <w:tc>
          <w:tcPr>
            <w:tcW w:w="5370" w:type="dxa"/>
            <w:vAlign w:val="center"/>
          </w:tcPr>
          <w:p w14:paraId="25D80C7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中华人民共和国安全生产法</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第十条、第六十五条、第九十七条，《中华人民共和国消防法》第四条</w:t>
            </w:r>
          </w:p>
        </w:tc>
        <w:tc>
          <w:tcPr>
            <w:tcW w:w="1350" w:type="dxa"/>
            <w:vMerge w:val="restart"/>
            <w:vAlign w:val="center"/>
          </w:tcPr>
          <w:p w14:paraId="6EACC1D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消防救援机构</w:t>
            </w:r>
          </w:p>
        </w:tc>
        <w:tc>
          <w:tcPr>
            <w:tcW w:w="1815" w:type="dxa"/>
            <w:vAlign w:val="center"/>
          </w:tcPr>
          <w:p w14:paraId="7005A89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应急管理部门</w:t>
            </w:r>
          </w:p>
        </w:tc>
        <w:tc>
          <w:tcPr>
            <w:tcW w:w="1255" w:type="dxa"/>
            <w:vAlign w:val="center"/>
          </w:tcPr>
          <w:p w14:paraId="0406B41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2DE30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Merge w:val="continue"/>
            <w:vAlign w:val="center"/>
          </w:tcPr>
          <w:p w14:paraId="5EE5EF7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p>
        </w:tc>
        <w:tc>
          <w:tcPr>
            <w:tcW w:w="1215" w:type="dxa"/>
            <w:vMerge w:val="continue"/>
            <w:vAlign w:val="center"/>
          </w:tcPr>
          <w:p w14:paraId="2696D17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p>
        </w:tc>
        <w:tc>
          <w:tcPr>
            <w:tcW w:w="2189" w:type="dxa"/>
            <w:vMerge w:val="continue"/>
            <w:vAlign w:val="center"/>
          </w:tcPr>
          <w:p w14:paraId="4BF4E7E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p>
        </w:tc>
        <w:tc>
          <w:tcPr>
            <w:tcW w:w="1176" w:type="dxa"/>
            <w:vMerge w:val="continue"/>
            <w:vAlign w:val="center"/>
          </w:tcPr>
          <w:p w14:paraId="170E74D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p>
        </w:tc>
        <w:tc>
          <w:tcPr>
            <w:tcW w:w="5370" w:type="dxa"/>
            <w:vAlign w:val="center"/>
          </w:tcPr>
          <w:p w14:paraId="15B3DD6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《中华人民共和国消防法》第五十八条、第七十条</w:t>
            </w:r>
          </w:p>
        </w:tc>
        <w:tc>
          <w:tcPr>
            <w:tcW w:w="1350" w:type="dxa"/>
            <w:vMerge w:val="continue"/>
            <w:vAlign w:val="center"/>
          </w:tcPr>
          <w:p w14:paraId="4F622C4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p>
        </w:tc>
        <w:tc>
          <w:tcPr>
            <w:tcW w:w="1815" w:type="dxa"/>
            <w:vAlign w:val="center"/>
          </w:tcPr>
          <w:p w14:paraId="6BCA0A6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住房和城乡建设部门</w:t>
            </w:r>
          </w:p>
        </w:tc>
        <w:tc>
          <w:tcPr>
            <w:tcW w:w="1255" w:type="dxa"/>
            <w:vAlign w:val="center"/>
          </w:tcPr>
          <w:p w14:paraId="2FC4AA9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51AC1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767" w:type="dxa"/>
            <w:vMerge w:val="continue"/>
            <w:vAlign w:val="center"/>
          </w:tcPr>
          <w:p w14:paraId="4B31C7B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p>
        </w:tc>
        <w:tc>
          <w:tcPr>
            <w:tcW w:w="1215" w:type="dxa"/>
            <w:vMerge w:val="continue"/>
            <w:vAlign w:val="center"/>
          </w:tcPr>
          <w:p w14:paraId="71A880D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p>
        </w:tc>
        <w:tc>
          <w:tcPr>
            <w:tcW w:w="2189" w:type="dxa"/>
            <w:vMerge w:val="continue"/>
            <w:vAlign w:val="center"/>
          </w:tcPr>
          <w:p w14:paraId="5641DAF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p>
        </w:tc>
        <w:tc>
          <w:tcPr>
            <w:tcW w:w="1176" w:type="dxa"/>
            <w:vMerge w:val="continue"/>
            <w:vAlign w:val="center"/>
          </w:tcPr>
          <w:p w14:paraId="5135BFA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p>
        </w:tc>
        <w:tc>
          <w:tcPr>
            <w:tcW w:w="5370" w:type="dxa"/>
            <w:vAlign w:val="center"/>
          </w:tcPr>
          <w:p w14:paraId="63E02E4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eastAsia="zh-CN"/>
              </w:rPr>
              <w:t>《中华人民共和国食品安全法》</w:t>
            </w:r>
            <w:r>
              <w:rPr>
                <w:rFonts w:hint="eastAsia" w:ascii="方正仿宋_GBK" w:hAnsi="方正仿宋_GBK" w:eastAsia="方正仿宋_GBK" w:cs="方正仿宋_GBK"/>
                <w:b w:val="0"/>
                <w:bCs w:val="0"/>
                <w:color w:val="auto"/>
                <w:sz w:val="24"/>
                <w:szCs w:val="24"/>
                <w:vertAlign w:val="baseline"/>
                <w:lang w:val="en-US" w:eastAsia="zh-CN"/>
              </w:rPr>
              <w:t>第一百一十条、第一百一十三条</w:t>
            </w:r>
          </w:p>
        </w:tc>
        <w:tc>
          <w:tcPr>
            <w:tcW w:w="1350" w:type="dxa"/>
            <w:vAlign w:val="center"/>
          </w:tcPr>
          <w:p w14:paraId="2004F76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4BCF24F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255" w:type="dxa"/>
            <w:vAlign w:val="center"/>
          </w:tcPr>
          <w:p w14:paraId="3A46D94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12F98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767" w:type="dxa"/>
            <w:vAlign w:val="center"/>
          </w:tcPr>
          <w:p w14:paraId="6CA077E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3</w:t>
            </w:r>
          </w:p>
        </w:tc>
        <w:tc>
          <w:tcPr>
            <w:tcW w:w="1215" w:type="dxa"/>
            <w:vAlign w:val="center"/>
          </w:tcPr>
          <w:p w14:paraId="45DDA66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046C481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对未经批准擅自兴建殡葬设施的监管</w:t>
            </w:r>
          </w:p>
        </w:tc>
        <w:tc>
          <w:tcPr>
            <w:tcW w:w="1176" w:type="dxa"/>
            <w:vAlign w:val="center"/>
          </w:tcPr>
          <w:p w14:paraId="5379E8B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433FF5DA">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《殡葬管理条例》第十八条</w:t>
            </w:r>
          </w:p>
        </w:tc>
        <w:tc>
          <w:tcPr>
            <w:tcW w:w="1350" w:type="dxa"/>
            <w:vAlign w:val="center"/>
          </w:tcPr>
          <w:p w14:paraId="7047CD8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36A2F64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自然资源部门</w:t>
            </w:r>
          </w:p>
        </w:tc>
        <w:tc>
          <w:tcPr>
            <w:tcW w:w="1255" w:type="dxa"/>
            <w:vAlign w:val="center"/>
          </w:tcPr>
          <w:p w14:paraId="12201C4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专项检查</w:t>
            </w:r>
          </w:p>
        </w:tc>
      </w:tr>
      <w:tr w14:paraId="63CA6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4A3A519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4</w:t>
            </w:r>
          </w:p>
        </w:tc>
        <w:tc>
          <w:tcPr>
            <w:tcW w:w="1215" w:type="dxa"/>
            <w:vAlign w:val="center"/>
          </w:tcPr>
          <w:p w14:paraId="10F7454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1A78C0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对</w:t>
            </w:r>
            <w:r>
              <w:rPr>
                <w:rFonts w:hint="eastAsia" w:ascii="方正仿宋_GBK" w:hAnsi="方正仿宋_GBK" w:eastAsia="方正仿宋_GBK" w:cs="方正仿宋_GBK"/>
                <w:b w:val="0"/>
                <w:bCs w:val="0"/>
                <w:color w:val="auto"/>
                <w:sz w:val="24"/>
                <w:szCs w:val="24"/>
                <w:vertAlign w:val="baseline"/>
                <w:lang w:val="en-US" w:eastAsia="zh-CN"/>
              </w:rPr>
              <w:t>公墓建造出售（租）超标准墓位（穴）</w:t>
            </w:r>
            <w:r>
              <w:rPr>
                <w:rFonts w:hint="eastAsia" w:ascii="方正仿宋_GBK" w:hAnsi="方正仿宋_GBK" w:eastAsia="方正仿宋_GBK" w:cs="方正仿宋_GBK"/>
                <w:b w:val="0"/>
                <w:bCs w:val="0"/>
                <w:color w:val="auto"/>
                <w:sz w:val="24"/>
                <w:szCs w:val="24"/>
                <w:vertAlign w:val="baseline"/>
              </w:rPr>
              <w:t>的</w:t>
            </w:r>
            <w:r>
              <w:rPr>
                <w:rFonts w:hint="eastAsia" w:ascii="方正仿宋_GBK" w:hAnsi="方正仿宋_GBK" w:eastAsia="方正仿宋_GBK" w:cs="方正仿宋_GBK"/>
                <w:b w:val="0"/>
                <w:bCs w:val="0"/>
                <w:color w:val="auto"/>
                <w:sz w:val="24"/>
                <w:szCs w:val="24"/>
                <w:vertAlign w:val="baseline"/>
                <w:lang w:val="en-US" w:eastAsia="zh-CN"/>
              </w:rPr>
              <w:t>监管</w:t>
            </w:r>
          </w:p>
        </w:tc>
        <w:tc>
          <w:tcPr>
            <w:tcW w:w="1176" w:type="dxa"/>
            <w:vAlign w:val="center"/>
          </w:tcPr>
          <w:p w14:paraId="0D4358A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公墓</w:t>
            </w:r>
          </w:p>
        </w:tc>
        <w:tc>
          <w:tcPr>
            <w:tcW w:w="5370" w:type="dxa"/>
            <w:vAlign w:val="center"/>
          </w:tcPr>
          <w:p w14:paraId="5AE08BD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《殡葬管理条例》第十</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九</w:t>
            </w: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条</w:t>
            </w:r>
          </w:p>
        </w:tc>
        <w:tc>
          <w:tcPr>
            <w:tcW w:w="1350" w:type="dxa"/>
            <w:vAlign w:val="center"/>
          </w:tcPr>
          <w:p w14:paraId="2659204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0BE2EBC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p>
        </w:tc>
        <w:tc>
          <w:tcPr>
            <w:tcW w:w="1255" w:type="dxa"/>
            <w:vAlign w:val="center"/>
          </w:tcPr>
          <w:p w14:paraId="6ADDA58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2E096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3378AB2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5</w:t>
            </w:r>
          </w:p>
        </w:tc>
        <w:tc>
          <w:tcPr>
            <w:tcW w:w="1215" w:type="dxa"/>
            <w:vAlign w:val="center"/>
          </w:tcPr>
          <w:p w14:paraId="4958A66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63633EA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对在公墓以外的区域建造坟墓的监管</w:t>
            </w:r>
          </w:p>
        </w:tc>
        <w:tc>
          <w:tcPr>
            <w:tcW w:w="1176" w:type="dxa"/>
            <w:vAlign w:val="center"/>
          </w:tcPr>
          <w:p w14:paraId="186946D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个人</w:t>
            </w:r>
          </w:p>
        </w:tc>
        <w:tc>
          <w:tcPr>
            <w:tcW w:w="5370" w:type="dxa"/>
            <w:vAlign w:val="center"/>
          </w:tcPr>
          <w:p w14:paraId="779EB52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江苏省</w:t>
            </w: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四十七</w:t>
            </w: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条</w:t>
            </w:r>
          </w:p>
        </w:tc>
        <w:tc>
          <w:tcPr>
            <w:tcW w:w="1350" w:type="dxa"/>
            <w:vAlign w:val="center"/>
          </w:tcPr>
          <w:p w14:paraId="332969E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0ED0335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自然资源部门</w:t>
            </w:r>
          </w:p>
        </w:tc>
        <w:tc>
          <w:tcPr>
            <w:tcW w:w="1255" w:type="dxa"/>
            <w:vAlign w:val="center"/>
          </w:tcPr>
          <w:p w14:paraId="508AA24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6FB8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41883D0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6</w:t>
            </w:r>
          </w:p>
        </w:tc>
        <w:tc>
          <w:tcPr>
            <w:tcW w:w="1215" w:type="dxa"/>
            <w:vAlign w:val="center"/>
          </w:tcPr>
          <w:p w14:paraId="02EF1F6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4ECEAD6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对在禁止区域建造坟墓的监管</w:t>
            </w:r>
          </w:p>
        </w:tc>
        <w:tc>
          <w:tcPr>
            <w:tcW w:w="1176" w:type="dxa"/>
            <w:vAlign w:val="center"/>
          </w:tcPr>
          <w:p w14:paraId="303502B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4DED6A0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《殡葬管理条例》第十条</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，《中华人民共和国森林法》第七十三条，《风景名胜区条例》第二十六条、第四十三条，《中华人民共和国土地管理法》第三十七条、第七十五条、《基本农田保护条例》第十七条、第三十三条</w:t>
            </w:r>
          </w:p>
        </w:tc>
        <w:tc>
          <w:tcPr>
            <w:tcW w:w="1350" w:type="dxa"/>
            <w:vAlign w:val="center"/>
          </w:tcPr>
          <w:p w14:paraId="078687B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2764A5A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自然资源、交通运输、住建部门、农业农村部门、水利、林草等主管部门</w:t>
            </w:r>
          </w:p>
        </w:tc>
        <w:tc>
          <w:tcPr>
            <w:tcW w:w="1255" w:type="dxa"/>
            <w:vAlign w:val="center"/>
          </w:tcPr>
          <w:p w14:paraId="2BAC14E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专项检查、投诉举报</w:t>
            </w:r>
          </w:p>
        </w:tc>
      </w:tr>
      <w:tr w14:paraId="75044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2BBA369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7</w:t>
            </w:r>
          </w:p>
        </w:tc>
        <w:tc>
          <w:tcPr>
            <w:tcW w:w="1215" w:type="dxa"/>
            <w:vAlign w:val="center"/>
          </w:tcPr>
          <w:p w14:paraId="08B1E1A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1C9BB2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对未经批准擅自修改公墓建设规划、扩大建设用地面积的监管</w:t>
            </w:r>
          </w:p>
        </w:tc>
        <w:tc>
          <w:tcPr>
            <w:tcW w:w="1176" w:type="dxa"/>
            <w:vAlign w:val="center"/>
          </w:tcPr>
          <w:p w14:paraId="60DBA45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公墓</w:t>
            </w:r>
          </w:p>
        </w:tc>
        <w:tc>
          <w:tcPr>
            <w:tcW w:w="5370" w:type="dxa"/>
            <w:vAlign w:val="center"/>
          </w:tcPr>
          <w:p w14:paraId="632D915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《中华人民共和国土地管理法》第七十七条</w:t>
            </w:r>
          </w:p>
        </w:tc>
        <w:tc>
          <w:tcPr>
            <w:tcW w:w="1350" w:type="dxa"/>
            <w:vAlign w:val="center"/>
          </w:tcPr>
          <w:p w14:paraId="4BFEEC5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自然资源部门</w:t>
            </w:r>
          </w:p>
        </w:tc>
        <w:tc>
          <w:tcPr>
            <w:tcW w:w="1815" w:type="dxa"/>
            <w:vAlign w:val="center"/>
          </w:tcPr>
          <w:p w14:paraId="48E2F5E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p>
        </w:tc>
        <w:tc>
          <w:tcPr>
            <w:tcW w:w="1255" w:type="dxa"/>
            <w:vAlign w:val="center"/>
          </w:tcPr>
          <w:p w14:paraId="218060D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6531A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0A50F50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8</w:t>
            </w:r>
          </w:p>
        </w:tc>
        <w:tc>
          <w:tcPr>
            <w:tcW w:w="1215" w:type="dxa"/>
            <w:vAlign w:val="center"/>
          </w:tcPr>
          <w:p w14:paraId="75BAC0E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5C455EF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对公墓区域以外的已有坟墓进行重建、扩建、硬化处理的监管</w:t>
            </w:r>
          </w:p>
        </w:tc>
        <w:tc>
          <w:tcPr>
            <w:tcW w:w="1176" w:type="dxa"/>
            <w:vAlign w:val="center"/>
          </w:tcPr>
          <w:p w14:paraId="27A0380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个人</w:t>
            </w:r>
          </w:p>
        </w:tc>
        <w:tc>
          <w:tcPr>
            <w:tcW w:w="5370" w:type="dxa"/>
            <w:vAlign w:val="center"/>
          </w:tcPr>
          <w:p w14:paraId="40500DB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《江苏省殡葬管理条例》第十四条</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w:t>
            </w: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第四十八条</w:t>
            </w:r>
          </w:p>
        </w:tc>
        <w:tc>
          <w:tcPr>
            <w:tcW w:w="1350" w:type="dxa"/>
            <w:vAlign w:val="center"/>
          </w:tcPr>
          <w:p w14:paraId="25C2EDB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4EC0B55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p>
        </w:tc>
        <w:tc>
          <w:tcPr>
            <w:tcW w:w="1255" w:type="dxa"/>
            <w:vAlign w:val="center"/>
          </w:tcPr>
          <w:p w14:paraId="5D2540F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67389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45C6C49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9</w:t>
            </w:r>
          </w:p>
        </w:tc>
        <w:tc>
          <w:tcPr>
            <w:tcW w:w="1215" w:type="dxa"/>
            <w:vAlign w:val="center"/>
          </w:tcPr>
          <w:p w14:paraId="6B2A7BA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7B6B1A4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对制造、销售不符合国家技术标准的殡葬设备的</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监管</w:t>
            </w:r>
          </w:p>
        </w:tc>
        <w:tc>
          <w:tcPr>
            <w:tcW w:w="1176" w:type="dxa"/>
            <w:vAlign w:val="center"/>
          </w:tcPr>
          <w:p w14:paraId="5911DFD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4560CAA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《殡葬管理条例》第二十二条</w:t>
            </w:r>
          </w:p>
        </w:tc>
        <w:tc>
          <w:tcPr>
            <w:tcW w:w="1350" w:type="dxa"/>
            <w:vAlign w:val="center"/>
          </w:tcPr>
          <w:p w14:paraId="27F96A9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民政部门</w:t>
            </w:r>
          </w:p>
        </w:tc>
        <w:tc>
          <w:tcPr>
            <w:tcW w:w="1815" w:type="dxa"/>
            <w:vAlign w:val="center"/>
          </w:tcPr>
          <w:p w14:paraId="04637E4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255" w:type="dxa"/>
            <w:vAlign w:val="center"/>
          </w:tcPr>
          <w:p w14:paraId="4691D3F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5EEECB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shd w:val="clear" w:color="auto" w:fill="auto"/>
            <w:vAlign w:val="center"/>
          </w:tcPr>
          <w:p w14:paraId="46ABCCCE">
            <w:pPr>
              <w:keepNext w:val="0"/>
              <w:keepLines w:val="0"/>
              <w:pageBreakBefore w:val="0"/>
              <w:kinsoku/>
              <w:wordWrap/>
              <w:overflowPunct/>
              <w:topLinePunct w:val="0"/>
              <w:autoSpaceDE/>
              <w:autoSpaceDN/>
              <w:bidi w:val="0"/>
              <w:adjustRightInd/>
              <w:snapToGrid/>
              <w:spacing w:line="320" w:lineRule="exact"/>
              <w:jc w:val="center"/>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10</w:t>
            </w:r>
          </w:p>
        </w:tc>
        <w:tc>
          <w:tcPr>
            <w:tcW w:w="1215" w:type="dxa"/>
            <w:shd w:val="clear" w:color="auto" w:fill="auto"/>
            <w:vAlign w:val="center"/>
          </w:tcPr>
          <w:p w14:paraId="742ED07E">
            <w:pPr>
              <w:keepNext w:val="0"/>
              <w:keepLines w:val="0"/>
              <w:pageBreakBefore w:val="0"/>
              <w:kinsoku/>
              <w:wordWrap/>
              <w:overflowPunct/>
              <w:topLinePunct w:val="0"/>
              <w:autoSpaceDE/>
              <w:autoSpaceDN/>
              <w:bidi w:val="0"/>
              <w:adjustRightInd/>
              <w:snapToGrid/>
              <w:spacing w:line="320" w:lineRule="exact"/>
              <w:jc w:val="center"/>
              <w:rPr>
                <w:rFonts w:hint="default" w:ascii="Times New Roman" w:hAnsi="Times New Roman" w:eastAsia="方正仿宋_GBK" w:cs="Times New Roman"/>
                <w:b w:val="0"/>
                <w:bCs w:val="0"/>
                <w:color w:val="auto"/>
                <w:kern w:val="2"/>
                <w:sz w:val="24"/>
                <w:szCs w:val="24"/>
                <w:highlight w:val="none"/>
                <w:vertAlign w:val="baseli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shd w:val="clear" w:color="auto" w:fill="auto"/>
            <w:vAlign w:val="center"/>
          </w:tcPr>
          <w:p w14:paraId="72FA38A5">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对制造、销售封建迷信殡葬用品的</w:t>
            </w:r>
            <w:r>
              <w:rPr>
                <w:rFonts w:hint="eastAsia" w:ascii="Times New Roman" w:hAnsi="Times New Roman" w:eastAsia="方正仿宋_GBK" w:cs="Times New Roman"/>
                <w:b w:val="0"/>
                <w:bCs w:val="0"/>
                <w:i w:val="0"/>
                <w:iCs w:val="0"/>
                <w:color w:val="auto"/>
                <w:kern w:val="0"/>
                <w:sz w:val="24"/>
                <w:szCs w:val="24"/>
                <w:highlight w:val="none"/>
                <w:u w:val="none"/>
                <w:lang w:val="en-US" w:eastAsia="zh-CN" w:bidi="ar"/>
              </w:rPr>
              <w:t>监管</w:t>
            </w:r>
          </w:p>
        </w:tc>
        <w:tc>
          <w:tcPr>
            <w:tcW w:w="1176" w:type="dxa"/>
            <w:vAlign w:val="center"/>
          </w:tcPr>
          <w:p w14:paraId="0225C5E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74665A9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《殡葬管理条例》第二十二条</w:t>
            </w:r>
          </w:p>
        </w:tc>
        <w:tc>
          <w:tcPr>
            <w:tcW w:w="1350" w:type="dxa"/>
            <w:vAlign w:val="center"/>
          </w:tcPr>
          <w:p w14:paraId="7066ECF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default" w:ascii="Times New Roman" w:hAnsi="Times New Roman" w:eastAsia="方正仿宋_GBK" w:cs="Times New Roman"/>
                <w:b w:val="0"/>
                <w:bCs w:val="0"/>
                <w:i w:val="0"/>
                <w:iCs w:val="0"/>
                <w:color w:val="auto"/>
                <w:kern w:val="0"/>
                <w:sz w:val="24"/>
                <w:szCs w:val="24"/>
                <w:highlight w:val="none"/>
                <w:u w:val="none"/>
                <w:lang w:val="en-US" w:eastAsia="zh-CN" w:bidi="ar"/>
              </w:rPr>
              <w:t>民政部门</w:t>
            </w:r>
          </w:p>
        </w:tc>
        <w:tc>
          <w:tcPr>
            <w:tcW w:w="1815" w:type="dxa"/>
            <w:vAlign w:val="center"/>
          </w:tcPr>
          <w:p w14:paraId="463EC6B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255" w:type="dxa"/>
            <w:vAlign w:val="center"/>
          </w:tcPr>
          <w:p w14:paraId="237548A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108CC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767" w:type="dxa"/>
            <w:vAlign w:val="center"/>
          </w:tcPr>
          <w:p w14:paraId="3270319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11</w:t>
            </w:r>
          </w:p>
        </w:tc>
        <w:tc>
          <w:tcPr>
            <w:tcW w:w="1215" w:type="dxa"/>
            <w:vAlign w:val="center"/>
          </w:tcPr>
          <w:p w14:paraId="45076C6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7526496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对制造、销售使用或者仿制人民币图样的丧葬用品的监管</w:t>
            </w:r>
          </w:p>
        </w:tc>
        <w:tc>
          <w:tcPr>
            <w:tcW w:w="1176" w:type="dxa"/>
            <w:vAlign w:val="center"/>
          </w:tcPr>
          <w:p w14:paraId="2C3E7F5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0F8C6DB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《中华人民共和国人民币管理条例》第二十六条</w:t>
            </w:r>
            <w:r>
              <w:rPr>
                <w:rFonts w:hint="eastAsia" w:ascii="方正仿宋_GBK" w:hAnsi="方正仿宋_GBK" w:eastAsia="方正仿宋_GBK" w:cs="方正仿宋_GBK"/>
                <w:b w:val="0"/>
                <w:bCs w:val="0"/>
                <w:color w:val="auto"/>
                <w:sz w:val="24"/>
                <w:szCs w:val="24"/>
                <w:vertAlign w:val="baseline"/>
                <w:lang w:eastAsia="zh-CN"/>
              </w:rPr>
              <w:t>、第四十三条</w:t>
            </w:r>
          </w:p>
        </w:tc>
        <w:tc>
          <w:tcPr>
            <w:tcW w:w="1350" w:type="dxa"/>
            <w:vAlign w:val="center"/>
          </w:tcPr>
          <w:p w14:paraId="7B6D7FF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815" w:type="dxa"/>
            <w:vAlign w:val="center"/>
          </w:tcPr>
          <w:p w14:paraId="3E64B35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人民银行</w:t>
            </w:r>
          </w:p>
        </w:tc>
        <w:tc>
          <w:tcPr>
            <w:tcW w:w="1255" w:type="dxa"/>
            <w:vAlign w:val="center"/>
          </w:tcPr>
          <w:p w14:paraId="0526993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2DDB6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767" w:type="dxa"/>
            <w:vAlign w:val="center"/>
          </w:tcPr>
          <w:p w14:paraId="46B3104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12</w:t>
            </w:r>
          </w:p>
        </w:tc>
        <w:tc>
          <w:tcPr>
            <w:tcW w:w="1215" w:type="dxa"/>
            <w:vAlign w:val="center"/>
          </w:tcPr>
          <w:p w14:paraId="288E466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殡葬收费</w:t>
            </w:r>
          </w:p>
        </w:tc>
        <w:tc>
          <w:tcPr>
            <w:tcW w:w="2189" w:type="dxa"/>
            <w:vAlign w:val="center"/>
          </w:tcPr>
          <w:p w14:paraId="11F2603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w:t>
            </w:r>
            <w:r>
              <w:rPr>
                <w:rFonts w:hint="eastAsia" w:ascii="方正仿宋_GBK" w:hAnsi="方正仿宋_GBK" w:eastAsia="方正仿宋_GBK" w:cs="方正仿宋_GBK"/>
                <w:b w:val="0"/>
                <w:bCs w:val="0"/>
                <w:color w:val="auto"/>
                <w:sz w:val="24"/>
                <w:szCs w:val="24"/>
                <w:vertAlign w:val="baseline"/>
              </w:rPr>
              <w:t>经营者</w:t>
            </w:r>
            <w:r>
              <w:rPr>
                <w:rFonts w:hint="eastAsia" w:ascii="方正仿宋_GBK" w:hAnsi="方正仿宋_GBK" w:eastAsia="方正仿宋_GBK" w:cs="方正仿宋_GBK"/>
                <w:b w:val="0"/>
                <w:bCs w:val="0"/>
                <w:color w:val="auto"/>
                <w:sz w:val="24"/>
                <w:szCs w:val="24"/>
                <w:vertAlign w:val="baseline"/>
                <w:lang w:val="en-US" w:eastAsia="zh-CN"/>
              </w:rPr>
              <w:t>未</w:t>
            </w:r>
            <w:r>
              <w:rPr>
                <w:rFonts w:hint="eastAsia" w:ascii="方正仿宋_GBK" w:hAnsi="方正仿宋_GBK" w:eastAsia="方正仿宋_GBK" w:cs="方正仿宋_GBK"/>
                <w:b w:val="0"/>
                <w:bCs w:val="0"/>
                <w:color w:val="auto"/>
                <w:sz w:val="24"/>
                <w:szCs w:val="24"/>
                <w:vertAlign w:val="baseline"/>
              </w:rPr>
              <w:t>按规定进行价格备案</w:t>
            </w:r>
            <w:r>
              <w:rPr>
                <w:rFonts w:hint="eastAsia" w:ascii="方正仿宋_GBK" w:hAnsi="方正仿宋_GBK" w:eastAsia="方正仿宋_GBK" w:cs="方正仿宋_GBK"/>
                <w:b w:val="0"/>
                <w:bCs w:val="0"/>
                <w:color w:val="auto"/>
                <w:sz w:val="24"/>
                <w:szCs w:val="24"/>
                <w:vertAlign w:val="baseline"/>
                <w:lang w:val="en-US" w:eastAsia="zh-CN"/>
              </w:rPr>
              <w:t>行为的监管</w:t>
            </w:r>
          </w:p>
        </w:tc>
        <w:tc>
          <w:tcPr>
            <w:tcW w:w="1176" w:type="dxa"/>
            <w:vAlign w:val="center"/>
          </w:tcPr>
          <w:p w14:paraId="585495E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w:t>
            </w:r>
          </w:p>
        </w:tc>
        <w:tc>
          <w:tcPr>
            <w:tcW w:w="5370" w:type="dxa"/>
            <w:vAlign w:val="center"/>
          </w:tcPr>
          <w:p w14:paraId="0FEE5A6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《江苏省价格条例》第</w:t>
            </w:r>
            <w:r>
              <w:rPr>
                <w:rFonts w:hint="eastAsia" w:ascii="方正仿宋_GBK" w:hAnsi="方正仿宋_GBK" w:eastAsia="方正仿宋_GBK" w:cs="方正仿宋_GBK"/>
                <w:b w:val="0"/>
                <w:bCs w:val="0"/>
                <w:color w:val="auto"/>
                <w:sz w:val="24"/>
                <w:szCs w:val="24"/>
                <w:vertAlign w:val="baseline"/>
                <w:lang w:val="en-US" w:eastAsia="zh-CN"/>
              </w:rPr>
              <w:t>五十三条、</w:t>
            </w:r>
            <w:r>
              <w:rPr>
                <w:rFonts w:hint="eastAsia" w:ascii="方正仿宋_GBK" w:hAnsi="方正仿宋_GBK" w:eastAsia="方正仿宋_GBK" w:cs="方正仿宋_GBK"/>
                <w:b w:val="0"/>
                <w:bCs w:val="0"/>
                <w:color w:val="auto"/>
                <w:sz w:val="24"/>
                <w:szCs w:val="24"/>
                <w:vertAlign w:val="baseline"/>
              </w:rPr>
              <w:t>六十一条</w:t>
            </w:r>
            <w:r>
              <w:rPr>
                <w:rFonts w:hint="eastAsia" w:ascii="方正仿宋_GBK" w:hAnsi="方正仿宋_GBK" w:eastAsia="方正仿宋_GBK" w:cs="方正仿宋_GBK"/>
                <w:b w:val="0"/>
                <w:bCs w:val="0"/>
                <w:color w:val="auto"/>
                <w:sz w:val="24"/>
                <w:szCs w:val="24"/>
                <w:vertAlign w:val="baseline"/>
                <w:lang w:eastAsia="zh-CN"/>
              </w:rPr>
              <w:t>，</w:t>
            </w:r>
          </w:p>
          <w:p w14:paraId="46D0668E">
            <w:pPr>
              <w:keepNext w:val="0"/>
              <w:keepLines w:val="0"/>
              <w:widowControl w:val="0"/>
              <w:suppressLineNumbers w:val="0"/>
              <w:spacing w:line="320" w:lineRule="exact"/>
              <w:jc w:val="center"/>
              <w:rPr>
                <w:rFonts w:hint="eastAsia" w:ascii="方正仿宋_GBK" w:hAnsi="方正仿宋_GBK" w:eastAsia="方正仿宋_GBK" w:cs="方正仿宋_GBK"/>
                <w:b w:val="0"/>
                <w:bCs w:val="0"/>
                <w:color w:val="auto"/>
                <w:sz w:val="24"/>
              </w:rPr>
            </w:pPr>
            <w:r>
              <w:rPr>
                <w:rFonts w:hint="eastAsia" w:ascii="方正仿宋_GBK" w:hAnsi="方正仿宋_GBK" w:eastAsia="方正仿宋_GBK" w:cs="方正仿宋_GBK"/>
                <w:b w:val="0"/>
                <w:bCs w:val="0"/>
                <w:color w:val="auto"/>
                <w:kern w:val="2"/>
                <w:sz w:val="24"/>
                <w:szCs w:val="24"/>
                <w:lang w:val="en-US" w:eastAsia="zh-CN" w:bidi="ar"/>
              </w:rPr>
              <w:t>《中华人民共和国价格管理条例》第十八条</w:t>
            </w:r>
          </w:p>
          <w:p w14:paraId="48FD109A">
            <w:pPr>
              <w:pStyle w:val="9"/>
              <w:rPr>
                <w:rFonts w:hint="eastAsia"/>
                <w:b w:val="0"/>
                <w:bCs w:val="0"/>
                <w:color w:val="auto"/>
              </w:rPr>
            </w:pPr>
          </w:p>
        </w:tc>
        <w:tc>
          <w:tcPr>
            <w:tcW w:w="1350" w:type="dxa"/>
            <w:vAlign w:val="center"/>
          </w:tcPr>
          <w:p w14:paraId="25157CF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发展改革部门</w:t>
            </w:r>
          </w:p>
        </w:tc>
        <w:tc>
          <w:tcPr>
            <w:tcW w:w="1815" w:type="dxa"/>
            <w:vAlign w:val="center"/>
          </w:tcPr>
          <w:p w14:paraId="418722E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市场监督管理部门</w:t>
            </w:r>
          </w:p>
        </w:tc>
        <w:tc>
          <w:tcPr>
            <w:tcW w:w="1255" w:type="dxa"/>
            <w:vAlign w:val="center"/>
          </w:tcPr>
          <w:p w14:paraId="74F7DF3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64930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733DDDA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13</w:t>
            </w:r>
          </w:p>
        </w:tc>
        <w:tc>
          <w:tcPr>
            <w:tcW w:w="1215" w:type="dxa"/>
            <w:vAlign w:val="center"/>
          </w:tcPr>
          <w:p w14:paraId="3C08EF7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殡葬收费</w:t>
            </w:r>
          </w:p>
        </w:tc>
        <w:tc>
          <w:tcPr>
            <w:tcW w:w="2189" w:type="dxa"/>
            <w:vAlign w:val="center"/>
          </w:tcPr>
          <w:p w14:paraId="05A903F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对经营者不执行政府指导价、政府定价以及法定的价格干预措施、紧急措施的监管</w:t>
            </w:r>
          </w:p>
        </w:tc>
        <w:tc>
          <w:tcPr>
            <w:tcW w:w="1176" w:type="dxa"/>
            <w:vAlign w:val="center"/>
          </w:tcPr>
          <w:p w14:paraId="1EA2E6C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w:t>
            </w:r>
          </w:p>
        </w:tc>
        <w:tc>
          <w:tcPr>
            <w:tcW w:w="5370" w:type="dxa"/>
            <w:vAlign w:val="center"/>
          </w:tcPr>
          <w:p w14:paraId="3C5F837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《中华人民共和国价格法》第三十九条</w:t>
            </w:r>
            <w:r>
              <w:rPr>
                <w:rFonts w:hint="eastAsia" w:ascii="方正仿宋_GBK" w:hAnsi="方正仿宋_GBK" w:eastAsia="方正仿宋_GBK" w:cs="方正仿宋_GBK"/>
                <w:b w:val="0"/>
                <w:bCs w:val="0"/>
                <w:color w:val="auto"/>
                <w:sz w:val="24"/>
                <w:szCs w:val="24"/>
                <w:vertAlign w:val="baseline"/>
                <w:lang w:eastAsia="zh-CN"/>
              </w:rPr>
              <w:t>，《价格违法行为行政处罚规定》第九条、</w:t>
            </w:r>
            <w:r>
              <w:rPr>
                <w:rFonts w:hint="eastAsia" w:ascii="方正仿宋_GBK" w:hAnsi="方正仿宋_GBK" w:eastAsia="方正仿宋_GBK" w:cs="方正仿宋_GBK"/>
                <w:b w:val="0"/>
                <w:bCs w:val="0"/>
                <w:color w:val="auto"/>
                <w:sz w:val="24"/>
                <w:szCs w:val="24"/>
                <w:vertAlign w:val="baseline"/>
                <w:lang w:val="en-US" w:eastAsia="zh-CN"/>
              </w:rPr>
              <w:t>第十条</w:t>
            </w:r>
          </w:p>
        </w:tc>
        <w:tc>
          <w:tcPr>
            <w:tcW w:w="1350" w:type="dxa"/>
            <w:vAlign w:val="center"/>
          </w:tcPr>
          <w:p w14:paraId="7B9ED03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市场监督管理部门</w:t>
            </w:r>
          </w:p>
        </w:tc>
        <w:tc>
          <w:tcPr>
            <w:tcW w:w="1815" w:type="dxa"/>
            <w:vAlign w:val="center"/>
          </w:tcPr>
          <w:p w14:paraId="1FEF2BB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发展改革部门、民政部门</w:t>
            </w:r>
          </w:p>
        </w:tc>
        <w:tc>
          <w:tcPr>
            <w:tcW w:w="1255" w:type="dxa"/>
            <w:vAlign w:val="center"/>
          </w:tcPr>
          <w:p w14:paraId="2C5746E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317E9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0B7072C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14</w:t>
            </w:r>
          </w:p>
        </w:tc>
        <w:tc>
          <w:tcPr>
            <w:tcW w:w="1215" w:type="dxa"/>
            <w:vAlign w:val="center"/>
          </w:tcPr>
          <w:p w14:paraId="04086A0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殡葬收费</w:t>
            </w:r>
          </w:p>
        </w:tc>
        <w:tc>
          <w:tcPr>
            <w:tcW w:w="2189" w:type="dxa"/>
            <w:vAlign w:val="center"/>
          </w:tcPr>
          <w:p w14:paraId="4888F39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对不正当价格行为的</w:t>
            </w:r>
            <w:r>
              <w:rPr>
                <w:rFonts w:hint="eastAsia" w:ascii="方正仿宋_GBK" w:hAnsi="方正仿宋_GBK" w:eastAsia="方正仿宋_GBK" w:cs="方正仿宋_GBK"/>
                <w:b w:val="0"/>
                <w:bCs w:val="0"/>
                <w:color w:val="auto"/>
                <w:sz w:val="24"/>
                <w:szCs w:val="24"/>
                <w:vertAlign w:val="baseline"/>
                <w:lang w:val="en-US" w:eastAsia="zh-CN"/>
              </w:rPr>
              <w:t>监管</w:t>
            </w:r>
          </w:p>
        </w:tc>
        <w:tc>
          <w:tcPr>
            <w:tcW w:w="1176" w:type="dxa"/>
            <w:vAlign w:val="center"/>
          </w:tcPr>
          <w:p w14:paraId="512F145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w:t>
            </w:r>
          </w:p>
        </w:tc>
        <w:tc>
          <w:tcPr>
            <w:tcW w:w="5370" w:type="dxa"/>
            <w:vAlign w:val="center"/>
          </w:tcPr>
          <w:p w14:paraId="6F7E68D0">
            <w:pPr>
              <w:keepNext w:val="0"/>
              <w:keepLines w:val="0"/>
              <w:widowControl w:val="0"/>
              <w:suppressLineNumbers w:val="0"/>
              <w:spacing w:line="320" w:lineRule="exact"/>
              <w:jc w:val="center"/>
              <w:rPr>
                <w:rFonts w:hint="eastAsia" w:ascii="方正仿宋_GBK" w:hAnsi="方正仿宋_GBK" w:eastAsia="方正仿宋_GBK" w:cs="方正仿宋_GBK"/>
                <w:b w:val="0"/>
                <w:bCs w:val="0"/>
                <w:color w:val="auto"/>
                <w:sz w:val="24"/>
              </w:rPr>
            </w:pPr>
            <w:r>
              <w:rPr>
                <w:rFonts w:hint="eastAsia" w:ascii="方正仿宋_GBK" w:hAnsi="方正仿宋_GBK" w:eastAsia="方正仿宋_GBK" w:cs="方正仿宋_GBK"/>
                <w:b w:val="0"/>
                <w:bCs w:val="0"/>
                <w:color w:val="auto"/>
                <w:sz w:val="24"/>
                <w:szCs w:val="24"/>
                <w:vertAlign w:val="baseline"/>
              </w:rPr>
              <w:t>《中华人民共和国价格法》</w:t>
            </w:r>
            <w:r>
              <w:rPr>
                <w:rFonts w:hint="eastAsia" w:ascii="方正仿宋_GBK" w:hAnsi="方正仿宋_GBK" w:eastAsia="方正仿宋_GBK" w:cs="方正仿宋_GBK"/>
                <w:b w:val="0"/>
                <w:bCs w:val="0"/>
                <w:color w:val="auto"/>
                <w:sz w:val="24"/>
                <w:szCs w:val="24"/>
                <w:vertAlign w:val="baseline"/>
                <w:lang w:val="en-US" w:eastAsia="zh-CN"/>
              </w:rPr>
              <w:t>第十四条、</w:t>
            </w:r>
            <w:r>
              <w:rPr>
                <w:rFonts w:hint="eastAsia" w:ascii="方正仿宋_GBK" w:hAnsi="方正仿宋_GBK" w:eastAsia="方正仿宋_GBK" w:cs="方正仿宋_GBK"/>
                <w:b w:val="0"/>
                <w:bCs w:val="0"/>
                <w:color w:val="auto"/>
                <w:sz w:val="24"/>
                <w:szCs w:val="24"/>
                <w:vertAlign w:val="baseline"/>
              </w:rPr>
              <w:t>第</w:t>
            </w:r>
            <w:r>
              <w:rPr>
                <w:rFonts w:hint="eastAsia" w:ascii="方正仿宋_GBK" w:hAnsi="方正仿宋_GBK" w:eastAsia="方正仿宋_GBK" w:cs="方正仿宋_GBK"/>
                <w:b w:val="0"/>
                <w:bCs w:val="0"/>
                <w:color w:val="auto"/>
                <w:sz w:val="24"/>
                <w:szCs w:val="24"/>
                <w:vertAlign w:val="baseline"/>
                <w:lang w:val="en-US" w:eastAsia="zh-CN"/>
              </w:rPr>
              <w:t>四十</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kern w:val="2"/>
                <w:sz w:val="24"/>
                <w:szCs w:val="24"/>
                <w:lang w:val="en-US" w:eastAsia="zh-CN" w:bidi="ar"/>
              </w:rPr>
              <w:t>《价格违法行为行政处罚规定》第四至第八条</w:t>
            </w:r>
          </w:p>
          <w:p w14:paraId="1A21569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p>
        </w:tc>
        <w:tc>
          <w:tcPr>
            <w:tcW w:w="1350" w:type="dxa"/>
            <w:vAlign w:val="center"/>
          </w:tcPr>
          <w:p w14:paraId="4B92F90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市场监督管理部门</w:t>
            </w:r>
          </w:p>
        </w:tc>
        <w:tc>
          <w:tcPr>
            <w:tcW w:w="1815" w:type="dxa"/>
            <w:vAlign w:val="center"/>
          </w:tcPr>
          <w:p w14:paraId="0FA2DBC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发展改革部门、民政部门</w:t>
            </w:r>
          </w:p>
        </w:tc>
        <w:tc>
          <w:tcPr>
            <w:tcW w:w="1255" w:type="dxa"/>
            <w:vAlign w:val="center"/>
          </w:tcPr>
          <w:p w14:paraId="065EFF9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10CCB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27C47DD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15</w:t>
            </w:r>
          </w:p>
        </w:tc>
        <w:tc>
          <w:tcPr>
            <w:tcW w:w="1215" w:type="dxa"/>
            <w:vAlign w:val="center"/>
          </w:tcPr>
          <w:p w14:paraId="46C5476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殡葬收费</w:t>
            </w:r>
          </w:p>
        </w:tc>
        <w:tc>
          <w:tcPr>
            <w:tcW w:w="2189" w:type="dxa"/>
            <w:vAlign w:val="center"/>
          </w:tcPr>
          <w:p w14:paraId="3473E90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对违反明码标价规定的</w:t>
            </w:r>
            <w:r>
              <w:rPr>
                <w:rFonts w:hint="eastAsia" w:ascii="方正仿宋_GBK" w:hAnsi="方正仿宋_GBK" w:eastAsia="方正仿宋_GBK" w:cs="方正仿宋_GBK"/>
                <w:b w:val="0"/>
                <w:bCs w:val="0"/>
                <w:color w:val="auto"/>
                <w:sz w:val="24"/>
                <w:szCs w:val="24"/>
                <w:vertAlign w:val="baseline"/>
                <w:lang w:val="en-US" w:eastAsia="zh-CN"/>
              </w:rPr>
              <w:t>监管</w:t>
            </w:r>
          </w:p>
        </w:tc>
        <w:tc>
          <w:tcPr>
            <w:tcW w:w="1176" w:type="dxa"/>
            <w:vAlign w:val="center"/>
          </w:tcPr>
          <w:p w14:paraId="4D596DC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w:t>
            </w:r>
          </w:p>
        </w:tc>
        <w:tc>
          <w:tcPr>
            <w:tcW w:w="5370" w:type="dxa"/>
            <w:vAlign w:val="center"/>
          </w:tcPr>
          <w:p w14:paraId="6A42898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《中华人民共和国价格法》第四十二条</w:t>
            </w:r>
            <w:r>
              <w:rPr>
                <w:rFonts w:hint="eastAsia" w:ascii="方正仿宋_GBK" w:hAnsi="方正仿宋_GBK" w:eastAsia="方正仿宋_GBK" w:cs="方正仿宋_GBK"/>
                <w:b w:val="0"/>
                <w:bCs w:val="0"/>
                <w:color w:val="auto"/>
                <w:sz w:val="24"/>
                <w:szCs w:val="24"/>
                <w:vertAlign w:val="baseline"/>
                <w:lang w:eastAsia="zh-CN"/>
              </w:rPr>
              <w:t>，《价格违法行为行政处罚规定》第十三条</w:t>
            </w:r>
          </w:p>
        </w:tc>
        <w:tc>
          <w:tcPr>
            <w:tcW w:w="1350" w:type="dxa"/>
            <w:vAlign w:val="center"/>
          </w:tcPr>
          <w:p w14:paraId="5B4676F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市场监督管理部门</w:t>
            </w:r>
          </w:p>
        </w:tc>
        <w:tc>
          <w:tcPr>
            <w:tcW w:w="1815" w:type="dxa"/>
            <w:vAlign w:val="center"/>
          </w:tcPr>
          <w:p w14:paraId="3166FF1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发展改革部门、民政部门</w:t>
            </w:r>
          </w:p>
        </w:tc>
        <w:tc>
          <w:tcPr>
            <w:tcW w:w="1255" w:type="dxa"/>
            <w:vAlign w:val="center"/>
          </w:tcPr>
          <w:p w14:paraId="6F3D132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2FB4A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7FDD778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16</w:t>
            </w:r>
          </w:p>
        </w:tc>
        <w:tc>
          <w:tcPr>
            <w:tcW w:w="1215" w:type="dxa"/>
            <w:vAlign w:val="center"/>
          </w:tcPr>
          <w:p w14:paraId="538BAC6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kern w:val="2"/>
                <w:sz w:val="24"/>
                <w:szCs w:val="24"/>
                <w:u w:val="none"/>
                <w:lang w:val="en-US" w:eastAsia="zh-CN" w:bidi="ar-SA"/>
              </w:rPr>
            </w:pPr>
            <w:r>
              <w:rPr>
                <w:rFonts w:hint="default" w:ascii="方正仿宋_GBK" w:hAnsi="方正仿宋_GBK" w:eastAsia="方正仿宋_GBK" w:cs="方正仿宋_GBK"/>
                <w:b w:val="0"/>
                <w:bCs w:val="0"/>
                <w:color w:val="auto"/>
                <w:kern w:val="2"/>
                <w:sz w:val="24"/>
                <w:szCs w:val="24"/>
                <w:u w:val="none"/>
                <w:lang w:val="en-US" w:eastAsia="zh-CN" w:bidi="ar-SA"/>
              </w:rPr>
              <w:t>殡葬</w:t>
            </w:r>
            <w:r>
              <w:rPr>
                <w:rFonts w:hint="eastAsia" w:ascii="方正仿宋_GBK" w:hAnsi="方正仿宋_GBK" w:eastAsia="方正仿宋_GBK" w:cs="方正仿宋_GBK"/>
                <w:b w:val="0"/>
                <w:bCs w:val="0"/>
                <w:color w:val="auto"/>
                <w:kern w:val="2"/>
                <w:sz w:val="24"/>
                <w:szCs w:val="24"/>
                <w:u w:val="none"/>
                <w:lang w:val="en-US" w:eastAsia="zh-CN" w:bidi="ar-SA"/>
              </w:rPr>
              <w:t>收费</w:t>
            </w:r>
          </w:p>
        </w:tc>
        <w:tc>
          <w:tcPr>
            <w:tcW w:w="2189" w:type="dxa"/>
            <w:vAlign w:val="center"/>
          </w:tcPr>
          <w:p w14:paraId="09DD7FB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Times New Roman" w:hAnsi="Times New Roman" w:eastAsia="方正仿宋_GBK" w:cs="Times New Roman"/>
                <w:b w:val="0"/>
                <w:bCs w:val="0"/>
                <w:color w:val="auto"/>
                <w:sz w:val="24"/>
                <w:szCs w:val="24"/>
                <w:u w:val="none"/>
                <w:lang w:val="en-US" w:eastAsia="zh-CN"/>
              </w:rPr>
              <w:t>对殡葬服务和商品</w:t>
            </w:r>
            <w:r>
              <w:rPr>
                <w:rFonts w:hint="default" w:ascii="Times New Roman" w:hAnsi="Times New Roman" w:eastAsia="方正仿宋_GBK" w:cs="Times New Roman"/>
                <w:b w:val="0"/>
                <w:bCs w:val="0"/>
                <w:color w:val="auto"/>
                <w:sz w:val="24"/>
                <w:szCs w:val="24"/>
                <w:u w:val="none"/>
                <w:lang w:val="en-US" w:eastAsia="zh-CN"/>
              </w:rPr>
              <w:t>实施不正当竞争</w:t>
            </w:r>
            <w:r>
              <w:rPr>
                <w:rFonts w:hint="eastAsia" w:ascii="Times New Roman" w:hAnsi="Times New Roman" w:eastAsia="方正仿宋_GBK" w:cs="Times New Roman"/>
                <w:b w:val="0"/>
                <w:bCs w:val="0"/>
                <w:color w:val="auto"/>
                <w:sz w:val="24"/>
                <w:szCs w:val="24"/>
                <w:u w:val="none"/>
                <w:lang w:val="en-US" w:eastAsia="zh-CN"/>
              </w:rPr>
              <w:t>行为的监管</w:t>
            </w:r>
          </w:p>
        </w:tc>
        <w:tc>
          <w:tcPr>
            <w:tcW w:w="1176" w:type="dxa"/>
            <w:vAlign w:val="center"/>
          </w:tcPr>
          <w:p w14:paraId="6BEAF8F9">
            <w:pPr>
              <w:keepNext w:val="0"/>
              <w:keepLines w:val="0"/>
              <w:pageBreakBefore w:val="0"/>
              <w:widowControl w:val="0"/>
              <w:tabs>
                <w:tab w:val="left" w:pos="330"/>
              </w:tabs>
              <w:kinsoku/>
              <w:wordWrap/>
              <w:overflowPunct/>
              <w:topLinePunct w:val="0"/>
              <w:autoSpaceDE/>
              <w:autoSpaceDN/>
              <w:bidi w:val="0"/>
              <w:adjustRightInd/>
              <w:snapToGrid/>
              <w:spacing w:line="320" w:lineRule="exact"/>
              <w:jc w:val="left"/>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经营单位</w:t>
            </w:r>
          </w:p>
        </w:tc>
        <w:tc>
          <w:tcPr>
            <w:tcW w:w="5370" w:type="dxa"/>
            <w:vAlign w:val="center"/>
          </w:tcPr>
          <w:p w14:paraId="299A6F4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eastAsia="zh-CN"/>
              </w:rPr>
              <w:t>《中华人民共和国反不正当竞争法》</w:t>
            </w:r>
            <w:r>
              <w:rPr>
                <w:rFonts w:hint="eastAsia" w:ascii="方正仿宋_GBK" w:hAnsi="方正仿宋_GBK" w:eastAsia="方正仿宋_GBK" w:cs="方正仿宋_GBK"/>
                <w:b w:val="0"/>
                <w:bCs w:val="0"/>
                <w:color w:val="auto"/>
                <w:sz w:val="24"/>
                <w:szCs w:val="24"/>
                <w:vertAlign w:val="baseline"/>
              </w:rPr>
              <w:t>第</w:t>
            </w:r>
            <w:r>
              <w:rPr>
                <w:rFonts w:hint="eastAsia" w:ascii="方正仿宋_GBK" w:hAnsi="方正仿宋_GBK" w:eastAsia="方正仿宋_GBK" w:cs="方正仿宋_GBK"/>
                <w:b w:val="0"/>
                <w:bCs w:val="0"/>
                <w:color w:val="auto"/>
                <w:sz w:val="24"/>
                <w:szCs w:val="24"/>
                <w:vertAlign w:val="baseline"/>
                <w:lang w:val="en-US" w:eastAsia="zh-CN"/>
              </w:rPr>
              <w:t>五</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、第</w:t>
            </w:r>
            <w:r>
              <w:rPr>
                <w:rFonts w:hint="eastAsia" w:ascii="方正仿宋_GBK" w:hAnsi="方正仿宋_GBK" w:eastAsia="方正仿宋_GBK" w:cs="方正仿宋_GBK"/>
                <w:b w:val="0"/>
                <w:bCs w:val="0"/>
                <w:color w:val="auto"/>
                <w:sz w:val="24"/>
                <w:szCs w:val="24"/>
                <w:vertAlign w:val="baseline"/>
                <w:lang w:val="en-US" w:eastAsia="zh-CN"/>
              </w:rPr>
              <w:t>二十三条至三十一</w:t>
            </w:r>
            <w:r>
              <w:rPr>
                <w:rFonts w:hint="eastAsia" w:ascii="方正仿宋_GBK" w:hAnsi="方正仿宋_GBK" w:eastAsia="方正仿宋_GBK" w:cs="方正仿宋_GBK"/>
                <w:b w:val="0"/>
                <w:bCs w:val="0"/>
                <w:color w:val="auto"/>
                <w:sz w:val="24"/>
                <w:szCs w:val="24"/>
                <w:vertAlign w:val="baseline"/>
                <w:lang w:eastAsia="zh-CN"/>
              </w:rPr>
              <w:t>条、第三十</w:t>
            </w:r>
            <w:r>
              <w:rPr>
                <w:rFonts w:hint="eastAsia" w:ascii="方正仿宋_GBK" w:hAnsi="方正仿宋_GBK" w:eastAsia="方正仿宋_GBK" w:cs="方正仿宋_GBK"/>
                <w:b w:val="0"/>
                <w:bCs w:val="0"/>
                <w:color w:val="auto"/>
                <w:sz w:val="24"/>
                <w:szCs w:val="24"/>
                <w:vertAlign w:val="baseline"/>
                <w:lang w:val="en-US" w:eastAsia="zh-CN"/>
              </w:rPr>
              <w:t>三</w:t>
            </w:r>
            <w:r>
              <w:rPr>
                <w:rFonts w:hint="eastAsia" w:ascii="方正仿宋_GBK" w:hAnsi="方正仿宋_GBK" w:eastAsia="方正仿宋_GBK" w:cs="方正仿宋_GBK"/>
                <w:b w:val="0"/>
                <w:bCs w:val="0"/>
                <w:color w:val="auto"/>
                <w:sz w:val="24"/>
                <w:szCs w:val="24"/>
                <w:vertAlign w:val="baseline"/>
                <w:lang w:eastAsia="zh-CN"/>
              </w:rPr>
              <w:t>条、</w:t>
            </w:r>
            <w:r>
              <w:rPr>
                <w:rFonts w:hint="eastAsia" w:ascii="方正仿宋_GBK" w:hAnsi="方正仿宋_GBK" w:eastAsia="方正仿宋_GBK" w:cs="方正仿宋_GBK"/>
                <w:b w:val="0"/>
                <w:bCs w:val="0"/>
                <w:color w:val="auto"/>
                <w:sz w:val="24"/>
                <w:szCs w:val="24"/>
                <w:vertAlign w:val="baseline"/>
                <w:lang w:val="en-US" w:eastAsia="zh-CN"/>
              </w:rPr>
              <w:t>第三十八条</w:t>
            </w:r>
          </w:p>
        </w:tc>
        <w:tc>
          <w:tcPr>
            <w:tcW w:w="1350" w:type="dxa"/>
            <w:vAlign w:val="center"/>
          </w:tcPr>
          <w:p w14:paraId="1437705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市场监督管理部门</w:t>
            </w:r>
          </w:p>
        </w:tc>
        <w:tc>
          <w:tcPr>
            <w:tcW w:w="1815" w:type="dxa"/>
            <w:vAlign w:val="center"/>
          </w:tcPr>
          <w:p w14:paraId="63FDCAB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民政部门、公安机关</w:t>
            </w:r>
          </w:p>
        </w:tc>
        <w:tc>
          <w:tcPr>
            <w:tcW w:w="1255" w:type="dxa"/>
            <w:vAlign w:val="center"/>
          </w:tcPr>
          <w:p w14:paraId="1A6569C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w:t>
            </w:r>
          </w:p>
        </w:tc>
      </w:tr>
      <w:tr w14:paraId="410BB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657DD3F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17</w:t>
            </w:r>
          </w:p>
        </w:tc>
        <w:tc>
          <w:tcPr>
            <w:tcW w:w="1215" w:type="dxa"/>
            <w:vAlign w:val="center"/>
          </w:tcPr>
          <w:p w14:paraId="022D974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495089C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对医院太平间殡仪服务业务</w:t>
            </w:r>
            <w:r>
              <w:rPr>
                <w:rFonts w:hint="eastAsia" w:ascii="方正仿宋_GBK" w:hAnsi="方正仿宋_GBK" w:eastAsia="方正仿宋_GBK" w:cs="方正仿宋_GBK"/>
                <w:b w:val="0"/>
                <w:bCs w:val="0"/>
                <w:color w:val="auto"/>
                <w:sz w:val="24"/>
                <w:szCs w:val="24"/>
                <w:vertAlign w:val="baseline"/>
                <w:lang w:val="en-US" w:eastAsia="zh-CN"/>
              </w:rPr>
              <w:t>及</w:t>
            </w:r>
            <w:r>
              <w:rPr>
                <w:rFonts w:hint="eastAsia" w:ascii="方正仿宋_GBK" w:hAnsi="方正仿宋_GBK" w:eastAsia="方正仿宋_GBK" w:cs="方正仿宋_GBK"/>
                <w:b w:val="0"/>
                <w:bCs w:val="0"/>
                <w:color w:val="auto"/>
                <w:sz w:val="24"/>
                <w:szCs w:val="24"/>
                <w:vertAlign w:val="baseline"/>
              </w:rPr>
              <w:t>非法倒卖或泄露丧者信息、诱导高消费以及勾连欺诈等不良行为的监管</w:t>
            </w:r>
          </w:p>
        </w:tc>
        <w:tc>
          <w:tcPr>
            <w:tcW w:w="1176" w:type="dxa"/>
            <w:vAlign w:val="center"/>
          </w:tcPr>
          <w:p w14:paraId="53DB3AE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医疗机构及其工作人员</w:t>
            </w:r>
          </w:p>
        </w:tc>
        <w:tc>
          <w:tcPr>
            <w:tcW w:w="5370" w:type="dxa"/>
            <w:vAlign w:val="center"/>
          </w:tcPr>
          <w:p w14:paraId="45E2293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宋体"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《中华人民共和国基本医疗卫生与健康促进法》第九十二条</w:t>
            </w:r>
            <w:r>
              <w:rPr>
                <w:rFonts w:hint="eastAsia" w:ascii="方正仿宋_GBK" w:hAnsi="方正仿宋_GBK" w:eastAsia="方正仿宋_GBK" w:cs="方正仿宋_GBK"/>
                <w:b w:val="0"/>
                <w:bCs w:val="0"/>
                <w:color w:val="auto"/>
                <w:sz w:val="24"/>
                <w:szCs w:val="24"/>
                <w:vertAlign w:val="baseline"/>
                <w:lang w:eastAsia="zh-CN"/>
              </w:rPr>
              <w:t>、第一百零一条、</w:t>
            </w:r>
            <w:r>
              <w:rPr>
                <w:rFonts w:hint="eastAsia" w:ascii="方正仿宋_GBK" w:hAnsi="方正仿宋_GBK" w:eastAsia="方正仿宋_GBK" w:cs="方正仿宋_GBK"/>
                <w:b w:val="0"/>
                <w:bCs w:val="0"/>
                <w:color w:val="auto"/>
                <w:sz w:val="24"/>
                <w:szCs w:val="24"/>
                <w:vertAlign w:val="baseline"/>
              </w:rPr>
              <w:t>第一百零</w:t>
            </w:r>
            <w:r>
              <w:rPr>
                <w:rFonts w:hint="eastAsia" w:ascii="方正仿宋_GBK" w:hAnsi="方正仿宋_GBK" w:eastAsia="方正仿宋_GBK" w:cs="方正仿宋_GBK"/>
                <w:b w:val="0"/>
                <w:bCs w:val="0"/>
                <w:color w:val="auto"/>
                <w:sz w:val="24"/>
                <w:szCs w:val="24"/>
                <w:vertAlign w:val="baseline"/>
                <w:lang w:val="en-US" w:eastAsia="zh-CN"/>
              </w:rPr>
              <w:t>二</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rPr>
              <w:t>第一百零</w:t>
            </w:r>
            <w:r>
              <w:rPr>
                <w:rFonts w:hint="eastAsia" w:ascii="方正仿宋_GBK" w:hAnsi="方正仿宋_GBK" w:eastAsia="方正仿宋_GBK" w:cs="方正仿宋_GBK"/>
                <w:b w:val="0"/>
                <w:bCs w:val="0"/>
                <w:color w:val="auto"/>
                <w:sz w:val="24"/>
                <w:szCs w:val="24"/>
                <w:vertAlign w:val="baseline"/>
                <w:lang w:val="en-US" w:eastAsia="zh-CN"/>
              </w:rPr>
              <w:t>五</w:t>
            </w:r>
            <w:r>
              <w:rPr>
                <w:rFonts w:hint="eastAsia" w:ascii="方正仿宋_GBK" w:hAnsi="方正仿宋_GBK" w:eastAsia="方正仿宋_GBK" w:cs="方正仿宋_GBK"/>
                <w:b w:val="0"/>
                <w:bCs w:val="0"/>
                <w:color w:val="auto"/>
                <w:sz w:val="24"/>
                <w:szCs w:val="24"/>
                <w:vertAlign w:val="baseline"/>
              </w:rPr>
              <w:t>条</w:t>
            </w:r>
          </w:p>
        </w:tc>
        <w:tc>
          <w:tcPr>
            <w:tcW w:w="1350" w:type="dxa"/>
            <w:vAlign w:val="center"/>
          </w:tcPr>
          <w:p w14:paraId="2F3410F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卫生健康部门</w:t>
            </w:r>
          </w:p>
        </w:tc>
        <w:tc>
          <w:tcPr>
            <w:tcW w:w="1815" w:type="dxa"/>
            <w:vAlign w:val="center"/>
          </w:tcPr>
          <w:p w14:paraId="38382C2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公安机关、民政部门、</w:t>
            </w:r>
            <w:r>
              <w:rPr>
                <w:rFonts w:hint="eastAsia" w:ascii="方正仿宋_GBK" w:hAnsi="方正仿宋_GBK" w:eastAsia="方正仿宋_GBK" w:cs="方正仿宋_GBK"/>
                <w:b w:val="0"/>
                <w:bCs w:val="0"/>
                <w:color w:val="auto"/>
                <w:sz w:val="24"/>
                <w:szCs w:val="24"/>
                <w:vertAlign w:val="baseline"/>
              </w:rPr>
              <w:t>市场监管</w:t>
            </w:r>
            <w:r>
              <w:rPr>
                <w:rFonts w:hint="eastAsia" w:ascii="方正仿宋_GBK" w:hAnsi="方正仿宋_GBK" w:eastAsia="方正仿宋_GBK" w:cs="方正仿宋_GBK"/>
                <w:b w:val="0"/>
                <w:bCs w:val="0"/>
                <w:color w:val="auto"/>
                <w:sz w:val="24"/>
                <w:szCs w:val="24"/>
                <w:vertAlign w:val="baseline"/>
                <w:lang w:val="en-US" w:eastAsia="zh-CN"/>
              </w:rPr>
              <w:t>部门</w:t>
            </w:r>
          </w:p>
        </w:tc>
        <w:tc>
          <w:tcPr>
            <w:tcW w:w="1255" w:type="dxa"/>
            <w:vAlign w:val="center"/>
          </w:tcPr>
          <w:p w14:paraId="0762513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41F70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0C51733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18</w:t>
            </w:r>
          </w:p>
        </w:tc>
        <w:tc>
          <w:tcPr>
            <w:tcW w:w="1215" w:type="dxa"/>
            <w:vAlign w:val="center"/>
          </w:tcPr>
          <w:p w14:paraId="0C50947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0F76442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医疗机构违规开具或买卖《居民死亡医学证明（推断书）》</w:t>
            </w:r>
            <w:r>
              <w:rPr>
                <w:rFonts w:hint="eastAsia" w:ascii="方正仿宋_GBK" w:hAnsi="方正仿宋_GBK" w:eastAsia="方正仿宋_GBK" w:cs="方正仿宋_GBK"/>
                <w:b w:val="0"/>
                <w:bCs w:val="0"/>
                <w:color w:val="auto"/>
                <w:sz w:val="24"/>
                <w:szCs w:val="24"/>
                <w:vertAlign w:val="baseline"/>
                <w:lang w:val="en-US" w:eastAsia="zh-CN"/>
              </w:rPr>
              <w:t>的监管</w:t>
            </w:r>
          </w:p>
        </w:tc>
        <w:tc>
          <w:tcPr>
            <w:tcW w:w="1176" w:type="dxa"/>
            <w:vAlign w:val="center"/>
          </w:tcPr>
          <w:p w14:paraId="4F8D000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医疗机构及其工作人员</w:t>
            </w:r>
          </w:p>
        </w:tc>
        <w:tc>
          <w:tcPr>
            <w:tcW w:w="5370" w:type="dxa"/>
            <w:vAlign w:val="center"/>
          </w:tcPr>
          <w:p w14:paraId="7C91336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《医疗机构管理条例》第三十</w:t>
            </w:r>
            <w:r>
              <w:rPr>
                <w:rFonts w:hint="eastAsia" w:ascii="方正仿宋_GBK" w:hAnsi="方正仿宋_GBK" w:eastAsia="方正仿宋_GBK" w:cs="方正仿宋_GBK"/>
                <w:b w:val="0"/>
                <w:bCs w:val="0"/>
                <w:color w:val="auto"/>
                <w:sz w:val="24"/>
                <w:szCs w:val="24"/>
                <w:vertAlign w:val="baseline"/>
                <w:lang w:val="en-US" w:eastAsia="zh-CN"/>
              </w:rPr>
              <w:t>一</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第四十八条，《医疗机构管理条例实施细则》第八十二条</w:t>
            </w:r>
          </w:p>
        </w:tc>
        <w:tc>
          <w:tcPr>
            <w:tcW w:w="1350" w:type="dxa"/>
            <w:vAlign w:val="center"/>
          </w:tcPr>
          <w:p w14:paraId="60C9A9F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卫生健康部门</w:t>
            </w:r>
          </w:p>
        </w:tc>
        <w:tc>
          <w:tcPr>
            <w:tcW w:w="1815" w:type="dxa"/>
            <w:vAlign w:val="center"/>
          </w:tcPr>
          <w:p w14:paraId="619817A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255" w:type="dxa"/>
            <w:vAlign w:val="center"/>
          </w:tcPr>
          <w:p w14:paraId="159BB8B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0265F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691EC68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19</w:t>
            </w:r>
          </w:p>
        </w:tc>
        <w:tc>
          <w:tcPr>
            <w:tcW w:w="1215" w:type="dxa"/>
            <w:vAlign w:val="center"/>
          </w:tcPr>
          <w:p w14:paraId="63381D1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7077CF6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对买卖人体器官或者从事与买卖人体器官有关活动的</w:t>
            </w:r>
            <w:r>
              <w:rPr>
                <w:rFonts w:hint="eastAsia" w:ascii="方正仿宋_GBK" w:hAnsi="方正仿宋_GBK" w:eastAsia="方正仿宋_GBK" w:cs="方正仿宋_GBK"/>
                <w:b w:val="0"/>
                <w:bCs w:val="0"/>
                <w:color w:val="auto"/>
                <w:sz w:val="24"/>
                <w:szCs w:val="24"/>
                <w:vertAlign w:val="baseline"/>
                <w:lang w:val="en-US" w:eastAsia="zh-CN"/>
              </w:rPr>
              <w:t>监管</w:t>
            </w:r>
          </w:p>
        </w:tc>
        <w:tc>
          <w:tcPr>
            <w:tcW w:w="1176" w:type="dxa"/>
            <w:vAlign w:val="center"/>
          </w:tcPr>
          <w:p w14:paraId="6E570AD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医疗机构及其工作人员，其他人员</w:t>
            </w:r>
          </w:p>
        </w:tc>
        <w:tc>
          <w:tcPr>
            <w:tcW w:w="5370" w:type="dxa"/>
            <w:vAlign w:val="center"/>
          </w:tcPr>
          <w:p w14:paraId="1E9F62A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rPr>
              <w:t>人体器官捐献和移植条例</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rPr>
              <w:t>第</w:t>
            </w:r>
            <w:r>
              <w:rPr>
                <w:rFonts w:hint="eastAsia" w:ascii="方正仿宋_GBK" w:hAnsi="方正仿宋_GBK" w:eastAsia="方正仿宋_GBK" w:cs="方正仿宋_GBK"/>
                <w:b w:val="0"/>
                <w:bCs w:val="0"/>
                <w:color w:val="auto"/>
                <w:sz w:val="24"/>
                <w:szCs w:val="24"/>
                <w:vertAlign w:val="baseline"/>
                <w:lang w:val="en-US" w:eastAsia="zh-CN"/>
              </w:rPr>
              <w:t>六</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、第</w:t>
            </w:r>
            <w:r>
              <w:rPr>
                <w:rFonts w:hint="eastAsia" w:ascii="方正仿宋_GBK" w:hAnsi="方正仿宋_GBK" w:eastAsia="方正仿宋_GBK" w:cs="方正仿宋_GBK"/>
                <w:b w:val="0"/>
                <w:bCs w:val="0"/>
                <w:color w:val="auto"/>
                <w:sz w:val="24"/>
                <w:szCs w:val="24"/>
                <w:vertAlign w:val="baseline"/>
                <w:lang w:val="en-US" w:eastAsia="zh-CN"/>
              </w:rPr>
              <w:t>三十七</w:t>
            </w:r>
            <w:r>
              <w:rPr>
                <w:rFonts w:hint="eastAsia" w:ascii="方正仿宋_GBK" w:hAnsi="方正仿宋_GBK" w:eastAsia="方正仿宋_GBK" w:cs="方正仿宋_GBK"/>
                <w:b w:val="0"/>
                <w:bCs w:val="0"/>
                <w:color w:val="auto"/>
                <w:sz w:val="24"/>
                <w:szCs w:val="24"/>
                <w:vertAlign w:val="baseline"/>
                <w:lang w:eastAsia="zh-CN"/>
              </w:rPr>
              <w:t>条</w:t>
            </w:r>
          </w:p>
        </w:tc>
        <w:tc>
          <w:tcPr>
            <w:tcW w:w="1350" w:type="dxa"/>
            <w:vAlign w:val="center"/>
          </w:tcPr>
          <w:p w14:paraId="29318E2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卫生健康部门</w:t>
            </w:r>
          </w:p>
        </w:tc>
        <w:tc>
          <w:tcPr>
            <w:tcW w:w="1815" w:type="dxa"/>
            <w:vAlign w:val="center"/>
          </w:tcPr>
          <w:p w14:paraId="6AF640C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公安机关</w:t>
            </w:r>
          </w:p>
        </w:tc>
        <w:tc>
          <w:tcPr>
            <w:tcW w:w="1255" w:type="dxa"/>
            <w:vAlign w:val="center"/>
          </w:tcPr>
          <w:p w14:paraId="26A064D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r w14:paraId="22601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767" w:type="dxa"/>
            <w:vMerge w:val="restart"/>
            <w:vAlign w:val="center"/>
          </w:tcPr>
          <w:p w14:paraId="7428443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20</w:t>
            </w:r>
          </w:p>
        </w:tc>
        <w:tc>
          <w:tcPr>
            <w:tcW w:w="1215" w:type="dxa"/>
            <w:vMerge w:val="restart"/>
            <w:vAlign w:val="center"/>
          </w:tcPr>
          <w:p w14:paraId="640638B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Merge w:val="restart"/>
            <w:vAlign w:val="center"/>
          </w:tcPr>
          <w:p w14:paraId="3044CA9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对遗体接运服务业务的监管</w:t>
            </w:r>
          </w:p>
        </w:tc>
        <w:tc>
          <w:tcPr>
            <w:tcW w:w="1176" w:type="dxa"/>
            <w:vMerge w:val="restart"/>
            <w:vAlign w:val="center"/>
          </w:tcPr>
          <w:p w14:paraId="384458E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殡葬服务机构、经营单位、个人</w:t>
            </w:r>
          </w:p>
        </w:tc>
        <w:tc>
          <w:tcPr>
            <w:tcW w:w="5370" w:type="dxa"/>
            <w:vAlign w:val="center"/>
          </w:tcPr>
          <w:p w14:paraId="0DEADAD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江苏省殡葬管理条例</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第二十八条、第四十九条、第五十条</w:t>
            </w:r>
          </w:p>
        </w:tc>
        <w:tc>
          <w:tcPr>
            <w:tcW w:w="1350" w:type="dxa"/>
            <w:vAlign w:val="center"/>
          </w:tcPr>
          <w:p w14:paraId="1CEC885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6D2AC82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市场监管部门、公安机关</w:t>
            </w:r>
          </w:p>
        </w:tc>
        <w:tc>
          <w:tcPr>
            <w:tcW w:w="1255" w:type="dxa"/>
            <w:vAlign w:val="center"/>
          </w:tcPr>
          <w:p w14:paraId="515B07D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3292D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767" w:type="dxa"/>
            <w:vMerge w:val="continue"/>
            <w:vAlign w:val="center"/>
          </w:tcPr>
          <w:p w14:paraId="21BBDA15">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p>
        </w:tc>
        <w:tc>
          <w:tcPr>
            <w:tcW w:w="1215" w:type="dxa"/>
            <w:vMerge w:val="continue"/>
            <w:vAlign w:val="center"/>
          </w:tcPr>
          <w:p w14:paraId="498CC50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p>
        </w:tc>
        <w:tc>
          <w:tcPr>
            <w:tcW w:w="2189" w:type="dxa"/>
            <w:vMerge w:val="continue"/>
            <w:vAlign w:val="center"/>
          </w:tcPr>
          <w:p w14:paraId="5736913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p>
        </w:tc>
        <w:tc>
          <w:tcPr>
            <w:tcW w:w="1176" w:type="dxa"/>
            <w:vMerge w:val="continue"/>
            <w:vAlign w:val="center"/>
          </w:tcPr>
          <w:p w14:paraId="0CFA741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p>
        </w:tc>
        <w:tc>
          <w:tcPr>
            <w:tcW w:w="5370" w:type="dxa"/>
            <w:vAlign w:val="center"/>
          </w:tcPr>
          <w:p w14:paraId="405A86F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《中华人民共和国道路运输条例》第六十三条</w:t>
            </w:r>
            <w:r>
              <w:rPr>
                <w:rFonts w:hint="eastAsia" w:ascii="方正仿宋_GBK" w:hAnsi="方正仿宋_GBK" w:eastAsia="方正仿宋_GBK" w:cs="方正仿宋_GBK"/>
                <w:b w:val="0"/>
                <w:bCs w:val="0"/>
                <w:color w:val="auto"/>
                <w:sz w:val="24"/>
                <w:szCs w:val="24"/>
                <w:vertAlign w:val="baseline"/>
                <w:lang w:eastAsia="zh-CN"/>
              </w:rPr>
              <w:t>，《道路旅客运输及客运站管理规定》第九十三条</w:t>
            </w:r>
          </w:p>
        </w:tc>
        <w:tc>
          <w:tcPr>
            <w:tcW w:w="1350" w:type="dxa"/>
            <w:vAlign w:val="center"/>
          </w:tcPr>
          <w:p w14:paraId="5E90BA6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交通运输部门</w:t>
            </w:r>
          </w:p>
        </w:tc>
        <w:tc>
          <w:tcPr>
            <w:tcW w:w="1815" w:type="dxa"/>
            <w:vAlign w:val="center"/>
          </w:tcPr>
          <w:p w14:paraId="08DF213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255" w:type="dxa"/>
            <w:vAlign w:val="center"/>
          </w:tcPr>
          <w:p w14:paraId="3B71E28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7F910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Merge w:val="continue"/>
            <w:vAlign w:val="center"/>
          </w:tcPr>
          <w:p w14:paraId="73A0EF1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p>
        </w:tc>
        <w:tc>
          <w:tcPr>
            <w:tcW w:w="1215" w:type="dxa"/>
            <w:vMerge w:val="continue"/>
            <w:vAlign w:val="center"/>
          </w:tcPr>
          <w:p w14:paraId="4B9A0A2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p>
        </w:tc>
        <w:tc>
          <w:tcPr>
            <w:tcW w:w="2189" w:type="dxa"/>
            <w:vMerge w:val="continue"/>
            <w:vAlign w:val="center"/>
          </w:tcPr>
          <w:p w14:paraId="3581CBD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p>
        </w:tc>
        <w:tc>
          <w:tcPr>
            <w:tcW w:w="1176" w:type="dxa"/>
            <w:vMerge w:val="continue"/>
            <w:vAlign w:val="center"/>
          </w:tcPr>
          <w:p w14:paraId="517D3AF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p>
        </w:tc>
        <w:tc>
          <w:tcPr>
            <w:tcW w:w="5370" w:type="dxa"/>
            <w:vAlign w:val="center"/>
          </w:tcPr>
          <w:p w14:paraId="5FBE6A9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lang w:eastAsia="zh-CN"/>
              </w:rPr>
              <w:t>《中华人民共和国道路交通安全法》第一百零</w:t>
            </w:r>
            <w:r>
              <w:rPr>
                <w:rFonts w:hint="eastAsia" w:ascii="方正仿宋_GBK" w:hAnsi="方正仿宋_GBK" w:eastAsia="方正仿宋_GBK" w:cs="方正仿宋_GBK"/>
                <w:b w:val="0"/>
                <w:bCs w:val="0"/>
                <w:color w:val="auto"/>
                <w:sz w:val="24"/>
                <w:szCs w:val="24"/>
                <w:vertAlign w:val="baseline"/>
                <w:lang w:val="en-US" w:eastAsia="zh-CN"/>
              </w:rPr>
              <w:t>三</w:t>
            </w:r>
            <w:r>
              <w:rPr>
                <w:rFonts w:hint="eastAsia" w:ascii="方正仿宋_GBK" w:hAnsi="方正仿宋_GBK" w:eastAsia="方正仿宋_GBK" w:cs="方正仿宋_GBK"/>
                <w:b w:val="0"/>
                <w:bCs w:val="0"/>
                <w:color w:val="auto"/>
                <w:sz w:val="24"/>
                <w:szCs w:val="24"/>
                <w:vertAlign w:val="baseline"/>
                <w:lang w:eastAsia="zh-CN"/>
              </w:rPr>
              <w:t>条，</w:t>
            </w:r>
            <w:r>
              <w:rPr>
                <w:rFonts w:hint="eastAsia" w:ascii="方正仿宋_GBK" w:hAnsi="方正仿宋_GBK" w:eastAsia="方正仿宋_GBK" w:cs="方正仿宋_GBK"/>
                <w:b w:val="0"/>
                <w:bCs w:val="0"/>
                <w:color w:val="auto"/>
                <w:sz w:val="24"/>
                <w:szCs w:val="24"/>
                <w:vertAlign w:val="baseline"/>
              </w:rPr>
              <w:t>《中华人民共和国道路运输条例》第六十九条</w:t>
            </w:r>
            <w:r>
              <w:rPr>
                <w:rFonts w:hint="eastAsia" w:ascii="方正仿宋_GBK" w:hAnsi="方正仿宋_GBK" w:eastAsia="方正仿宋_GBK" w:cs="方正仿宋_GBK"/>
                <w:b w:val="0"/>
                <w:bCs w:val="0"/>
                <w:color w:val="auto"/>
                <w:sz w:val="24"/>
                <w:szCs w:val="24"/>
                <w:vertAlign w:val="baseline"/>
                <w:lang w:eastAsia="zh-CN"/>
              </w:rPr>
              <w:t>、第七十一条，《机动车维修管理规定》第五十一条</w:t>
            </w:r>
          </w:p>
        </w:tc>
        <w:tc>
          <w:tcPr>
            <w:tcW w:w="1350" w:type="dxa"/>
            <w:vAlign w:val="center"/>
          </w:tcPr>
          <w:p w14:paraId="1DAD64F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rPr>
              <w:t>交通运输部门</w:t>
            </w:r>
          </w:p>
        </w:tc>
        <w:tc>
          <w:tcPr>
            <w:tcW w:w="1815" w:type="dxa"/>
            <w:vAlign w:val="center"/>
          </w:tcPr>
          <w:p w14:paraId="420E3EE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市场监管部门</w:t>
            </w:r>
          </w:p>
        </w:tc>
        <w:tc>
          <w:tcPr>
            <w:tcW w:w="1255" w:type="dxa"/>
            <w:vAlign w:val="center"/>
          </w:tcPr>
          <w:p w14:paraId="760EC86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0779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Merge w:val="continue"/>
            <w:vAlign w:val="center"/>
          </w:tcPr>
          <w:p w14:paraId="276ABE1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p>
        </w:tc>
        <w:tc>
          <w:tcPr>
            <w:tcW w:w="1215" w:type="dxa"/>
            <w:vMerge w:val="continue"/>
            <w:vAlign w:val="center"/>
          </w:tcPr>
          <w:p w14:paraId="36711FC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p>
        </w:tc>
        <w:tc>
          <w:tcPr>
            <w:tcW w:w="2189" w:type="dxa"/>
            <w:vMerge w:val="continue"/>
            <w:vAlign w:val="center"/>
          </w:tcPr>
          <w:p w14:paraId="27B4FA6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p>
        </w:tc>
        <w:tc>
          <w:tcPr>
            <w:tcW w:w="1176" w:type="dxa"/>
            <w:vMerge w:val="continue"/>
            <w:vAlign w:val="center"/>
          </w:tcPr>
          <w:p w14:paraId="3CF11A0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p>
        </w:tc>
        <w:tc>
          <w:tcPr>
            <w:tcW w:w="5370" w:type="dxa"/>
            <w:vAlign w:val="center"/>
          </w:tcPr>
          <w:p w14:paraId="312E969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eastAsia="zh-CN"/>
              </w:rPr>
              <w:t>《中华人民共和国道路交通安全法》第一百</w:t>
            </w:r>
            <w:r>
              <w:rPr>
                <w:rFonts w:hint="eastAsia" w:ascii="方正仿宋_GBK" w:hAnsi="方正仿宋_GBK" w:eastAsia="方正仿宋_GBK" w:cs="方正仿宋_GBK"/>
                <w:b w:val="0"/>
                <w:bCs w:val="0"/>
                <w:color w:val="auto"/>
                <w:sz w:val="24"/>
                <w:szCs w:val="24"/>
                <w:vertAlign w:val="baseline"/>
                <w:lang w:val="en-US" w:eastAsia="zh-CN"/>
              </w:rPr>
              <w:t>条、第一百</w:t>
            </w:r>
            <w:r>
              <w:rPr>
                <w:rFonts w:hint="eastAsia" w:ascii="方正仿宋_GBK" w:hAnsi="方正仿宋_GBK" w:eastAsia="方正仿宋_GBK" w:cs="方正仿宋_GBK"/>
                <w:b w:val="0"/>
                <w:bCs w:val="0"/>
                <w:color w:val="auto"/>
                <w:sz w:val="24"/>
                <w:szCs w:val="24"/>
                <w:vertAlign w:val="baseline"/>
                <w:lang w:eastAsia="zh-CN"/>
              </w:rPr>
              <w:t>零</w:t>
            </w:r>
            <w:r>
              <w:rPr>
                <w:rFonts w:hint="eastAsia" w:ascii="方正仿宋_GBK" w:hAnsi="方正仿宋_GBK" w:eastAsia="方正仿宋_GBK" w:cs="方正仿宋_GBK"/>
                <w:b w:val="0"/>
                <w:bCs w:val="0"/>
                <w:color w:val="auto"/>
                <w:sz w:val="24"/>
                <w:szCs w:val="24"/>
                <w:vertAlign w:val="baseline"/>
                <w:lang w:val="en-US" w:eastAsia="zh-CN"/>
              </w:rPr>
              <w:t>一条</w:t>
            </w:r>
          </w:p>
        </w:tc>
        <w:tc>
          <w:tcPr>
            <w:tcW w:w="1350" w:type="dxa"/>
            <w:vAlign w:val="center"/>
          </w:tcPr>
          <w:p w14:paraId="7550557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公安机关</w:t>
            </w:r>
          </w:p>
        </w:tc>
        <w:tc>
          <w:tcPr>
            <w:tcW w:w="1815" w:type="dxa"/>
            <w:vAlign w:val="center"/>
          </w:tcPr>
          <w:p w14:paraId="072C1E4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255" w:type="dxa"/>
            <w:vAlign w:val="center"/>
          </w:tcPr>
          <w:p w14:paraId="733789C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0C4D4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2F4242C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21</w:t>
            </w:r>
          </w:p>
        </w:tc>
        <w:tc>
          <w:tcPr>
            <w:tcW w:w="1215" w:type="dxa"/>
            <w:vAlign w:val="center"/>
          </w:tcPr>
          <w:p w14:paraId="3995440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637A8E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对办理丧事活动的监管</w:t>
            </w:r>
          </w:p>
        </w:tc>
        <w:tc>
          <w:tcPr>
            <w:tcW w:w="1176" w:type="dxa"/>
            <w:vAlign w:val="center"/>
          </w:tcPr>
          <w:p w14:paraId="092D0E6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殡葬服务机构、经营单位、个人</w:t>
            </w:r>
          </w:p>
        </w:tc>
        <w:tc>
          <w:tcPr>
            <w:tcW w:w="5370" w:type="dxa"/>
            <w:vAlign w:val="center"/>
          </w:tcPr>
          <w:p w14:paraId="51E6693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殡葬管理条例</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第二十一条</w:t>
            </w:r>
          </w:p>
        </w:tc>
        <w:tc>
          <w:tcPr>
            <w:tcW w:w="1350" w:type="dxa"/>
            <w:vAlign w:val="center"/>
          </w:tcPr>
          <w:p w14:paraId="7002760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4497441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公安机关</w:t>
            </w:r>
          </w:p>
        </w:tc>
        <w:tc>
          <w:tcPr>
            <w:tcW w:w="1255" w:type="dxa"/>
            <w:vAlign w:val="center"/>
          </w:tcPr>
          <w:p w14:paraId="2C2F75A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58C39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1D496D9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22</w:t>
            </w:r>
          </w:p>
        </w:tc>
        <w:tc>
          <w:tcPr>
            <w:tcW w:w="1215" w:type="dxa"/>
            <w:vAlign w:val="center"/>
          </w:tcPr>
          <w:p w14:paraId="4DF8FD9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0D4EAD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对违规提供殡葬服务的监管</w:t>
            </w:r>
          </w:p>
        </w:tc>
        <w:tc>
          <w:tcPr>
            <w:tcW w:w="1176" w:type="dxa"/>
            <w:vAlign w:val="center"/>
          </w:tcPr>
          <w:p w14:paraId="5916F3E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殡葬服务单位</w:t>
            </w:r>
          </w:p>
        </w:tc>
        <w:tc>
          <w:tcPr>
            <w:tcW w:w="5370" w:type="dxa"/>
            <w:vAlign w:val="center"/>
          </w:tcPr>
          <w:p w14:paraId="427FA43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江苏省殡葬管理条例</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第二十八条、第五十条</w:t>
            </w:r>
          </w:p>
        </w:tc>
        <w:tc>
          <w:tcPr>
            <w:tcW w:w="1350" w:type="dxa"/>
            <w:vAlign w:val="center"/>
          </w:tcPr>
          <w:p w14:paraId="009FF21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25C2AFB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市场监管部门、公安机关</w:t>
            </w:r>
          </w:p>
        </w:tc>
        <w:tc>
          <w:tcPr>
            <w:tcW w:w="1255" w:type="dxa"/>
            <w:vAlign w:val="center"/>
          </w:tcPr>
          <w:p w14:paraId="0F3114A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2D642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7B81494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23</w:t>
            </w:r>
          </w:p>
        </w:tc>
        <w:tc>
          <w:tcPr>
            <w:tcW w:w="1215" w:type="dxa"/>
            <w:vAlign w:val="center"/>
          </w:tcPr>
          <w:p w14:paraId="3279153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3F6B139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对违法违规存放骨灰行为的监管</w:t>
            </w:r>
          </w:p>
        </w:tc>
        <w:tc>
          <w:tcPr>
            <w:tcW w:w="1176" w:type="dxa"/>
            <w:vAlign w:val="center"/>
          </w:tcPr>
          <w:p w14:paraId="247F615F">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59FFAC3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lang w:eastAsia="zh-CN"/>
              </w:rPr>
            </w:pPr>
            <w:r>
              <w:rPr>
                <w:rFonts w:hint="eastAsia" w:ascii="方正仿宋_GBK" w:hAnsi="方正仿宋_GBK" w:eastAsia="方正仿宋_GBK" w:cs="方正仿宋_GBK"/>
                <w:b w:val="0"/>
                <w:bCs w:val="0"/>
                <w:color w:val="auto"/>
                <w:sz w:val="24"/>
                <w:szCs w:val="24"/>
                <w:vertAlign w:val="baseline"/>
              </w:rPr>
              <w:t>《殡葬管理条例》第</w:t>
            </w:r>
            <w:r>
              <w:rPr>
                <w:rFonts w:hint="eastAsia" w:ascii="方正仿宋_GBK" w:hAnsi="方正仿宋_GBK" w:eastAsia="方正仿宋_GBK" w:cs="方正仿宋_GBK"/>
                <w:b w:val="0"/>
                <w:bCs w:val="0"/>
                <w:color w:val="auto"/>
                <w:sz w:val="24"/>
                <w:szCs w:val="24"/>
                <w:vertAlign w:val="baseline"/>
                <w:lang w:val="en-US" w:eastAsia="zh-CN"/>
              </w:rPr>
              <w:t>九</w:t>
            </w:r>
            <w:r>
              <w:rPr>
                <w:rFonts w:hint="eastAsia" w:ascii="方正仿宋_GBK" w:hAnsi="方正仿宋_GBK" w:eastAsia="方正仿宋_GBK" w:cs="方正仿宋_GBK"/>
                <w:b w:val="0"/>
                <w:bCs w:val="0"/>
                <w:color w:val="auto"/>
                <w:sz w:val="24"/>
                <w:szCs w:val="24"/>
                <w:vertAlign w:val="baseline"/>
              </w:rPr>
              <w:t>条</w:t>
            </w:r>
            <w:r>
              <w:rPr>
                <w:rFonts w:hint="eastAsia" w:ascii="方正仿宋_GBK" w:hAnsi="方正仿宋_GBK" w:eastAsia="方正仿宋_GBK" w:cs="方正仿宋_GBK"/>
                <w:b w:val="0"/>
                <w:bCs w:val="0"/>
                <w:color w:val="auto"/>
                <w:sz w:val="24"/>
                <w:szCs w:val="24"/>
                <w:vertAlign w:val="baseline"/>
                <w:lang w:eastAsia="zh-CN"/>
              </w:rPr>
              <w:t>，《中华人民共和国治安管理处罚法》（</w:t>
            </w:r>
            <w:r>
              <w:rPr>
                <w:rFonts w:hint="eastAsia" w:ascii="方正仿宋_GBK" w:hAnsi="方正仿宋_GBK" w:eastAsia="方正仿宋_GBK" w:cs="方正仿宋_GBK"/>
                <w:b w:val="0"/>
                <w:bCs w:val="0"/>
                <w:color w:val="auto"/>
                <w:sz w:val="24"/>
                <w:szCs w:val="24"/>
                <w:vertAlign w:val="baseline"/>
                <w:lang w:val="en-US" w:eastAsia="zh-CN"/>
              </w:rPr>
              <w:t>2012年修订版</w:t>
            </w:r>
            <w:r>
              <w:rPr>
                <w:rFonts w:hint="eastAsia" w:ascii="方正仿宋_GBK" w:hAnsi="方正仿宋_GBK" w:eastAsia="方正仿宋_GBK" w:cs="方正仿宋_GBK"/>
                <w:b w:val="0"/>
                <w:bCs w:val="0"/>
                <w:color w:val="auto"/>
                <w:sz w:val="24"/>
                <w:szCs w:val="24"/>
                <w:vertAlign w:val="baseline"/>
                <w:lang w:eastAsia="zh-CN"/>
              </w:rPr>
              <w:t>）第六十五条</w:t>
            </w:r>
          </w:p>
        </w:tc>
        <w:tc>
          <w:tcPr>
            <w:tcW w:w="1350" w:type="dxa"/>
            <w:vAlign w:val="center"/>
          </w:tcPr>
          <w:p w14:paraId="49C3B82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47D0C94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公安机关</w:t>
            </w:r>
          </w:p>
        </w:tc>
        <w:tc>
          <w:tcPr>
            <w:tcW w:w="1255" w:type="dxa"/>
            <w:vAlign w:val="center"/>
          </w:tcPr>
          <w:p w14:paraId="7C4C43A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0ACB4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5B966FE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24</w:t>
            </w:r>
          </w:p>
        </w:tc>
        <w:tc>
          <w:tcPr>
            <w:tcW w:w="1215" w:type="dxa"/>
            <w:vAlign w:val="center"/>
          </w:tcPr>
          <w:p w14:paraId="6F12630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1C00115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kern w:val="2"/>
                <w:sz w:val="24"/>
                <w:szCs w:val="24"/>
                <w:u w:val="none"/>
                <w:lang w:val="en-US" w:eastAsia="zh-CN" w:bidi="ar-SA"/>
              </w:rPr>
              <w:t>对</w:t>
            </w:r>
            <w:r>
              <w:rPr>
                <w:rFonts w:hint="default" w:ascii="方正仿宋_GBK" w:hAnsi="方正仿宋_GBK" w:eastAsia="方正仿宋_GBK" w:cs="方正仿宋_GBK"/>
                <w:b w:val="0"/>
                <w:bCs w:val="0"/>
                <w:color w:val="auto"/>
                <w:kern w:val="2"/>
                <w:sz w:val="24"/>
                <w:szCs w:val="24"/>
                <w:u w:val="none"/>
                <w:lang w:val="en-US" w:eastAsia="zh-CN" w:bidi="ar-SA"/>
              </w:rPr>
              <w:t>殡葬中介和民间从业人员</w:t>
            </w:r>
            <w:r>
              <w:rPr>
                <w:rFonts w:hint="eastAsia" w:ascii="方正仿宋_GBK" w:hAnsi="方正仿宋_GBK" w:eastAsia="方正仿宋_GBK" w:cs="方正仿宋_GBK"/>
                <w:b w:val="0"/>
                <w:bCs w:val="0"/>
                <w:color w:val="auto"/>
                <w:kern w:val="2"/>
                <w:sz w:val="24"/>
                <w:szCs w:val="24"/>
                <w:u w:val="none"/>
                <w:lang w:val="en-US" w:eastAsia="zh-CN" w:bidi="ar-SA"/>
              </w:rPr>
              <w:t>的</w:t>
            </w:r>
            <w:r>
              <w:rPr>
                <w:rFonts w:hint="default" w:ascii="方正仿宋_GBK" w:hAnsi="方正仿宋_GBK" w:eastAsia="方正仿宋_GBK" w:cs="方正仿宋_GBK"/>
                <w:b w:val="0"/>
                <w:bCs w:val="0"/>
                <w:color w:val="auto"/>
                <w:kern w:val="2"/>
                <w:sz w:val="24"/>
                <w:szCs w:val="24"/>
                <w:u w:val="none"/>
                <w:lang w:val="en-US" w:eastAsia="zh-CN" w:bidi="ar-SA"/>
              </w:rPr>
              <w:t>监管</w:t>
            </w:r>
          </w:p>
        </w:tc>
        <w:tc>
          <w:tcPr>
            <w:tcW w:w="1176" w:type="dxa"/>
            <w:vAlign w:val="center"/>
          </w:tcPr>
          <w:p w14:paraId="2B8F1BE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经营单位及个人</w:t>
            </w:r>
          </w:p>
        </w:tc>
        <w:tc>
          <w:tcPr>
            <w:tcW w:w="5370" w:type="dxa"/>
            <w:vAlign w:val="center"/>
          </w:tcPr>
          <w:p w14:paraId="670D3C7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eastAsia="zh-CN"/>
              </w:rPr>
              <w:t>《中华人民共和国市场主体登记管理条例》</w:t>
            </w:r>
            <w:r>
              <w:rPr>
                <w:rFonts w:hint="eastAsia" w:ascii="方正仿宋_GBK" w:hAnsi="方正仿宋_GBK" w:eastAsia="方正仿宋_GBK" w:cs="方正仿宋_GBK"/>
                <w:b w:val="0"/>
                <w:bCs w:val="0"/>
                <w:color w:val="auto"/>
                <w:sz w:val="24"/>
                <w:szCs w:val="24"/>
                <w:vertAlign w:val="baseline"/>
                <w:lang w:val="en-US" w:eastAsia="zh-CN"/>
              </w:rPr>
              <w:t>第三条、第四十三</w:t>
            </w:r>
            <w:r>
              <w:rPr>
                <w:rFonts w:hint="eastAsia" w:ascii="方正仿宋_GBK" w:hAnsi="方正仿宋_GBK" w:eastAsia="方正仿宋_GBK" w:cs="方正仿宋_GBK"/>
                <w:b w:val="0"/>
                <w:bCs w:val="0"/>
                <w:color w:val="auto"/>
                <w:sz w:val="24"/>
                <w:szCs w:val="24"/>
                <w:vertAlign w:val="baseline"/>
                <w:lang w:eastAsia="zh-CN"/>
              </w:rPr>
              <w:t>条，《无证无照经营查处办法》第十三条、第十</w:t>
            </w:r>
            <w:r>
              <w:rPr>
                <w:rFonts w:hint="eastAsia" w:ascii="方正仿宋_GBK" w:hAnsi="方正仿宋_GBK" w:eastAsia="方正仿宋_GBK" w:cs="方正仿宋_GBK"/>
                <w:b w:val="0"/>
                <w:bCs w:val="0"/>
                <w:color w:val="auto"/>
                <w:sz w:val="24"/>
                <w:szCs w:val="24"/>
                <w:vertAlign w:val="baseline"/>
                <w:lang w:val="en-US" w:eastAsia="zh-CN"/>
              </w:rPr>
              <w:t>五</w:t>
            </w:r>
            <w:r>
              <w:rPr>
                <w:rFonts w:hint="eastAsia" w:ascii="方正仿宋_GBK" w:hAnsi="方正仿宋_GBK" w:eastAsia="方正仿宋_GBK" w:cs="方正仿宋_GBK"/>
                <w:b w:val="0"/>
                <w:bCs w:val="0"/>
                <w:color w:val="auto"/>
                <w:sz w:val="24"/>
                <w:szCs w:val="24"/>
                <w:vertAlign w:val="baseline"/>
                <w:lang w:eastAsia="zh-CN"/>
              </w:rPr>
              <w:t>条</w:t>
            </w:r>
          </w:p>
        </w:tc>
        <w:tc>
          <w:tcPr>
            <w:tcW w:w="1350" w:type="dxa"/>
            <w:vAlign w:val="center"/>
          </w:tcPr>
          <w:p w14:paraId="0E7E40D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民政部门</w:t>
            </w:r>
          </w:p>
        </w:tc>
        <w:tc>
          <w:tcPr>
            <w:tcW w:w="1815" w:type="dxa"/>
            <w:vAlign w:val="center"/>
          </w:tcPr>
          <w:p w14:paraId="0E8A39C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市场监管部门、公安机关</w:t>
            </w:r>
          </w:p>
        </w:tc>
        <w:tc>
          <w:tcPr>
            <w:tcW w:w="1255" w:type="dxa"/>
            <w:vAlign w:val="center"/>
          </w:tcPr>
          <w:p w14:paraId="7841888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投诉举报</w:t>
            </w:r>
          </w:p>
        </w:tc>
      </w:tr>
      <w:tr w14:paraId="512E51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767" w:type="dxa"/>
            <w:vAlign w:val="center"/>
          </w:tcPr>
          <w:p w14:paraId="6F997E9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b w:val="0"/>
                <w:bCs w:val="0"/>
                <w:color w:val="auto"/>
                <w:kern w:val="2"/>
                <w:sz w:val="24"/>
                <w:szCs w:val="24"/>
                <w:u w:val="none"/>
                <w:lang w:val="en-US" w:eastAsia="zh-CN" w:bidi="ar-SA"/>
              </w:rPr>
            </w:pPr>
            <w:r>
              <w:rPr>
                <w:rFonts w:hint="default" w:ascii="Times New Roman" w:hAnsi="Times New Roman" w:eastAsia="方正仿宋_GBK" w:cs="Times New Roman"/>
                <w:b w:val="0"/>
                <w:bCs w:val="0"/>
                <w:color w:val="auto"/>
                <w:kern w:val="2"/>
                <w:sz w:val="24"/>
                <w:szCs w:val="24"/>
                <w:u w:val="none"/>
                <w:lang w:val="en-US" w:eastAsia="zh-CN" w:bidi="ar-SA"/>
              </w:rPr>
              <w:t>25</w:t>
            </w:r>
          </w:p>
        </w:tc>
        <w:tc>
          <w:tcPr>
            <w:tcW w:w="1215" w:type="dxa"/>
            <w:vAlign w:val="center"/>
          </w:tcPr>
          <w:p w14:paraId="00D42EE9">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kern w:val="2"/>
                <w:sz w:val="24"/>
                <w:szCs w:val="24"/>
                <w:u w:val="none"/>
                <w:lang w:val="en-US" w:eastAsia="zh-CN" w:bidi="ar-SA"/>
              </w:rPr>
            </w:pPr>
            <w:r>
              <w:rPr>
                <w:rFonts w:hint="eastAsia" w:ascii="方正仿宋_GBK" w:hAnsi="方正仿宋_GBK" w:eastAsia="方正仿宋_GBK" w:cs="方正仿宋_GBK"/>
                <w:b w:val="0"/>
                <w:bCs w:val="0"/>
                <w:color w:val="auto"/>
                <w:kern w:val="2"/>
                <w:sz w:val="24"/>
                <w:szCs w:val="24"/>
                <w:u w:val="none"/>
                <w:lang w:val="en-US" w:eastAsia="zh-CN" w:bidi="ar-SA"/>
              </w:rPr>
              <w:t>殡葬服务</w:t>
            </w:r>
          </w:p>
        </w:tc>
        <w:tc>
          <w:tcPr>
            <w:tcW w:w="2189" w:type="dxa"/>
            <w:vAlign w:val="center"/>
          </w:tcPr>
          <w:p w14:paraId="2A4FD02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对网络平台和网络祭扫服务的监管</w:t>
            </w:r>
          </w:p>
        </w:tc>
        <w:tc>
          <w:tcPr>
            <w:tcW w:w="1176" w:type="dxa"/>
            <w:vAlign w:val="center"/>
          </w:tcPr>
          <w:p w14:paraId="1D70826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rPr>
            </w:pPr>
            <w:r>
              <w:rPr>
                <w:rFonts w:hint="eastAsia" w:ascii="方正仿宋_GBK" w:hAnsi="方正仿宋_GBK" w:eastAsia="方正仿宋_GBK" w:cs="方正仿宋_GBK"/>
                <w:b w:val="0"/>
                <w:bCs w:val="0"/>
                <w:color w:val="auto"/>
                <w:sz w:val="24"/>
                <w:szCs w:val="24"/>
                <w:vertAlign w:val="baseline"/>
                <w:lang w:val="en-US" w:eastAsia="zh-CN"/>
              </w:rPr>
              <w:t>网络平台、个人</w:t>
            </w:r>
          </w:p>
        </w:tc>
        <w:tc>
          <w:tcPr>
            <w:tcW w:w="5370" w:type="dxa"/>
            <w:vAlign w:val="center"/>
          </w:tcPr>
          <w:p w14:paraId="54E291C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rPr>
              <w:t>《中华人民共和国网络安全法》第四十七条</w:t>
            </w:r>
            <w:r>
              <w:rPr>
                <w:rFonts w:hint="eastAsia" w:ascii="方正仿宋_GBK" w:hAnsi="方正仿宋_GBK" w:eastAsia="方正仿宋_GBK" w:cs="方正仿宋_GBK"/>
                <w:b w:val="0"/>
                <w:bCs w:val="0"/>
                <w:color w:val="auto"/>
                <w:sz w:val="24"/>
                <w:szCs w:val="24"/>
                <w:vertAlign w:val="baseline"/>
                <w:lang w:eastAsia="zh-CN"/>
              </w:rPr>
              <w:t>、</w:t>
            </w:r>
            <w:r>
              <w:rPr>
                <w:rFonts w:hint="eastAsia" w:ascii="方正仿宋_GBK" w:hAnsi="方正仿宋_GBK" w:eastAsia="方正仿宋_GBK" w:cs="方正仿宋_GBK"/>
                <w:b w:val="0"/>
                <w:bCs w:val="0"/>
                <w:color w:val="auto"/>
                <w:sz w:val="24"/>
                <w:szCs w:val="24"/>
                <w:vertAlign w:val="baseline"/>
                <w:lang w:val="en-US" w:eastAsia="zh-CN"/>
              </w:rPr>
              <w:t>第五十条、</w:t>
            </w:r>
            <w:r>
              <w:rPr>
                <w:rFonts w:hint="default" w:ascii="方正仿宋_GBK" w:hAnsi="方正仿宋_GBK" w:eastAsia="方正仿宋_GBK" w:cs="方正仿宋_GBK"/>
                <w:b w:val="0"/>
                <w:bCs w:val="0"/>
                <w:color w:val="auto"/>
                <w:sz w:val="24"/>
                <w:szCs w:val="24"/>
                <w:vertAlign w:val="baseline"/>
                <w:lang w:val="en-US" w:eastAsia="zh-CN"/>
              </w:rPr>
              <w:t>第</w:t>
            </w:r>
            <w:r>
              <w:rPr>
                <w:rFonts w:hint="eastAsia" w:ascii="方正仿宋_GBK" w:hAnsi="方正仿宋_GBK" w:eastAsia="方正仿宋_GBK" w:cs="方正仿宋_GBK"/>
                <w:b w:val="0"/>
                <w:bCs w:val="0"/>
                <w:color w:val="auto"/>
                <w:sz w:val="24"/>
                <w:szCs w:val="24"/>
                <w:vertAlign w:val="baseline"/>
                <w:lang w:val="en-US" w:eastAsia="zh-CN"/>
              </w:rPr>
              <w:t>六十八</w:t>
            </w:r>
            <w:r>
              <w:rPr>
                <w:rFonts w:hint="default" w:ascii="方正仿宋_GBK" w:hAnsi="方正仿宋_GBK" w:eastAsia="方正仿宋_GBK" w:cs="方正仿宋_GBK"/>
                <w:b w:val="0"/>
                <w:bCs w:val="0"/>
                <w:color w:val="auto"/>
                <w:sz w:val="24"/>
                <w:szCs w:val="24"/>
                <w:vertAlign w:val="baseline"/>
                <w:lang w:val="en-US" w:eastAsia="zh-CN"/>
              </w:rPr>
              <w:t>条</w:t>
            </w:r>
            <w:r>
              <w:rPr>
                <w:rFonts w:hint="eastAsia" w:ascii="方正仿宋_GBK" w:hAnsi="方正仿宋_GBK" w:eastAsia="方正仿宋_GBK" w:cs="方正仿宋_GBK"/>
                <w:b w:val="0"/>
                <w:bCs w:val="0"/>
                <w:color w:val="auto"/>
                <w:sz w:val="24"/>
                <w:szCs w:val="24"/>
                <w:vertAlign w:val="baseline"/>
                <w:lang w:val="en-US" w:eastAsia="zh-CN"/>
              </w:rPr>
              <w:t>、</w:t>
            </w:r>
            <w:r>
              <w:rPr>
                <w:rFonts w:hint="default" w:ascii="方正仿宋_GBK" w:hAnsi="方正仿宋_GBK" w:eastAsia="方正仿宋_GBK" w:cs="方正仿宋_GBK"/>
                <w:b w:val="0"/>
                <w:bCs w:val="0"/>
                <w:color w:val="auto"/>
                <w:sz w:val="24"/>
                <w:szCs w:val="24"/>
                <w:vertAlign w:val="baseline"/>
                <w:lang w:val="en-US" w:eastAsia="zh-CN"/>
              </w:rPr>
              <w:t>第</w:t>
            </w:r>
            <w:r>
              <w:rPr>
                <w:rFonts w:hint="eastAsia" w:ascii="方正仿宋_GBK" w:hAnsi="方正仿宋_GBK" w:eastAsia="方正仿宋_GBK" w:cs="方正仿宋_GBK"/>
                <w:b w:val="0"/>
                <w:bCs w:val="0"/>
                <w:color w:val="auto"/>
                <w:sz w:val="24"/>
                <w:szCs w:val="24"/>
                <w:vertAlign w:val="baseline"/>
                <w:lang w:val="en-US" w:eastAsia="zh-CN"/>
              </w:rPr>
              <w:t>六十九</w:t>
            </w:r>
            <w:r>
              <w:rPr>
                <w:rFonts w:hint="default" w:ascii="方正仿宋_GBK" w:hAnsi="方正仿宋_GBK" w:eastAsia="方正仿宋_GBK" w:cs="方正仿宋_GBK"/>
                <w:b w:val="0"/>
                <w:bCs w:val="0"/>
                <w:color w:val="auto"/>
                <w:sz w:val="24"/>
                <w:szCs w:val="24"/>
                <w:vertAlign w:val="baseline"/>
                <w:lang w:val="en-US" w:eastAsia="zh-CN"/>
              </w:rPr>
              <w:t>条</w:t>
            </w:r>
            <w:r>
              <w:rPr>
                <w:rFonts w:hint="eastAsia" w:ascii="方正仿宋_GBK" w:hAnsi="方正仿宋_GBK" w:eastAsia="方正仿宋_GBK" w:cs="方正仿宋_GBK"/>
                <w:b w:val="0"/>
                <w:bCs w:val="0"/>
                <w:color w:val="auto"/>
                <w:sz w:val="24"/>
                <w:szCs w:val="24"/>
                <w:vertAlign w:val="baseline"/>
                <w:lang w:val="en-US" w:eastAsia="zh-CN"/>
              </w:rPr>
              <w:t>、第七十四条</w:t>
            </w:r>
          </w:p>
        </w:tc>
        <w:tc>
          <w:tcPr>
            <w:tcW w:w="1350" w:type="dxa"/>
            <w:vAlign w:val="center"/>
          </w:tcPr>
          <w:p w14:paraId="5F6FABD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网信部门</w:t>
            </w:r>
          </w:p>
        </w:tc>
        <w:tc>
          <w:tcPr>
            <w:tcW w:w="1815" w:type="dxa"/>
            <w:vAlign w:val="center"/>
          </w:tcPr>
          <w:p w14:paraId="06E1CC6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方正仿宋_GBK" w:hAnsi="方正仿宋_GBK" w:eastAsia="方正仿宋_GBK" w:cs="方正仿宋_GBK"/>
                <w:b w:val="0"/>
                <w:bCs w:val="0"/>
                <w:color w:val="auto"/>
                <w:sz w:val="24"/>
                <w:szCs w:val="24"/>
                <w:vertAlign w:val="baseline"/>
                <w:lang w:val="en-US" w:eastAsia="zh-CN"/>
              </w:rPr>
            </w:pPr>
            <w:r>
              <w:rPr>
                <w:rFonts w:hint="eastAsia" w:ascii="方正仿宋_GBK" w:hAnsi="方正仿宋_GBK" w:eastAsia="方正仿宋_GBK" w:cs="方正仿宋_GBK"/>
                <w:b w:val="0"/>
                <w:bCs w:val="0"/>
                <w:color w:val="auto"/>
                <w:sz w:val="24"/>
                <w:szCs w:val="24"/>
                <w:vertAlign w:val="baseline"/>
                <w:lang w:val="en-US" w:eastAsia="zh-CN"/>
              </w:rPr>
              <w:t>公安机关、工信部门</w:t>
            </w:r>
          </w:p>
        </w:tc>
        <w:tc>
          <w:tcPr>
            <w:tcW w:w="1255" w:type="dxa"/>
            <w:vAlign w:val="center"/>
          </w:tcPr>
          <w:p w14:paraId="3E6EEB6A">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b w:val="0"/>
                <w:bCs w:val="0"/>
                <w:color w:val="auto"/>
                <w:sz w:val="24"/>
                <w:szCs w:val="24"/>
                <w:vertAlign w:val="baseline"/>
              </w:rPr>
            </w:pPr>
            <w:r>
              <w:rPr>
                <w:rFonts w:hint="eastAsia" w:ascii="方正仿宋_GBK" w:hAnsi="方正仿宋_GBK" w:eastAsia="方正仿宋_GBK" w:cs="方正仿宋_GBK"/>
                <w:b w:val="0"/>
                <w:bCs w:val="0"/>
                <w:color w:val="auto"/>
                <w:sz w:val="24"/>
                <w:szCs w:val="24"/>
                <w:vertAlign w:val="baseline"/>
                <w:lang w:val="en-US" w:eastAsia="zh-CN"/>
              </w:rPr>
              <w:t>随机抽查、投诉举报</w:t>
            </w:r>
          </w:p>
        </w:tc>
      </w:tr>
    </w:tbl>
    <w:p w14:paraId="5341C249">
      <w:pPr>
        <w:pStyle w:val="9"/>
        <w:keepNext w:val="0"/>
        <w:keepLines w:val="0"/>
        <w:pageBreakBefore w:val="0"/>
        <w:widowControl w:val="0"/>
        <w:kinsoku/>
        <w:wordWrap/>
        <w:topLinePunct w:val="0"/>
        <w:autoSpaceDE/>
        <w:autoSpaceDN/>
        <w:bidi w:val="0"/>
        <w:spacing w:line="560" w:lineRule="exact"/>
        <w:ind w:left="0" w:leftChars="0" w:firstLine="0" w:firstLineChars="0"/>
        <w:textAlignment w:val="auto"/>
        <w:rPr>
          <w:rFonts w:hint="default" w:ascii="Times New Roman" w:hAnsi="Times New Roman" w:eastAsia="仿宋" w:cs="Times New Roman"/>
          <w:color w:val="auto"/>
          <w:sz w:val="32"/>
          <w:szCs w:val="32"/>
          <w:lang w:val="en-US" w:eastAsia="zh-CN"/>
        </w:rPr>
      </w:pPr>
      <w:r>
        <w:rPr>
          <w:rFonts w:hint="eastAsia" w:ascii="Times New Roman" w:hAnsi="Times New Roman" w:eastAsia="仿宋" w:cs="Times New Roman"/>
          <w:color w:val="auto"/>
          <w:sz w:val="32"/>
          <w:szCs w:val="32"/>
          <w:lang w:val="en-US" w:eastAsia="zh-CN"/>
        </w:rPr>
        <w:t>备注：根据工作实际情况，综合监管重点事项清单实行动态管理，适时更新调整。</w:t>
      </w:r>
    </w:p>
    <w:sectPr>
      <w:footerReference r:id="rId4" w:type="default"/>
      <w:pgSz w:w="16838" w:h="11906" w:orient="landscape"/>
      <w:pgMar w:top="1531" w:right="2098" w:bottom="1531" w:left="1928"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7D4BBFE-6D7F-474A-967D-EDCFE851E75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embedRegular r:id="rId2" w:fontKey="{6C57D80D-0DDC-434E-9E44-64F0B0B7EC65}"/>
  </w:font>
  <w:font w:name="仿宋">
    <w:panose1 w:val="02010609060101010101"/>
    <w:charset w:val="7A"/>
    <w:family w:val="auto"/>
    <w:pitch w:val="default"/>
    <w:sig w:usb0="800002BF" w:usb1="38CF7CFA" w:usb2="00000016" w:usb3="00000000" w:csb0="00040001" w:csb1="00000000"/>
    <w:embedRegular r:id="rId3" w:fontKey="{3CD6EB11-F4AB-4F3D-86AD-8375E02234BA}"/>
  </w:font>
  <w:font w:name="方正楷体_GBK">
    <w:panose1 w:val="03000509000000000000"/>
    <w:charset w:val="86"/>
    <w:family w:val="auto"/>
    <w:pitch w:val="default"/>
    <w:sig w:usb0="00000001" w:usb1="080E0000" w:usb2="00000000" w:usb3="00000000" w:csb0="00040000" w:csb1="00000000"/>
    <w:embedRegular r:id="rId4" w:fontKey="{6786F4ED-60A3-4039-B75F-C0207E280158}"/>
  </w:font>
  <w:font w:name="方正仿宋_GBK">
    <w:panose1 w:val="03000509000000000000"/>
    <w:charset w:val="86"/>
    <w:family w:val="script"/>
    <w:pitch w:val="default"/>
    <w:sig w:usb0="00000001" w:usb1="080E0000" w:usb2="00000000" w:usb3="00000000" w:csb0="00040000" w:csb1="00000000"/>
    <w:embedRegular r:id="rId5" w:fontKey="{D0A6AF8F-C4EB-4079-9C5D-7DA206AECCDE}"/>
  </w:font>
  <w:font w:name="方正黑体_GBK">
    <w:panose1 w:val="03000509000000000000"/>
    <w:charset w:val="86"/>
    <w:family w:val="auto"/>
    <w:pitch w:val="default"/>
    <w:sig w:usb0="00000001" w:usb1="080E0000" w:usb2="00000000" w:usb3="00000000" w:csb0="00040000" w:csb1="00000000"/>
    <w:embedRegular r:id="rId6" w:fontKey="{2B2D51D0-2B30-42B1-B9FA-46B1E329A0F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C785C8">
    <w:pPr>
      <w:pStyle w:val="2"/>
    </w:pPr>
    <w:r>
      <w:rPr>
        <w:sz w:val="18"/>
      </w:rPr>
      <mc:AlternateContent>
        <mc:Choice Requires="wps">
          <w:drawing>
            <wp:anchor distT="0" distB="0" distL="114300" distR="114300" simplePos="0" relativeHeight="251659264" behindDoc="0" locked="0" layoutInCell="1" allowOverlap="1">
              <wp:simplePos x="0" y="0"/>
              <wp:positionH relativeFrom="margin">
                <wp:posOffset>2433320</wp:posOffset>
              </wp:positionH>
              <wp:positionV relativeFrom="paragraph">
                <wp:posOffset>-190500</wp:posOffset>
              </wp:positionV>
              <wp:extent cx="681990" cy="21971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81990" cy="2197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B6CF2B">
                          <w:pPr>
                            <w:pStyle w:val="2"/>
                            <w:jc w:val="center"/>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1</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91.6pt;margin-top:-15pt;height:17.3pt;width:53.7pt;mso-position-horizontal-relative:margin;z-index:251659264;mso-width-relative:page;mso-height-relative:page;" filled="f" stroked="f" coordsize="21600,21600" o:gfxdata="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WPaz79gAAAAJAQAADwAAAAAAAAABACAAAAAiAAAAZHJzL2Rvd25yZXYu&#10;eG1sUEsBAhQAFAAAAAgAh07iQDx/42M0AgAAYQQAAA4AAAAAAAAAAQAgAAAAJwEAAGRycy9lMm9E&#10;b2MueG1sUEsFBgAAAAAGAAYAWQEAAM0FAAAAAA==&#10;">
              <v:fill on="f" focussize="0,0"/>
              <v:stroke on="f" weight="0.5pt"/>
              <v:imagedata o:title=""/>
              <o:lock v:ext="edit" aspectratio="f"/>
              <v:textbox inset="0mm,0mm,0mm,0mm">
                <w:txbxContent>
                  <w:p w14:paraId="35B6CF2B">
                    <w:pPr>
                      <w:pStyle w:val="2"/>
                      <w:jc w:val="center"/>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1</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F0A35">
    <w:pPr>
      <w:pStyle w:val="2"/>
    </w:pPr>
    <w:r>
      <w:rPr>
        <w:sz w:val="18"/>
      </w:rPr>
      <mc:AlternateContent>
        <mc:Choice Requires="wps">
          <w:drawing>
            <wp:anchor distT="0" distB="0" distL="114300" distR="114300" simplePos="0" relativeHeight="251660288" behindDoc="0" locked="0" layoutInCell="1" allowOverlap="1">
              <wp:simplePos x="0" y="0"/>
              <wp:positionH relativeFrom="margin">
                <wp:posOffset>3726815</wp:posOffset>
              </wp:positionH>
              <wp:positionV relativeFrom="paragraph">
                <wp:posOffset>-47625</wp:posOffset>
              </wp:positionV>
              <wp:extent cx="681990" cy="200660"/>
              <wp:effectExtent l="0" t="0" r="0" b="0"/>
              <wp:wrapNone/>
              <wp:docPr id="3" name="文本框 3"/>
              <wp:cNvGraphicFramePr/>
              <a:graphic xmlns:a="http://schemas.openxmlformats.org/drawingml/2006/main">
                <a:graphicData uri="http://schemas.microsoft.com/office/word/2010/wordprocessingShape">
                  <wps:wsp>
                    <wps:cNvSpPr txBox="1"/>
                    <wps:spPr>
                      <a:xfrm>
                        <a:off x="0" y="0"/>
                        <a:ext cx="681990" cy="2006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55A36A">
                          <w:pPr>
                            <w:pStyle w:val="2"/>
                            <w:jc w:val="center"/>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8</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93.45pt;margin-top:-3.75pt;height:15.8pt;width:53.7pt;mso-position-horizontal-relative:margin;z-index:251660288;mso-width-relative:page;mso-height-relative:page;" filled="f" stroked="f" coordsize="21600,21600" o:gfxdata="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0bDjH2gAAAAkBAAAPAAAAAAAAAAEAIAAAACIAAABkcnMvZG93bnJl&#10;di54bWxQSwECFAAUAAAACACHTuJA1bHHyDQCAABhBAAADgAAAAAAAAABACAAAAApAQAAZHJzL2Uy&#10;b0RvYy54bWxQSwUGAAAAAAYABgBZAQAAzwUAAAAA&#10;">
              <v:fill on="f" focussize="0,0"/>
              <v:stroke on="f" weight="0.5pt"/>
              <v:imagedata o:title=""/>
              <o:lock v:ext="edit" aspectratio="f"/>
              <v:textbox inset="0mm,0mm,0mm,0mm">
                <w:txbxContent>
                  <w:p w14:paraId="5D55A36A">
                    <w:pPr>
                      <w:pStyle w:val="2"/>
                      <w:jc w:val="center"/>
                      <w:rPr>
                        <w:rFonts w:hint="default" w:ascii="Times New Roman" w:hAnsi="Times New Roman" w:cs="Times New Roman"/>
                        <w:sz w:val="24"/>
                        <w:szCs w:val="40"/>
                      </w:rPr>
                    </w:pPr>
                    <w:r>
                      <w:rPr>
                        <w:rFonts w:hint="default" w:ascii="Times New Roman" w:hAnsi="Times New Roman" w:cs="Times New Roman"/>
                        <w:sz w:val="24"/>
                        <w:szCs w:val="40"/>
                      </w:rPr>
                      <w:t xml:space="preserve">— </w:t>
                    </w:r>
                    <w:r>
                      <w:rPr>
                        <w:rFonts w:hint="default" w:ascii="Times New Roman" w:hAnsi="Times New Roman" w:cs="Times New Roman"/>
                        <w:sz w:val="24"/>
                        <w:szCs w:val="40"/>
                      </w:rPr>
                      <w:fldChar w:fldCharType="begin"/>
                    </w:r>
                    <w:r>
                      <w:rPr>
                        <w:rFonts w:hint="default" w:ascii="Times New Roman" w:hAnsi="Times New Roman" w:cs="Times New Roman"/>
                        <w:sz w:val="24"/>
                        <w:szCs w:val="40"/>
                      </w:rPr>
                      <w:instrText xml:space="preserve"> PAGE  \* MERGEFORMAT </w:instrText>
                    </w:r>
                    <w:r>
                      <w:rPr>
                        <w:rFonts w:hint="default" w:ascii="Times New Roman" w:hAnsi="Times New Roman" w:cs="Times New Roman"/>
                        <w:sz w:val="24"/>
                        <w:szCs w:val="40"/>
                      </w:rPr>
                      <w:fldChar w:fldCharType="separate"/>
                    </w:r>
                    <w:r>
                      <w:rPr>
                        <w:rFonts w:hint="default" w:ascii="Times New Roman" w:hAnsi="Times New Roman" w:cs="Times New Roman"/>
                        <w:sz w:val="24"/>
                        <w:szCs w:val="40"/>
                      </w:rPr>
                      <w:t>8</w:t>
                    </w:r>
                    <w:r>
                      <w:rPr>
                        <w:rFonts w:hint="default" w:ascii="Times New Roman" w:hAnsi="Times New Roman" w:cs="Times New Roman"/>
                        <w:sz w:val="24"/>
                        <w:szCs w:val="40"/>
                      </w:rPr>
                      <w:fldChar w:fldCharType="end"/>
                    </w:r>
                    <w:r>
                      <w:rPr>
                        <w:rFonts w:hint="default" w:ascii="Times New Roman" w:hAnsi="Times New Roman" w:cs="Times New Roman"/>
                        <w:sz w:val="24"/>
                        <w:szCs w:val="40"/>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610A01"/>
    <w:multiLevelType w:val="singleLevel"/>
    <w:tmpl w:val="60610A0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490068"/>
    <w:rsid w:val="004D6899"/>
    <w:rsid w:val="00515C5E"/>
    <w:rsid w:val="00A3295D"/>
    <w:rsid w:val="011E20A9"/>
    <w:rsid w:val="01217276"/>
    <w:rsid w:val="018F31CB"/>
    <w:rsid w:val="01EB7BB3"/>
    <w:rsid w:val="01F347DC"/>
    <w:rsid w:val="02315D47"/>
    <w:rsid w:val="025A704C"/>
    <w:rsid w:val="026305F6"/>
    <w:rsid w:val="0270061D"/>
    <w:rsid w:val="02A227A1"/>
    <w:rsid w:val="02A429BD"/>
    <w:rsid w:val="02A660E8"/>
    <w:rsid w:val="038E6213"/>
    <w:rsid w:val="038F71C9"/>
    <w:rsid w:val="03996CDC"/>
    <w:rsid w:val="03AA3668"/>
    <w:rsid w:val="03B86720"/>
    <w:rsid w:val="03CA31EF"/>
    <w:rsid w:val="03F11C32"/>
    <w:rsid w:val="04D74983"/>
    <w:rsid w:val="053B30C8"/>
    <w:rsid w:val="056A1C9B"/>
    <w:rsid w:val="062B395D"/>
    <w:rsid w:val="067C38A5"/>
    <w:rsid w:val="07764EA6"/>
    <w:rsid w:val="078F21A2"/>
    <w:rsid w:val="07AB59DD"/>
    <w:rsid w:val="07E07FF3"/>
    <w:rsid w:val="080C528C"/>
    <w:rsid w:val="081F0670"/>
    <w:rsid w:val="082F4AD6"/>
    <w:rsid w:val="08CB0CA3"/>
    <w:rsid w:val="08D538D0"/>
    <w:rsid w:val="091F2D9D"/>
    <w:rsid w:val="092B1742"/>
    <w:rsid w:val="0A1026E6"/>
    <w:rsid w:val="0A8C0F67"/>
    <w:rsid w:val="0B136931"/>
    <w:rsid w:val="0B581338"/>
    <w:rsid w:val="0B7A42BB"/>
    <w:rsid w:val="0BDB744F"/>
    <w:rsid w:val="0BDE6F3F"/>
    <w:rsid w:val="0BE1433A"/>
    <w:rsid w:val="0BE91440"/>
    <w:rsid w:val="0C104C1F"/>
    <w:rsid w:val="0CB952B6"/>
    <w:rsid w:val="0CC821E7"/>
    <w:rsid w:val="0D1D2428"/>
    <w:rsid w:val="0D352B8F"/>
    <w:rsid w:val="0D5976E7"/>
    <w:rsid w:val="0D5A43A4"/>
    <w:rsid w:val="0D88416D"/>
    <w:rsid w:val="0DAC513E"/>
    <w:rsid w:val="0DC959AC"/>
    <w:rsid w:val="0DF40818"/>
    <w:rsid w:val="0E10389B"/>
    <w:rsid w:val="0E2F75DE"/>
    <w:rsid w:val="0E484B44"/>
    <w:rsid w:val="0E7C659C"/>
    <w:rsid w:val="0ED85EC8"/>
    <w:rsid w:val="0EEE5440"/>
    <w:rsid w:val="0F3C3E90"/>
    <w:rsid w:val="0F9A13CF"/>
    <w:rsid w:val="0FC63F72"/>
    <w:rsid w:val="104E5D16"/>
    <w:rsid w:val="107254AE"/>
    <w:rsid w:val="10741C20"/>
    <w:rsid w:val="107C0AD5"/>
    <w:rsid w:val="108A4FA0"/>
    <w:rsid w:val="1090632E"/>
    <w:rsid w:val="10A047C3"/>
    <w:rsid w:val="10A96E81"/>
    <w:rsid w:val="10C20BDE"/>
    <w:rsid w:val="10EB1188"/>
    <w:rsid w:val="11003822"/>
    <w:rsid w:val="11026B1F"/>
    <w:rsid w:val="1142483F"/>
    <w:rsid w:val="11A34DA5"/>
    <w:rsid w:val="11D02E86"/>
    <w:rsid w:val="11EE03DD"/>
    <w:rsid w:val="1202500A"/>
    <w:rsid w:val="12091D44"/>
    <w:rsid w:val="127F0728"/>
    <w:rsid w:val="12971CE2"/>
    <w:rsid w:val="12C0114D"/>
    <w:rsid w:val="12E50BB3"/>
    <w:rsid w:val="132B20F2"/>
    <w:rsid w:val="13702B17"/>
    <w:rsid w:val="138959E3"/>
    <w:rsid w:val="13D12EE6"/>
    <w:rsid w:val="13D6674E"/>
    <w:rsid w:val="145E6E6F"/>
    <w:rsid w:val="147C322A"/>
    <w:rsid w:val="148B578A"/>
    <w:rsid w:val="14D013EF"/>
    <w:rsid w:val="14FB5517"/>
    <w:rsid w:val="15496177"/>
    <w:rsid w:val="155E2E9F"/>
    <w:rsid w:val="158D1A3D"/>
    <w:rsid w:val="15CA2390"/>
    <w:rsid w:val="160C6457"/>
    <w:rsid w:val="163E66FC"/>
    <w:rsid w:val="164945C1"/>
    <w:rsid w:val="16A2027A"/>
    <w:rsid w:val="16CE195E"/>
    <w:rsid w:val="16CF5E02"/>
    <w:rsid w:val="16DE1BA1"/>
    <w:rsid w:val="16FE0496"/>
    <w:rsid w:val="17615CCC"/>
    <w:rsid w:val="17942BA8"/>
    <w:rsid w:val="17C84600"/>
    <w:rsid w:val="18194E5B"/>
    <w:rsid w:val="190B50EC"/>
    <w:rsid w:val="19600F94"/>
    <w:rsid w:val="198E5EAA"/>
    <w:rsid w:val="1A186D43"/>
    <w:rsid w:val="1B765C79"/>
    <w:rsid w:val="1B9C4323"/>
    <w:rsid w:val="1B9D1CE8"/>
    <w:rsid w:val="1BC3580A"/>
    <w:rsid w:val="1BD80B05"/>
    <w:rsid w:val="1BE35EAC"/>
    <w:rsid w:val="1C142509"/>
    <w:rsid w:val="1C784846"/>
    <w:rsid w:val="1C954E9B"/>
    <w:rsid w:val="1C9B44C1"/>
    <w:rsid w:val="1CAA79D2"/>
    <w:rsid w:val="1D163DBB"/>
    <w:rsid w:val="1D3809E8"/>
    <w:rsid w:val="1D81597C"/>
    <w:rsid w:val="1D8D61E5"/>
    <w:rsid w:val="1D9E208B"/>
    <w:rsid w:val="1E4C7D38"/>
    <w:rsid w:val="1EC57AEB"/>
    <w:rsid w:val="1F0766AF"/>
    <w:rsid w:val="1FB21E1D"/>
    <w:rsid w:val="1FCB2EDF"/>
    <w:rsid w:val="202C4905"/>
    <w:rsid w:val="203A70E2"/>
    <w:rsid w:val="20400535"/>
    <w:rsid w:val="21156B08"/>
    <w:rsid w:val="21425423"/>
    <w:rsid w:val="218477E9"/>
    <w:rsid w:val="22573150"/>
    <w:rsid w:val="226513C5"/>
    <w:rsid w:val="22671F5A"/>
    <w:rsid w:val="228D2CAE"/>
    <w:rsid w:val="22BE6D2B"/>
    <w:rsid w:val="22CD0B15"/>
    <w:rsid w:val="22F27D02"/>
    <w:rsid w:val="23571659"/>
    <w:rsid w:val="23A203FB"/>
    <w:rsid w:val="23BA1F64"/>
    <w:rsid w:val="243B4AD7"/>
    <w:rsid w:val="24463799"/>
    <w:rsid w:val="249935AC"/>
    <w:rsid w:val="24A41B79"/>
    <w:rsid w:val="24D352DF"/>
    <w:rsid w:val="24EA3E07"/>
    <w:rsid w:val="25097C40"/>
    <w:rsid w:val="25757B75"/>
    <w:rsid w:val="258843F6"/>
    <w:rsid w:val="258F4E7B"/>
    <w:rsid w:val="259E2F57"/>
    <w:rsid w:val="25D0724F"/>
    <w:rsid w:val="25F01B76"/>
    <w:rsid w:val="25F30A1F"/>
    <w:rsid w:val="2604476D"/>
    <w:rsid w:val="2604539D"/>
    <w:rsid w:val="26F269F0"/>
    <w:rsid w:val="274C0DA9"/>
    <w:rsid w:val="27F03033"/>
    <w:rsid w:val="27FA6A57"/>
    <w:rsid w:val="285F68BA"/>
    <w:rsid w:val="28BA4331"/>
    <w:rsid w:val="28C11323"/>
    <w:rsid w:val="29223FD0"/>
    <w:rsid w:val="29657F00"/>
    <w:rsid w:val="297A7E50"/>
    <w:rsid w:val="29E90B31"/>
    <w:rsid w:val="2A204F23"/>
    <w:rsid w:val="2A3F0751"/>
    <w:rsid w:val="2A475858"/>
    <w:rsid w:val="2A4F6F67"/>
    <w:rsid w:val="2A810D6A"/>
    <w:rsid w:val="2AA42CAA"/>
    <w:rsid w:val="2AE3557B"/>
    <w:rsid w:val="2B200583"/>
    <w:rsid w:val="2BB84BDE"/>
    <w:rsid w:val="2BCA4992"/>
    <w:rsid w:val="2BDB26FC"/>
    <w:rsid w:val="2C6426F1"/>
    <w:rsid w:val="2C7A31BB"/>
    <w:rsid w:val="2CC82C80"/>
    <w:rsid w:val="2D0B7C18"/>
    <w:rsid w:val="2D1C6441"/>
    <w:rsid w:val="2D4A32B4"/>
    <w:rsid w:val="2D4F15F3"/>
    <w:rsid w:val="2DAE2D4D"/>
    <w:rsid w:val="2DF608CF"/>
    <w:rsid w:val="2DFB7E63"/>
    <w:rsid w:val="2E3D1EE8"/>
    <w:rsid w:val="2E7035CF"/>
    <w:rsid w:val="2EE95130"/>
    <w:rsid w:val="2EF46C49"/>
    <w:rsid w:val="2F835717"/>
    <w:rsid w:val="2FE62884"/>
    <w:rsid w:val="3027200D"/>
    <w:rsid w:val="303B2B04"/>
    <w:rsid w:val="30656A38"/>
    <w:rsid w:val="309644F8"/>
    <w:rsid w:val="30A00D11"/>
    <w:rsid w:val="30E038CF"/>
    <w:rsid w:val="313703D4"/>
    <w:rsid w:val="31CA62EC"/>
    <w:rsid w:val="31D941D2"/>
    <w:rsid w:val="323904E0"/>
    <w:rsid w:val="32452FC5"/>
    <w:rsid w:val="32BB1C3B"/>
    <w:rsid w:val="3316226B"/>
    <w:rsid w:val="33170F75"/>
    <w:rsid w:val="33641385"/>
    <w:rsid w:val="33723946"/>
    <w:rsid w:val="338211AB"/>
    <w:rsid w:val="339C4FD4"/>
    <w:rsid w:val="347B2A5F"/>
    <w:rsid w:val="348953EB"/>
    <w:rsid w:val="34DF4849"/>
    <w:rsid w:val="34FB376E"/>
    <w:rsid w:val="35767285"/>
    <w:rsid w:val="358362DE"/>
    <w:rsid w:val="358E1FED"/>
    <w:rsid w:val="35A00430"/>
    <w:rsid w:val="35C83CF1"/>
    <w:rsid w:val="35EC2640"/>
    <w:rsid w:val="36032F7B"/>
    <w:rsid w:val="36421C40"/>
    <w:rsid w:val="364F22DE"/>
    <w:rsid w:val="36794C6B"/>
    <w:rsid w:val="36A17EBE"/>
    <w:rsid w:val="36F4368A"/>
    <w:rsid w:val="375E521C"/>
    <w:rsid w:val="376226CD"/>
    <w:rsid w:val="37996A57"/>
    <w:rsid w:val="37BB44A4"/>
    <w:rsid w:val="37D506DE"/>
    <w:rsid w:val="37F559A6"/>
    <w:rsid w:val="384A4E91"/>
    <w:rsid w:val="386677F1"/>
    <w:rsid w:val="38677817"/>
    <w:rsid w:val="38A1518E"/>
    <w:rsid w:val="38C62E88"/>
    <w:rsid w:val="397F0B6A"/>
    <w:rsid w:val="39960ED2"/>
    <w:rsid w:val="3A231125"/>
    <w:rsid w:val="3A7F4DBA"/>
    <w:rsid w:val="3AB111F7"/>
    <w:rsid w:val="3B223EA3"/>
    <w:rsid w:val="3B424545"/>
    <w:rsid w:val="3B6C521C"/>
    <w:rsid w:val="3BA66882"/>
    <w:rsid w:val="3BD827B4"/>
    <w:rsid w:val="3BE61375"/>
    <w:rsid w:val="3C5463E0"/>
    <w:rsid w:val="3CCA47F2"/>
    <w:rsid w:val="3CF1128F"/>
    <w:rsid w:val="3CF278A5"/>
    <w:rsid w:val="3D45031D"/>
    <w:rsid w:val="3D5440BC"/>
    <w:rsid w:val="3D6A3662"/>
    <w:rsid w:val="3DF31B27"/>
    <w:rsid w:val="3DF55AFA"/>
    <w:rsid w:val="3E4405D4"/>
    <w:rsid w:val="3E534783"/>
    <w:rsid w:val="3E7A3FF6"/>
    <w:rsid w:val="3E7D401F"/>
    <w:rsid w:val="3E9926CE"/>
    <w:rsid w:val="3EDC25BB"/>
    <w:rsid w:val="3F012022"/>
    <w:rsid w:val="3F147860"/>
    <w:rsid w:val="3F5B74CC"/>
    <w:rsid w:val="3F5E1222"/>
    <w:rsid w:val="3F850EA5"/>
    <w:rsid w:val="401A339B"/>
    <w:rsid w:val="407D0E43"/>
    <w:rsid w:val="409A035E"/>
    <w:rsid w:val="40D82635"/>
    <w:rsid w:val="414F3518"/>
    <w:rsid w:val="4170233D"/>
    <w:rsid w:val="41CF3334"/>
    <w:rsid w:val="42510DFC"/>
    <w:rsid w:val="42ED4D97"/>
    <w:rsid w:val="4305323A"/>
    <w:rsid w:val="430976F7"/>
    <w:rsid w:val="433F6ADA"/>
    <w:rsid w:val="43911BC6"/>
    <w:rsid w:val="43C81360"/>
    <w:rsid w:val="43CF26EE"/>
    <w:rsid w:val="43E048FB"/>
    <w:rsid w:val="43E346E5"/>
    <w:rsid w:val="44095071"/>
    <w:rsid w:val="4440539A"/>
    <w:rsid w:val="4475773A"/>
    <w:rsid w:val="447F00EE"/>
    <w:rsid w:val="44AA3A15"/>
    <w:rsid w:val="44D33722"/>
    <w:rsid w:val="451C2FA5"/>
    <w:rsid w:val="45703A5D"/>
    <w:rsid w:val="45833192"/>
    <w:rsid w:val="45955A5E"/>
    <w:rsid w:val="45AF4585"/>
    <w:rsid w:val="45E32481"/>
    <w:rsid w:val="462C5BD6"/>
    <w:rsid w:val="46364643"/>
    <w:rsid w:val="466817A7"/>
    <w:rsid w:val="466E61EE"/>
    <w:rsid w:val="46BA3873"/>
    <w:rsid w:val="47216CB0"/>
    <w:rsid w:val="47347687"/>
    <w:rsid w:val="47AB6FCE"/>
    <w:rsid w:val="480E25A0"/>
    <w:rsid w:val="483156FD"/>
    <w:rsid w:val="487C42DE"/>
    <w:rsid w:val="493556E9"/>
    <w:rsid w:val="4A2512BA"/>
    <w:rsid w:val="4A433AE3"/>
    <w:rsid w:val="4A62250E"/>
    <w:rsid w:val="4A8561FD"/>
    <w:rsid w:val="4ADA6548"/>
    <w:rsid w:val="4B201A81"/>
    <w:rsid w:val="4B914F87"/>
    <w:rsid w:val="4C0F6F99"/>
    <w:rsid w:val="4C8A5D4C"/>
    <w:rsid w:val="4CF95B09"/>
    <w:rsid w:val="4D1A2C2C"/>
    <w:rsid w:val="4D257BB1"/>
    <w:rsid w:val="4D5D0D6B"/>
    <w:rsid w:val="4DD45CBC"/>
    <w:rsid w:val="4E6F0D56"/>
    <w:rsid w:val="4F2A2ECF"/>
    <w:rsid w:val="4F6E54B1"/>
    <w:rsid w:val="50324731"/>
    <w:rsid w:val="5038161B"/>
    <w:rsid w:val="50684475"/>
    <w:rsid w:val="508F56DF"/>
    <w:rsid w:val="509E5922"/>
    <w:rsid w:val="5156173B"/>
    <w:rsid w:val="51572C34"/>
    <w:rsid w:val="51813F43"/>
    <w:rsid w:val="51935AB4"/>
    <w:rsid w:val="51DA5080"/>
    <w:rsid w:val="5382777D"/>
    <w:rsid w:val="53A309FE"/>
    <w:rsid w:val="53BB67EB"/>
    <w:rsid w:val="53DA3DF1"/>
    <w:rsid w:val="544845E8"/>
    <w:rsid w:val="54D940D3"/>
    <w:rsid w:val="54DA48F0"/>
    <w:rsid w:val="55317F2C"/>
    <w:rsid w:val="553B2300"/>
    <w:rsid w:val="55472A2C"/>
    <w:rsid w:val="55BB6F76"/>
    <w:rsid w:val="55E62245"/>
    <w:rsid w:val="55EC7130"/>
    <w:rsid w:val="55F51599"/>
    <w:rsid w:val="55FD1186"/>
    <w:rsid w:val="56002BDB"/>
    <w:rsid w:val="56173729"/>
    <w:rsid w:val="56261649"/>
    <w:rsid w:val="562F5031"/>
    <w:rsid w:val="56792400"/>
    <w:rsid w:val="56BE0ACC"/>
    <w:rsid w:val="56F664B8"/>
    <w:rsid w:val="56F75D8C"/>
    <w:rsid w:val="57376AD1"/>
    <w:rsid w:val="574134AB"/>
    <w:rsid w:val="574216FD"/>
    <w:rsid w:val="57811AFA"/>
    <w:rsid w:val="57D65857"/>
    <w:rsid w:val="581666E6"/>
    <w:rsid w:val="585B3007"/>
    <w:rsid w:val="58B959EF"/>
    <w:rsid w:val="593E7CA2"/>
    <w:rsid w:val="5A4968FF"/>
    <w:rsid w:val="5A7E2538"/>
    <w:rsid w:val="5A805270"/>
    <w:rsid w:val="5AE64A95"/>
    <w:rsid w:val="5AE86795"/>
    <w:rsid w:val="5B3B6E44"/>
    <w:rsid w:val="5B433C96"/>
    <w:rsid w:val="5B6360E6"/>
    <w:rsid w:val="5C074CC3"/>
    <w:rsid w:val="5CD7245A"/>
    <w:rsid w:val="5CE2128D"/>
    <w:rsid w:val="5CF848FB"/>
    <w:rsid w:val="5D774BED"/>
    <w:rsid w:val="5D97217A"/>
    <w:rsid w:val="5E6845AD"/>
    <w:rsid w:val="5E767EDE"/>
    <w:rsid w:val="5EA54320"/>
    <w:rsid w:val="5EF738A6"/>
    <w:rsid w:val="5EFF7ED4"/>
    <w:rsid w:val="5F0C1202"/>
    <w:rsid w:val="5F6B5569"/>
    <w:rsid w:val="5F717FA2"/>
    <w:rsid w:val="5F922AF6"/>
    <w:rsid w:val="5FB711E9"/>
    <w:rsid w:val="60114363"/>
    <w:rsid w:val="603242D9"/>
    <w:rsid w:val="60824F90"/>
    <w:rsid w:val="60AC408B"/>
    <w:rsid w:val="60BB71D7"/>
    <w:rsid w:val="60D11860"/>
    <w:rsid w:val="61112D1A"/>
    <w:rsid w:val="61251748"/>
    <w:rsid w:val="613876CD"/>
    <w:rsid w:val="615564D1"/>
    <w:rsid w:val="61A62AFC"/>
    <w:rsid w:val="61AB60F1"/>
    <w:rsid w:val="61AF32D4"/>
    <w:rsid w:val="61B825BC"/>
    <w:rsid w:val="62277995"/>
    <w:rsid w:val="625E7607"/>
    <w:rsid w:val="62803AF9"/>
    <w:rsid w:val="62830E1C"/>
    <w:rsid w:val="62D33B51"/>
    <w:rsid w:val="62D34D3D"/>
    <w:rsid w:val="630E06E5"/>
    <w:rsid w:val="63377801"/>
    <w:rsid w:val="63891F14"/>
    <w:rsid w:val="640E2967"/>
    <w:rsid w:val="64337656"/>
    <w:rsid w:val="643C74D4"/>
    <w:rsid w:val="650A1380"/>
    <w:rsid w:val="65442AE4"/>
    <w:rsid w:val="65554CF2"/>
    <w:rsid w:val="65654809"/>
    <w:rsid w:val="658B0713"/>
    <w:rsid w:val="65AC224B"/>
    <w:rsid w:val="661B4523"/>
    <w:rsid w:val="666514BE"/>
    <w:rsid w:val="666F01B4"/>
    <w:rsid w:val="669242F5"/>
    <w:rsid w:val="66974E96"/>
    <w:rsid w:val="66CE105D"/>
    <w:rsid w:val="66F44096"/>
    <w:rsid w:val="67002A3B"/>
    <w:rsid w:val="6747066A"/>
    <w:rsid w:val="67AC31DB"/>
    <w:rsid w:val="67C95523"/>
    <w:rsid w:val="681A5D7E"/>
    <w:rsid w:val="682B7F8C"/>
    <w:rsid w:val="684626D0"/>
    <w:rsid w:val="68565CBD"/>
    <w:rsid w:val="685C1EF3"/>
    <w:rsid w:val="68664B20"/>
    <w:rsid w:val="689A2A1B"/>
    <w:rsid w:val="68BC6E36"/>
    <w:rsid w:val="69321A3D"/>
    <w:rsid w:val="693F6893"/>
    <w:rsid w:val="69F870D4"/>
    <w:rsid w:val="69FF347E"/>
    <w:rsid w:val="6A1A717B"/>
    <w:rsid w:val="6A575068"/>
    <w:rsid w:val="6A773014"/>
    <w:rsid w:val="6ABA73A5"/>
    <w:rsid w:val="6BC54253"/>
    <w:rsid w:val="6BE07356"/>
    <w:rsid w:val="6BF32716"/>
    <w:rsid w:val="6C3A743F"/>
    <w:rsid w:val="6CB322FE"/>
    <w:rsid w:val="6CF0373E"/>
    <w:rsid w:val="6D0B58E1"/>
    <w:rsid w:val="6DA63F32"/>
    <w:rsid w:val="6DC35FE8"/>
    <w:rsid w:val="6E471590"/>
    <w:rsid w:val="6F0D2199"/>
    <w:rsid w:val="6F2F31CA"/>
    <w:rsid w:val="6F33469C"/>
    <w:rsid w:val="6F8A5583"/>
    <w:rsid w:val="6F963B26"/>
    <w:rsid w:val="6F971385"/>
    <w:rsid w:val="6FA24696"/>
    <w:rsid w:val="709B5583"/>
    <w:rsid w:val="70CA49D7"/>
    <w:rsid w:val="714C1B10"/>
    <w:rsid w:val="723F6826"/>
    <w:rsid w:val="7258372B"/>
    <w:rsid w:val="727455F7"/>
    <w:rsid w:val="727E0840"/>
    <w:rsid w:val="72C8426F"/>
    <w:rsid w:val="72C8445F"/>
    <w:rsid w:val="72F1592E"/>
    <w:rsid w:val="73137F9A"/>
    <w:rsid w:val="731745C3"/>
    <w:rsid w:val="731D6E80"/>
    <w:rsid w:val="7397215F"/>
    <w:rsid w:val="7403209C"/>
    <w:rsid w:val="74143FCA"/>
    <w:rsid w:val="745E55A0"/>
    <w:rsid w:val="74BB0C43"/>
    <w:rsid w:val="74DD616A"/>
    <w:rsid w:val="759F3862"/>
    <w:rsid w:val="75E16F74"/>
    <w:rsid w:val="75E31EA6"/>
    <w:rsid w:val="767D1A70"/>
    <w:rsid w:val="76AA651F"/>
    <w:rsid w:val="770E2F52"/>
    <w:rsid w:val="77212C85"/>
    <w:rsid w:val="77362007"/>
    <w:rsid w:val="773629A8"/>
    <w:rsid w:val="77471FC0"/>
    <w:rsid w:val="777032C5"/>
    <w:rsid w:val="7778661E"/>
    <w:rsid w:val="77AE3DED"/>
    <w:rsid w:val="77EF1643"/>
    <w:rsid w:val="78DB17C8"/>
    <w:rsid w:val="78E75809"/>
    <w:rsid w:val="78FB3062"/>
    <w:rsid w:val="79053EE1"/>
    <w:rsid w:val="792237B2"/>
    <w:rsid w:val="794C1B10"/>
    <w:rsid w:val="79543B18"/>
    <w:rsid w:val="7A0C172F"/>
    <w:rsid w:val="7A2B518E"/>
    <w:rsid w:val="7A9D1C51"/>
    <w:rsid w:val="7AAF05A8"/>
    <w:rsid w:val="7AB46B29"/>
    <w:rsid w:val="7AD4701B"/>
    <w:rsid w:val="7AEF3F22"/>
    <w:rsid w:val="7B3665D4"/>
    <w:rsid w:val="7B3B1E3C"/>
    <w:rsid w:val="7B3B2724"/>
    <w:rsid w:val="7B4253DB"/>
    <w:rsid w:val="7B6D5713"/>
    <w:rsid w:val="7BFD7BB8"/>
    <w:rsid w:val="7CDB39EE"/>
    <w:rsid w:val="7D676F18"/>
    <w:rsid w:val="7D907114"/>
    <w:rsid w:val="7E4234E1"/>
    <w:rsid w:val="7E431733"/>
    <w:rsid w:val="7EB23438"/>
    <w:rsid w:val="7F4E2109"/>
    <w:rsid w:val="7FA92461"/>
    <w:rsid w:val="7FF92F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qFormat/>
    <w:uiPriority w:val="0"/>
    <w:rPr>
      <w:rFonts w:ascii="Calibri" w:hAnsi="Calibri" w:eastAsia="宋体" w:cs="Times New Roman"/>
    </w:rPr>
  </w:style>
  <w:style w:type="table" w:default="1" w:styleId="5">
    <w:name w:val="Normal Table"/>
    <w:qFormat/>
    <w:uiPriority w:val="0"/>
    <w:rPr>
      <w:rFonts w:ascii="Calibri" w:hAnsi="Calibri" w:eastAsia="宋体" w:cs="Times New Roman"/>
    </w:rPr>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ascii="Calibri" w:hAnsi="Calibri" w:eastAsia="宋体" w:cs="Times New Roman"/>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Calibri" w:hAnsi="Calibri" w:eastAsia="宋体" w:cs="Times New Roman"/>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Emphasis"/>
    <w:basedOn w:val="7"/>
    <w:qFormat/>
    <w:uiPriority w:val="0"/>
    <w:rPr>
      <w:i/>
    </w:rPr>
  </w:style>
  <w:style w:type="paragraph" w:customStyle="1" w:styleId="9">
    <w:name w:val="正文缩进1"/>
    <w:qFormat/>
    <w:uiPriority w:val="0"/>
    <w:pPr>
      <w:widowControl w:val="0"/>
      <w:ind w:firstLine="720" w:firstLineChars="200"/>
      <w:jc w:val="both"/>
    </w:pPr>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6151</Words>
  <Characters>6180</Characters>
  <Lines>0</Lines>
  <Paragraphs>0</Paragraphs>
  <TotalTime>0</TotalTime>
  <ScaleCrop>false</ScaleCrop>
  <LinksUpToDate>false</LinksUpToDate>
  <CharactersWithSpaces>6230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2025-02-11T02:32:00Z</dcterms:created>
  <dc:creator>Administrator</dc:creator>
  <cp:lastModifiedBy>admin</cp:lastModifiedBy>
  <cp:lastPrinted>2025-07-22T00:48:00Z</cp:lastPrinted>
  <dcterms:modified xsi:type="dcterms:W3CDTF">2025-07-29T04:29:42Z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eyJoZGlkIjoiNWIzOTgxMjM0YmFmZGFiNDFiMDhiOTVhN2VmZTIwZTMiLCJ1c2VySWQiOiIyMzU2OTcxNjIifQ==</vt:lpwstr>
  </property>
  <property fmtid="{D5CDD505-2E9C-101B-9397-08002B2CF9AE}" pid="4" name="ICV">
    <vt:lpwstr>41EE48EA42FC4BBBA01A2ED717A10C5D_13</vt:lpwstr>
  </property>
</Properties>
</file>