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139520" w14:textId="77777777" w:rsidR="000D7537" w:rsidRDefault="000D7537" w:rsidP="004C391A">
      <w:pPr>
        <w:pStyle w:val="a3"/>
      </w:pPr>
    </w:p>
    <w:p w14:paraId="55A88AB1" w14:textId="77777777" w:rsidR="006C4DD8" w:rsidRPr="006C4DD8" w:rsidRDefault="006C4DD8" w:rsidP="006C4DD8">
      <w:pPr>
        <w:ind w:firstLine="628"/>
        <w:rPr>
          <w:rFonts w:hint="eastAsia"/>
        </w:rPr>
      </w:pPr>
    </w:p>
    <w:p w14:paraId="0F25385D" w14:textId="6B3F790B" w:rsidR="004C391A" w:rsidRDefault="004C391A" w:rsidP="004C391A">
      <w:pPr>
        <w:pStyle w:val="a3"/>
      </w:pPr>
      <w:r>
        <w:rPr>
          <w:rFonts w:hint="eastAsia"/>
        </w:rPr>
        <w:t>《</w:t>
      </w:r>
      <w:r w:rsidRPr="004C391A">
        <w:rPr>
          <w:rFonts w:hint="eastAsia"/>
        </w:rPr>
        <w:t>江苏省养老机构预收费管理办法</w:t>
      </w:r>
    </w:p>
    <w:p w14:paraId="21EFF51E" w14:textId="77777777" w:rsidR="00F0682B" w:rsidRDefault="004C391A" w:rsidP="004C391A">
      <w:pPr>
        <w:pStyle w:val="a3"/>
      </w:pPr>
      <w:r w:rsidRPr="004C391A">
        <w:rPr>
          <w:rFonts w:hint="eastAsia"/>
        </w:rPr>
        <w:t>（试行）</w:t>
      </w:r>
      <w:r>
        <w:rPr>
          <w:rFonts w:hint="eastAsia"/>
        </w:rPr>
        <w:t>》的起草说明</w:t>
      </w:r>
    </w:p>
    <w:p w14:paraId="0D9B559F" w14:textId="77777777" w:rsidR="004C391A" w:rsidRDefault="004C391A" w:rsidP="004C391A">
      <w:pPr>
        <w:ind w:firstLine="628"/>
      </w:pPr>
    </w:p>
    <w:p w14:paraId="1B306073" w14:textId="77777777" w:rsidR="004C391A" w:rsidRDefault="004C391A" w:rsidP="004C391A">
      <w:pPr>
        <w:pStyle w:val="1"/>
        <w:ind w:firstLine="628"/>
      </w:pPr>
      <w:r>
        <w:rPr>
          <w:rFonts w:hint="eastAsia"/>
        </w:rPr>
        <w:t>一、制定背景</w:t>
      </w:r>
    </w:p>
    <w:p w14:paraId="29F0CB49" w14:textId="5642558C" w:rsidR="004C391A" w:rsidRPr="004C391A" w:rsidRDefault="004C391A" w:rsidP="0031147A">
      <w:pPr>
        <w:ind w:firstLine="628"/>
      </w:pPr>
      <w:r>
        <w:rPr>
          <w:rFonts w:hint="eastAsia"/>
        </w:rPr>
        <w:t>近年来，我省养老服务</w:t>
      </w:r>
      <w:r w:rsidR="000D7537">
        <w:rPr>
          <w:rFonts w:hint="eastAsia"/>
        </w:rPr>
        <w:t>业</w:t>
      </w:r>
      <w:r w:rsidRPr="004C391A">
        <w:rPr>
          <w:rFonts w:hint="eastAsia"/>
        </w:rPr>
        <w:t>快速发展，一些养老机构出于迅速回笼资金、增加客户黏性、降低运营风险等考虑，采取了预收费模式运营，主要</w:t>
      </w:r>
      <w:r w:rsidR="000D7537">
        <w:rPr>
          <w:rFonts w:hint="eastAsia"/>
        </w:rPr>
        <w:t>包括</w:t>
      </w:r>
      <w:r w:rsidRPr="004C391A">
        <w:rPr>
          <w:rFonts w:hint="eastAsia"/>
        </w:rPr>
        <w:t>养老服务费、押金和会员费等。</w:t>
      </w:r>
      <w:r>
        <w:rPr>
          <w:rFonts w:hint="eastAsia"/>
        </w:rPr>
        <w:t>一方面，这一</w:t>
      </w:r>
      <w:r w:rsidRPr="004C391A">
        <w:rPr>
          <w:rFonts w:hint="eastAsia"/>
        </w:rPr>
        <w:t>广泛应用于服务业</w:t>
      </w:r>
      <w:r>
        <w:rPr>
          <w:rFonts w:hint="eastAsia"/>
        </w:rPr>
        <w:t>的商业模式</w:t>
      </w:r>
      <w:r w:rsidRPr="004C391A">
        <w:rPr>
          <w:rFonts w:hint="eastAsia"/>
        </w:rPr>
        <w:t>让老年人及家属享受了优惠的价格，节省了逐月交费的时间成本</w:t>
      </w:r>
      <w:r>
        <w:rPr>
          <w:rFonts w:hint="eastAsia"/>
        </w:rPr>
        <w:t>；另一方面，也增加了养老机构</w:t>
      </w:r>
      <w:r w:rsidRPr="004C391A">
        <w:rPr>
          <w:rFonts w:hint="eastAsia"/>
        </w:rPr>
        <w:t>资金管理使用不规范、资金链断裂破产倒闭</w:t>
      </w:r>
      <w:r>
        <w:rPr>
          <w:rFonts w:hint="eastAsia"/>
        </w:rPr>
        <w:t>等</w:t>
      </w:r>
      <w:r w:rsidRPr="004C391A">
        <w:rPr>
          <w:rFonts w:hint="eastAsia"/>
        </w:rPr>
        <w:t>风险。民政部</w:t>
      </w:r>
      <w:r>
        <w:rPr>
          <w:rFonts w:hint="eastAsia"/>
        </w:rPr>
        <w:t>、</w:t>
      </w:r>
      <w:r w:rsidRPr="004C391A">
        <w:rPr>
          <w:rFonts w:hint="eastAsia"/>
        </w:rPr>
        <w:t>国家发展改革委、公安部、财政部、中国人民银行、市场监管总局、金融监管总局</w:t>
      </w:r>
      <w:r>
        <w:rPr>
          <w:rFonts w:hint="eastAsia"/>
        </w:rPr>
        <w:t>等</w:t>
      </w:r>
      <w:r>
        <w:rPr>
          <w:rFonts w:hint="eastAsia"/>
        </w:rPr>
        <w:t>7</w:t>
      </w:r>
      <w:r>
        <w:rPr>
          <w:rFonts w:hint="eastAsia"/>
        </w:rPr>
        <w:t>部门</w:t>
      </w:r>
      <w:r w:rsidRPr="004C391A">
        <w:rPr>
          <w:rFonts w:hint="eastAsia"/>
        </w:rPr>
        <w:t>积极回应</w:t>
      </w:r>
      <w:r>
        <w:rPr>
          <w:rFonts w:hint="eastAsia"/>
        </w:rPr>
        <w:t>社会各界关于出台监管政策、</w:t>
      </w:r>
      <w:r w:rsidRPr="004C391A">
        <w:rPr>
          <w:rFonts w:hint="eastAsia"/>
        </w:rPr>
        <w:t>规范养老机构预收费行为</w:t>
      </w:r>
      <w:r>
        <w:rPr>
          <w:rFonts w:hint="eastAsia"/>
        </w:rPr>
        <w:t>的</w:t>
      </w:r>
      <w:r w:rsidRPr="004C391A">
        <w:rPr>
          <w:rFonts w:hint="eastAsia"/>
        </w:rPr>
        <w:t>期待，联合出台</w:t>
      </w:r>
      <w:r>
        <w:rPr>
          <w:rFonts w:hint="eastAsia"/>
        </w:rPr>
        <w:t>了</w:t>
      </w:r>
      <w:r w:rsidRPr="004C391A">
        <w:rPr>
          <w:rFonts w:hint="eastAsia"/>
        </w:rPr>
        <w:t>《关于加强养老机构预收费监管的指导意见》，</w:t>
      </w:r>
      <w:r>
        <w:rPr>
          <w:rFonts w:hint="eastAsia"/>
        </w:rPr>
        <w:t>明确要求“</w:t>
      </w:r>
      <w:r w:rsidRPr="004C391A">
        <w:rPr>
          <w:rFonts w:hint="eastAsia"/>
        </w:rPr>
        <w:t>省级民政部门结合本地实际，牵头制定实施细则或者出台相应管理办法，细化管理要求和具体措施</w:t>
      </w:r>
      <w:r>
        <w:rPr>
          <w:rFonts w:hint="eastAsia"/>
        </w:rPr>
        <w:t>”</w:t>
      </w:r>
      <w:r w:rsidR="000D7537">
        <w:rPr>
          <w:rFonts w:hint="eastAsia"/>
        </w:rPr>
        <w:t>。</w:t>
      </w:r>
      <w:r w:rsidR="00696BD5">
        <w:rPr>
          <w:rFonts w:hint="eastAsia"/>
        </w:rPr>
        <w:t>江苏省民政厅</w:t>
      </w:r>
      <w:r w:rsidR="000D7537">
        <w:rPr>
          <w:rFonts w:hint="eastAsia"/>
        </w:rPr>
        <w:t>根据</w:t>
      </w:r>
      <w:r w:rsidR="00696BD5">
        <w:rPr>
          <w:rFonts w:hint="eastAsia"/>
        </w:rPr>
        <w:t>要求，广泛征求</w:t>
      </w:r>
      <w:r>
        <w:rPr>
          <w:rFonts w:hint="eastAsia"/>
        </w:rPr>
        <w:t>各方意见，</w:t>
      </w:r>
      <w:r w:rsidR="000D7537">
        <w:rPr>
          <w:rFonts w:hint="eastAsia"/>
        </w:rPr>
        <w:t>联合</w:t>
      </w:r>
      <w:r w:rsidR="006C4DD8">
        <w:rPr>
          <w:rFonts w:hint="eastAsia"/>
        </w:rPr>
        <w:t>省相关部门</w:t>
      </w:r>
      <w:r>
        <w:rPr>
          <w:rFonts w:hint="eastAsia"/>
        </w:rPr>
        <w:t>起草</w:t>
      </w:r>
      <w:r w:rsidR="0031147A">
        <w:rPr>
          <w:rFonts w:hint="eastAsia"/>
        </w:rPr>
        <w:t>了《江苏省养老机构预收费管理办法（试行）》（以下简称《管理办法》）</w:t>
      </w:r>
      <w:r w:rsidR="006C4DD8">
        <w:rPr>
          <w:rFonts w:hint="eastAsia"/>
        </w:rPr>
        <w:t>，进一步规范养老机构收费行为，防范化解非法集资等金融风险，维护老年人合法权益。</w:t>
      </w:r>
    </w:p>
    <w:p w14:paraId="15B36924" w14:textId="77777777" w:rsidR="004C391A" w:rsidRDefault="004C391A" w:rsidP="004C391A">
      <w:pPr>
        <w:pStyle w:val="1"/>
        <w:ind w:firstLine="628"/>
      </w:pPr>
      <w:r>
        <w:rPr>
          <w:rFonts w:hint="eastAsia"/>
        </w:rPr>
        <w:lastRenderedPageBreak/>
        <w:t>二、主要内容</w:t>
      </w:r>
    </w:p>
    <w:p w14:paraId="76745AAB" w14:textId="1DFE57F1" w:rsidR="004C391A" w:rsidRDefault="004C391A" w:rsidP="004C391A">
      <w:pPr>
        <w:ind w:firstLine="628"/>
      </w:pPr>
      <w:r>
        <w:rPr>
          <w:rFonts w:hint="eastAsia"/>
        </w:rPr>
        <w:t>《</w:t>
      </w:r>
      <w:r w:rsidR="0031147A">
        <w:rPr>
          <w:rFonts w:hint="eastAsia"/>
        </w:rPr>
        <w:t>管理办法</w:t>
      </w:r>
      <w:r>
        <w:rPr>
          <w:rFonts w:hint="eastAsia"/>
        </w:rPr>
        <w:t>》共</w:t>
      </w:r>
      <w:r w:rsidR="0031147A">
        <w:rPr>
          <w:rFonts w:hint="eastAsia"/>
        </w:rPr>
        <w:t>6</w:t>
      </w:r>
      <w:r w:rsidR="0031147A">
        <w:rPr>
          <w:rFonts w:hint="eastAsia"/>
        </w:rPr>
        <w:t>章</w:t>
      </w:r>
      <w:r w:rsidR="0031147A">
        <w:rPr>
          <w:rFonts w:hint="eastAsia"/>
        </w:rPr>
        <w:t>28</w:t>
      </w:r>
      <w:r w:rsidR="0031147A">
        <w:rPr>
          <w:rFonts w:hint="eastAsia"/>
        </w:rPr>
        <w:t>条</w:t>
      </w:r>
      <w:r>
        <w:rPr>
          <w:rFonts w:hint="eastAsia"/>
        </w:rPr>
        <w:t>，主要从</w:t>
      </w:r>
      <w:r w:rsidR="002D3DB1">
        <w:rPr>
          <w:rFonts w:hint="eastAsia"/>
        </w:rPr>
        <w:t>5</w:t>
      </w:r>
      <w:r w:rsidR="002D3DB1">
        <w:rPr>
          <w:rFonts w:hint="eastAsia"/>
        </w:rPr>
        <w:t>个</w:t>
      </w:r>
      <w:r>
        <w:rPr>
          <w:rFonts w:hint="eastAsia"/>
        </w:rPr>
        <w:t>方面作出规定</w:t>
      </w:r>
      <w:r w:rsidR="000D7537">
        <w:rPr>
          <w:rFonts w:hint="eastAsia"/>
        </w:rPr>
        <w:t>。</w:t>
      </w:r>
      <w:r w:rsidR="000D7537" w:rsidRPr="000D7537">
        <w:rPr>
          <w:rFonts w:ascii="方正黑体_GBK" w:eastAsia="方正黑体_GBK" w:hAnsi="方正黑体_GBK" w:hint="eastAsia"/>
        </w:rPr>
        <w:t>一是</w:t>
      </w:r>
      <w:r w:rsidR="0031147A">
        <w:rPr>
          <w:rFonts w:hint="eastAsia"/>
        </w:rPr>
        <w:t>明确《管理办法》出台的目的要求和法律政策依据，提出《管理办法》的适用范围。规定“养老机构预收费”的概念，</w:t>
      </w:r>
      <w:r w:rsidR="0031147A" w:rsidRPr="0031147A">
        <w:rPr>
          <w:rFonts w:hint="eastAsia"/>
        </w:rPr>
        <w:t>将养老机构在提供服务前向老年人</w:t>
      </w:r>
      <w:r w:rsidR="003F59CA">
        <w:rPr>
          <w:rFonts w:hint="eastAsia"/>
        </w:rPr>
        <w:t>或者</w:t>
      </w:r>
      <w:r w:rsidR="0031147A" w:rsidRPr="0031147A">
        <w:rPr>
          <w:rFonts w:hint="eastAsia"/>
        </w:rPr>
        <w:t>其代理人收取的养老服务费、押金和会员费全口径纳入监管。</w:t>
      </w:r>
      <w:r w:rsidR="000D7537" w:rsidRPr="000D7537">
        <w:rPr>
          <w:rFonts w:ascii="方正黑体_GBK" w:eastAsia="方正黑体_GBK" w:hAnsi="方正黑体_GBK" w:hint="eastAsia"/>
        </w:rPr>
        <w:t>二是</w:t>
      </w:r>
      <w:r w:rsidR="0031147A">
        <w:rPr>
          <w:rFonts w:hint="eastAsia"/>
        </w:rPr>
        <w:t>制定养老机构预收费的基本规则，要求养老机构明确收费依据和要求，限定养老服务费的最长预收周期和押金的最高预收额度，防控资金风险。设置养老机构预收费的限制条件，防止出现超出床位供给能力的预收费现象。</w:t>
      </w:r>
      <w:r w:rsidR="000D7537" w:rsidRPr="000D7537">
        <w:rPr>
          <w:rFonts w:ascii="方正黑体_GBK" w:eastAsia="方正黑体_GBK" w:hAnsi="方正黑体_GBK" w:hint="eastAsia"/>
        </w:rPr>
        <w:t>三是</w:t>
      </w:r>
      <w:r w:rsidR="002D3DB1">
        <w:rPr>
          <w:rFonts w:hint="eastAsia"/>
        </w:rPr>
        <w:t>全链条加强对养老机构预收费的管理，</w:t>
      </w:r>
      <w:r w:rsidR="0031147A">
        <w:rPr>
          <w:rFonts w:hint="eastAsia"/>
        </w:rPr>
        <w:t>对签订协议、</w:t>
      </w:r>
      <w:r w:rsidR="002D3DB1">
        <w:rPr>
          <w:rFonts w:hint="eastAsia"/>
        </w:rPr>
        <w:t>支出范围、告知风险、退还费用、开具票据、实行备案</w:t>
      </w:r>
      <w:r>
        <w:rPr>
          <w:rFonts w:hint="eastAsia"/>
        </w:rPr>
        <w:t>等环节进行规范，最大程度保障老年人的合法权益。</w:t>
      </w:r>
      <w:r w:rsidR="000D7537" w:rsidRPr="000D7537">
        <w:rPr>
          <w:rFonts w:ascii="方正黑体_GBK" w:eastAsia="方正黑体_GBK" w:hAnsi="方正黑体_GBK" w:hint="eastAsia"/>
        </w:rPr>
        <w:t>四是</w:t>
      </w:r>
      <w:r w:rsidR="002D3DB1">
        <w:rPr>
          <w:rFonts w:hint="eastAsia"/>
        </w:rPr>
        <w:t>重点规范养老机构预收费</w:t>
      </w:r>
      <w:r w:rsidR="00286C89">
        <w:rPr>
          <w:rFonts w:hint="eastAsia"/>
        </w:rPr>
        <w:t>的</w:t>
      </w:r>
      <w:r w:rsidR="002D3DB1">
        <w:rPr>
          <w:rFonts w:hint="eastAsia"/>
        </w:rPr>
        <w:t>银行存管行为，明确存管规则、保证金存留、资金异常处理等方面的要求，确保专款专用及</w:t>
      </w:r>
      <w:r w:rsidR="002D3DB1" w:rsidRPr="002D3DB1">
        <w:rPr>
          <w:rFonts w:hint="eastAsia"/>
        </w:rPr>
        <w:t>发生纠纷时有一定清偿能力。</w:t>
      </w:r>
      <w:r w:rsidR="002D3DB1">
        <w:rPr>
          <w:rFonts w:hint="eastAsia"/>
        </w:rPr>
        <w:t>提升属地民政部门和资金存管银行对相关风险的处置能力。</w:t>
      </w:r>
      <w:r w:rsidR="000D7537" w:rsidRPr="000D7537">
        <w:rPr>
          <w:rFonts w:ascii="方正黑体_GBK" w:eastAsia="方正黑体_GBK" w:hAnsi="方正黑体_GBK" w:hint="eastAsia"/>
        </w:rPr>
        <w:t>五是</w:t>
      </w:r>
      <w:r w:rsidR="002D3DB1">
        <w:rPr>
          <w:rFonts w:hint="eastAsia"/>
        </w:rPr>
        <w:t>明确各部门职责分工，提出</w:t>
      </w:r>
      <w:r>
        <w:rPr>
          <w:rFonts w:hint="eastAsia"/>
        </w:rPr>
        <w:t>“双随机”和专项检查、抽查审计、风险监测等日常监管</w:t>
      </w:r>
      <w:r w:rsidR="002D3DB1">
        <w:rPr>
          <w:rFonts w:hint="eastAsia"/>
        </w:rPr>
        <w:t>工作要求。明确政策</w:t>
      </w:r>
      <w:r>
        <w:rPr>
          <w:rFonts w:hint="eastAsia"/>
        </w:rPr>
        <w:t>过渡期</w:t>
      </w:r>
      <w:r w:rsidR="002D3DB1">
        <w:rPr>
          <w:rFonts w:hint="eastAsia"/>
        </w:rPr>
        <w:t>和</w:t>
      </w:r>
      <w:r>
        <w:rPr>
          <w:rFonts w:hint="eastAsia"/>
        </w:rPr>
        <w:t>政策衔接适用。</w:t>
      </w:r>
    </w:p>
    <w:p w14:paraId="68C75997" w14:textId="77777777" w:rsidR="00286C89" w:rsidRDefault="00286C89" w:rsidP="004C391A">
      <w:pPr>
        <w:ind w:firstLine="628"/>
      </w:pPr>
      <w:r>
        <w:rPr>
          <w:rFonts w:hint="eastAsia"/>
        </w:rPr>
        <w:t>《管理办法》还制定了</w:t>
      </w:r>
      <w:r w:rsidRPr="00286C89">
        <w:rPr>
          <w:rFonts w:hint="eastAsia"/>
        </w:rPr>
        <w:t>养老机构预收费资金监管三方协议</w:t>
      </w:r>
      <w:r>
        <w:rPr>
          <w:rFonts w:hint="eastAsia"/>
        </w:rPr>
        <w:t>、备案表、备案承诺书的模板供市县民政部门参考。</w:t>
      </w:r>
    </w:p>
    <w:sectPr w:rsidR="00286C89" w:rsidSect="000D753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1531" w:bottom="1701" w:left="1588" w:header="851" w:footer="992" w:gutter="0"/>
      <w:cols w:space="425"/>
      <w:docGrid w:type="linesAndChars" w:linePitch="435" w:charSpace="-12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A60A1C" w14:textId="77777777" w:rsidR="00123FE8" w:rsidRDefault="00123FE8" w:rsidP="004C391A">
      <w:pPr>
        <w:spacing w:line="240" w:lineRule="auto"/>
        <w:ind w:firstLine="640"/>
      </w:pPr>
      <w:r>
        <w:separator/>
      </w:r>
    </w:p>
  </w:endnote>
  <w:endnote w:type="continuationSeparator" w:id="0">
    <w:p w14:paraId="1E0897CA" w14:textId="77777777" w:rsidR="00123FE8" w:rsidRDefault="00123FE8" w:rsidP="004C391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7CC1F" w14:textId="77777777" w:rsidR="004C391A" w:rsidRDefault="004C391A" w:rsidP="004C391A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3C603E" w14:textId="77777777" w:rsidR="004C391A" w:rsidRDefault="004C391A" w:rsidP="004C391A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E3E770" w14:textId="77777777" w:rsidR="004C391A" w:rsidRDefault="004C391A" w:rsidP="004C391A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B92F4F" w14:textId="77777777" w:rsidR="00123FE8" w:rsidRDefault="00123FE8" w:rsidP="004C391A">
      <w:pPr>
        <w:spacing w:line="240" w:lineRule="auto"/>
        <w:ind w:firstLine="640"/>
      </w:pPr>
      <w:r>
        <w:separator/>
      </w:r>
    </w:p>
  </w:footnote>
  <w:footnote w:type="continuationSeparator" w:id="0">
    <w:p w14:paraId="7F73FBB3" w14:textId="77777777" w:rsidR="00123FE8" w:rsidRDefault="00123FE8" w:rsidP="004C391A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5917A" w14:textId="77777777" w:rsidR="004C391A" w:rsidRDefault="004C391A" w:rsidP="004C391A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260012" w14:textId="77777777" w:rsidR="004C391A" w:rsidRDefault="004C391A" w:rsidP="004C391A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F94A25" w14:textId="77777777" w:rsidR="004C391A" w:rsidRDefault="004C391A" w:rsidP="004C391A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HorizontalSpacing w:val="157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332B9"/>
    <w:rsid w:val="00064435"/>
    <w:rsid w:val="000D7537"/>
    <w:rsid w:val="00123FE8"/>
    <w:rsid w:val="00153833"/>
    <w:rsid w:val="00170264"/>
    <w:rsid w:val="00185E4D"/>
    <w:rsid w:val="00216D84"/>
    <w:rsid w:val="00286C89"/>
    <w:rsid w:val="002D3DB1"/>
    <w:rsid w:val="0031147A"/>
    <w:rsid w:val="003F59CA"/>
    <w:rsid w:val="004C391A"/>
    <w:rsid w:val="0052648C"/>
    <w:rsid w:val="005E787A"/>
    <w:rsid w:val="005F675A"/>
    <w:rsid w:val="00600AEB"/>
    <w:rsid w:val="00684EA9"/>
    <w:rsid w:val="006858B7"/>
    <w:rsid w:val="00696BD5"/>
    <w:rsid w:val="006C4DD8"/>
    <w:rsid w:val="007332B9"/>
    <w:rsid w:val="007640F8"/>
    <w:rsid w:val="007C77CB"/>
    <w:rsid w:val="00840E23"/>
    <w:rsid w:val="00922BB7"/>
    <w:rsid w:val="00962170"/>
    <w:rsid w:val="009860FC"/>
    <w:rsid w:val="009D5C67"/>
    <w:rsid w:val="00B759F0"/>
    <w:rsid w:val="00BA29DE"/>
    <w:rsid w:val="00CC2FFE"/>
    <w:rsid w:val="00D23F65"/>
    <w:rsid w:val="00DA77E0"/>
    <w:rsid w:val="00DF72B1"/>
    <w:rsid w:val="00E02733"/>
    <w:rsid w:val="00E23996"/>
    <w:rsid w:val="00E71192"/>
    <w:rsid w:val="00E779F6"/>
    <w:rsid w:val="00E85AF2"/>
    <w:rsid w:val="00F06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EB666D"/>
  <w15:docId w15:val="{2D5086A6-9B9B-4BF2-9F1A-D288332CF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宋体" w:hAnsi="Calibri" w:cs="Times New Roman"/>
        <w:lang w:val="en-US" w:eastAsia="zh-CN" w:bidi="ar-SA"/>
      </w:rPr>
    </w:rPrDefault>
    <w:pPrDefault>
      <w:pPr>
        <w:spacing w:line="600" w:lineRule="exact"/>
        <w:ind w:firstLineChars="200" w:firstLine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72B1"/>
    <w:pPr>
      <w:jc w:val="both"/>
    </w:pPr>
    <w:rPr>
      <w:rFonts w:ascii="Times New Roman" w:eastAsia="方正仿宋_GBK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0"/>
    <w:uiPriority w:val="9"/>
    <w:qFormat/>
    <w:rsid w:val="00BA29DE"/>
    <w:pPr>
      <w:keepNext/>
      <w:outlineLvl w:val="0"/>
    </w:pPr>
    <w:rPr>
      <w:rFonts w:eastAsia="方正黑体_GBK"/>
      <w:bCs/>
      <w:kern w:val="32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70264"/>
    <w:pPr>
      <w:keepNext/>
      <w:keepLines/>
      <w:outlineLvl w:val="1"/>
    </w:pPr>
    <w:rPr>
      <w:rFonts w:eastAsia="方正楷体_GBK" w:cstheme="majorBidi"/>
      <w:bCs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70264"/>
    <w:pPr>
      <w:keepNext/>
      <w:keepLines/>
      <w:spacing w:before="260" w:after="260" w:line="416" w:lineRule="atLeast"/>
      <w:outlineLvl w:val="2"/>
    </w:pPr>
    <w:rPr>
      <w:rFonts w:ascii="Calibri" w:hAnsi="Calibr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B759F0"/>
    <w:pPr>
      <w:widowControl w:val="0"/>
      <w:spacing w:line="580" w:lineRule="exact"/>
      <w:ind w:firstLineChars="0" w:firstLine="0"/>
      <w:jc w:val="center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a4">
    <w:name w:val="标题 字符"/>
    <w:basedOn w:val="a0"/>
    <w:link w:val="a3"/>
    <w:rsid w:val="00B759F0"/>
    <w:rPr>
      <w:rFonts w:asciiTheme="majorHAnsi" w:eastAsia="方正小标宋_GBK" w:hAnsiTheme="majorHAnsi" w:cstheme="majorBidi"/>
      <w:bCs/>
      <w:kern w:val="2"/>
      <w:sz w:val="44"/>
      <w:szCs w:val="32"/>
    </w:rPr>
  </w:style>
  <w:style w:type="character" w:customStyle="1" w:styleId="10">
    <w:name w:val="标题 1 字符"/>
    <w:basedOn w:val="a0"/>
    <w:link w:val="1"/>
    <w:uiPriority w:val="9"/>
    <w:rsid w:val="00BA29DE"/>
    <w:rPr>
      <w:rFonts w:ascii="Times New Roman" w:eastAsia="方正黑体_GBK" w:hAnsi="Times New Roman"/>
      <w:bCs/>
      <w:kern w:val="32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170264"/>
    <w:rPr>
      <w:rFonts w:ascii="Times New Roman" w:eastAsia="方正楷体_GBK" w:hAnsi="Times New Roman" w:cstheme="majorBidi"/>
      <w:bCs/>
      <w:kern w:val="2"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rsid w:val="00170264"/>
    <w:rPr>
      <w:rFonts w:eastAsia="方正仿宋_GBK"/>
      <w:b/>
      <w:bCs/>
      <w:kern w:val="2"/>
      <w:sz w:val="32"/>
      <w:szCs w:val="32"/>
    </w:rPr>
  </w:style>
  <w:style w:type="paragraph" w:styleId="a5">
    <w:name w:val="header"/>
    <w:basedOn w:val="a"/>
    <w:link w:val="a6"/>
    <w:autoRedefine/>
    <w:uiPriority w:val="99"/>
    <w:unhideWhenUsed/>
    <w:qFormat/>
    <w:rsid w:val="00170264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="Calibri" w:hAnsi="Calibri"/>
      <w:sz w:val="18"/>
      <w:szCs w:val="18"/>
    </w:rPr>
  </w:style>
  <w:style w:type="character" w:customStyle="1" w:styleId="a6">
    <w:name w:val="页眉 字符"/>
    <w:link w:val="a5"/>
    <w:uiPriority w:val="99"/>
    <w:rsid w:val="00170264"/>
    <w:rPr>
      <w:rFonts w:eastAsia="方正仿宋_GBK"/>
      <w:kern w:val="2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C391A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C391A"/>
    <w:rPr>
      <w:rFonts w:ascii="Times New Roman" w:eastAsia="方正仿宋_GBK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142</Words>
  <Characters>813</Characters>
  <Application>Microsoft Office Word</Application>
  <DocSecurity>0</DocSecurity>
  <Lines>6</Lines>
  <Paragraphs>1</Paragraphs>
  <ScaleCrop>false</ScaleCrop>
  <Company>Microsoft</Company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wangzj</dc:creator>
  <cp:keywords/>
  <dc:description/>
  <cp:lastModifiedBy>蓓 刘</cp:lastModifiedBy>
  <cp:revision>9</cp:revision>
  <dcterms:created xsi:type="dcterms:W3CDTF">2024-09-30T07:49:00Z</dcterms:created>
  <dcterms:modified xsi:type="dcterms:W3CDTF">2024-10-01T08:42:00Z</dcterms:modified>
</cp:coreProperties>
</file>