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10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2020年度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江苏省社会组织服务中心</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单位决算公开</w:t>
            </w:r>
          </w:p>
        </w:tc>
      </w:tr>
    </w:tbl>
    <w:p>
      <w:pPr>
        <w:ind w:right="284" w:rightChars="129"/>
        <w:jc w:val="both"/>
        <w:rPr>
          <w:rFonts w:hint="eastAsia" w:ascii="宋体" w:hAnsi="宋体" w:eastAsia="宋体" w:cs="宋体"/>
          <w:b/>
          <w:bCs/>
          <w:sz w:val="52"/>
          <w:szCs w:val="52"/>
        </w:rPr>
        <w:sectPr>
          <w:headerReference r:id="rId4" w:type="first"/>
          <w:headerReference r:id="rId3"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tabs>
          <w:tab w:val="left" w:pos="880"/>
        </w:tabs>
        <w:spacing w:line="718" w:lineRule="exact"/>
        <w:ind w:right="313" w:firstLine="0"/>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spacing w:before="7" w:after="0"/>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机构设置及决算单位构成情况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2020</w:t>
      </w:r>
      <w:r>
        <w:rPr>
          <w:rFonts w:hint="eastAsia" w:ascii="仿宋" w:hAnsi="仿宋" w:eastAsia="仿宋" w:cs="仿宋"/>
          <w:b/>
          <w:bCs/>
          <w:lang w:val="en-US" w:eastAsia="zh-CN"/>
        </w:rPr>
        <w:t>年度</w:t>
      </w:r>
      <w:r>
        <w:rPr>
          <w:rFonts w:ascii="仿宋" w:hAnsi="仿宋" w:eastAsia="仿宋" w:cs="仿宋"/>
          <w:b/>
        </w:rPr>
        <w:t>单位决算表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spacing w:val="-2"/>
        </w:rPr>
        <w:t>一、收入支出决算总表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5774" w:hanging="11" w:firstLineChars="0"/>
        <w:jc w:val="both"/>
        <w:textAlignment w:val="auto"/>
        <w:rPr>
          <w:rFonts w:hint="eastAsia" w:ascii="仿宋" w:hAnsi="仿宋" w:eastAsia="仿宋" w:cs="仿宋"/>
        </w:rPr>
      </w:pPr>
      <w:r>
        <w:rPr>
          <w:rFonts w:hint="eastAsia" w:ascii="仿宋" w:hAnsi="仿宋" w:eastAsia="仿宋" w:cs="仿宋"/>
        </w:rPr>
        <w:t>二、收入决算表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w w:val="95"/>
        </w:rPr>
        <w:t>三、支出决算表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四、财政拨款收入支出决算总表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894" w:hanging="11" w:firstLineChars="0"/>
        <w:jc w:val="both"/>
        <w:textAlignment w:val="auto"/>
        <w:rPr>
          <w:rFonts w:hint="eastAsia" w:ascii="仿宋" w:hAnsi="仿宋" w:eastAsia="仿宋" w:cs="仿宋"/>
        </w:rPr>
      </w:pPr>
      <w:r>
        <w:rPr>
          <w:rFonts w:hint="eastAsia" w:ascii="仿宋" w:hAnsi="仿宋" w:eastAsia="仿宋" w:cs="仿宋"/>
        </w:rPr>
        <w:t>六、财政拨款基本支出决算表（经济科目） 七、一般公共预算支出决算表（功能科目）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八、一般公共预算基本支出决算表（经济科目）</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十、政府性基金预算收入支出决算表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十一、一般公共预算机关运行经费支出决算表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rPr>
      </w:pPr>
      <w:r>
        <w:rPr>
          <w:rFonts w:hint="eastAsia" w:ascii="仿宋" w:hAnsi="仿宋" w:eastAsia="仿宋" w:cs="仿宋"/>
        </w:rPr>
        <w:t>十二、政府采购支出决算表</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bidi="ar"/>
        </w:rPr>
        <w:t>2020年度</w:t>
      </w:r>
      <w:r>
        <w:rPr>
          <w:rFonts w:ascii="仿宋" w:hAnsi="仿宋" w:eastAsia="仿宋" w:cs="仿宋"/>
          <w:b/>
          <w:color w:val="000000"/>
          <w:sz w:val="30"/>
        </w:rPr>
        <w:t>单位</w:t>
      </w:r>
      <w:r>
        <w:rPr>
          <w:rFonts w:hint="eastAsia" w:ascii="仿宋" w:hAnsi="仿宋" w:eastAsia="仿宋" w:cs="仿宋"/>
          <w:b/>
          <w:bCs/>
          <w:color w:val="000000"/>
          <w:sz w:val="30"/>
          <w:szCs w:val="30"/>
          <w:lang w:val="en-US" w:bidi="ar"/>
        </w:rPr>
        <w:t>决算情况说明</w:t>
      </w:r>
    </w:p>
    <w:p>
      <w:pPr>
        <w:pStyle w:val="8"/>
        <w:keepNext w:val="0"/>
        <w:keepLines w:val="0"/>
        <w:pageBreakBefore w:val="0"/>
        <w:widowControl w:val="0"/>
        <w:kinsoku/>
        <w:wordWrap/>
        <w:overflowPunct/>
        <w:topLinePunct w:val="0"/>
        <w:autoSpaceDE/>
        <w:autoSpaceDN/>
        <w:bidi w:val="0"/>
        <w:adjustRightInd/>
        <w:snapToGrid/>
        <w:spacing w:line="360"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spacing w:line="235" w:lineRule="auto"/>
        <w:ind w:left="669" w:leftChars="300" w:right="2414" w:hanging="9" w:firstLineChars="0"/>
        <w:jc w:val="both"/>
        <w:rPr>
          <w:rFonts w:hint="eastAsia" w:ascii="仿宋" w:hAnsi="仿宋" w:eastAsia="仿宋" w:cs="仿宋"/>
        </w:rPr>
        <w:sectPr>
          <w:footerReference r:id="rId5"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（一）为社会组织提供政策咨询、业务指导、调研培训等服务；</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（二）负责开发建设、运营管理社会组织服务信息系统以及日常数据更新维护；</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（三）负责全省性社会组织档案管理工作；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（四）参与社会组织年检、换届、检查、评估等日常管理工作；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（五）承办省民政厅交办的其他工作。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机构设置及决算单位构成情况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职责分工，本</w:t>
      </w:r>
      <w:r>
        <w:rPr>
          <w:rFonts w:hint="eastAsia" w:ascii="仿宋" w:hAnsi="仿宋" w:eastAsia="仿宋" w:cs="仿宋"/>
          <w:lang w:val="en-US" w:eastAsia="zh-CN"/>
        </w:rPr>
        <w:t>单位</w:t>
      </w:r>
      <w:r>
        <w:rPr>
          <w:rFonts w:hint="eastAsia" w:ascii="仿宋" w:hAnsi="仿宋" w:eastAsia="仿宋" w:cs="仿宋"/>
        </w:rPr>
        <w:t>内设机构包括</w:t>
      </w:r>
      <w:r>
        <w:rPr>
          <w:rFonts w:hint="eastAsia" w:ascii="仿宋" w:hAnsi="仿宋" w:eastAsia="仿宋" w:cs="仿宋"/>
          <w:lang w:eastAsia="zh-CN"/>
        </w:rPr>
        <w:t>：</w:t>
      </w:r>
      <w:r>
        <w:rPr>
          <w:rFonts w:ascii="仿宋" w:hAnsi="仿宋" w:eastAsia="仿宋" w:cs="仿宋"/>
        </w:rPr>
        <w:t>（一） 综合科。负责中心日常运转，承担信息、宣传、财务、人事等工作。（二）业务科。为社会组织提供政策咨询、业务指导、调研培训等服务；负责全省性社会组织档案管理工作；参与社会组织年检、换届、检查、评估等日常管理工作。（三）信息科。负责全省性社会组织档案管理工作。本单位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rPr>
      </w:pPr>
      <w:r>
        <w:rPr>
          <w:rFonts w:hint="eastAsia" w:ascii="仿宋" w:hAnsi="仿宋" w:eastAsia="仿宋" w:cs="仿宋"/>
          <w:lang w:val="en-US" w:eastAsia="zh-CN"/>
        </w:rPr>
        <w:t>2.</w:t>
      </w:r>
      <w:r>
        <w:rPr>
          <w:rFonts w:hint="eastAsia" w:ascii="仿宋" w:hAnsi="仿宋" w:eastAsia="仿宋" w:cs="仿宋"/>
        </w:rPr>
        <w:t>从决算单位构成看，纳入本</w:t>
      </w:r>
      <w:r>
        <w:rPr>
          <w:rFonts w:hint="eastAsia" w:ascii="仿宋" w:hAnsi="仿宋" w:eastAsia="仿宋" w:cs="仿宋"/>
          <w:lang w:val="en-US" w:eastAsia="zh-CN"/>
        </w:rPr>
        <w:t>单位</w:t>
      </w:r>
      <w:r>
        <w:rPr>
          <w:rFonts w:hint="eastAsia" w:ascii="仿宋" w:hAnsi="仿宋" w:eastAsia="仿宋" w:cs="仿宋"/>
        </w:rPr>
        <w:t>2020年</w:t>
      </w:r>
      <w:r>
        <w:rPr>
          <w:rFonts w:hint="eastAsia" w:ascii="仿宋" w:hAnsi="仿宋" w:eastAsia="仿宋" w:cs="仿宋"/>
          <w:lang w:val="en-US" w:eastAsia="zh-CN"/>
        </w:rPr>
        <w:t>单位</w:t>
      </w:r>
      <w:r>
        <w:rPr>
          <w:rFonts w:hint="eastAsia" w:ascii="仿宋" w:hAnsi="仿宋" w:eastAsia="仿宋" w:cs="仿宋"/>
        </w:rPr>
        <w:t>汇总决算编制范围的预算单位共计</w:t>
      </w:r>
      <w:r>
        <w:rPr>
          <w:rFonts w:ascii="仿宋" w:hAnsi="仿宋" w:eastAsia="仿宋" w:cs="仿宋"/>
        </w:rPr>
        <w:t>1</w:t>
      </w:r>
      <w:r>
        <w:rPr>
          <w:rFonts w:hint="eastAsia" w:ascii="仿宋" w:hAnsi="仿宋" w:eastAsia="仿宋" w:cs="仿宋"/>
        </w:rPr>
        <w:t>家，具体包括：</w:t>
      </w:r>
      <w:r>
        <w:rPr>
          <w:rFonts w:ascii="仿宋" w:hAnsi="仿宋" w:eastAsia="仿宋" w:cs="仿宋"/>
        </w:rPr>
        <w:t>江苏省社会组织服务中心。</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三、2020年度主要工作完成情况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在省社会组织管理局的全面领导下，中心的业务及党建工作，由省社会组织管理局统筹谋划部署，共同组织实施。中心2020年底在职人员9名，分别承担省级社会组织成立登记、注销、变更，涉外收养等行政审批确认相关工作；部分省级社团、民非、基金会年检以及换届具体工作；部分社会组织管理信息系统升级改造具体工作；部分执法、信访、宣传以及公众号运营工作；联合支部党建以及综合党委具体工作等。</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强化党的建设，坚决拥护党的领导。中心党员、入党积极分子都能够积极参加支部党课、专题学习会，认真读原著、学原文、悟原理，及时学习习近平新时代中国特色社会主义思想、党的十九大及十九届二中、三中、四中、五中全会精神和习近平总书记视察江苏等重要讲话指示精神，学习党史、新中国史、改革开放史和社会主义发展史等，运用好学习强国平台抓好个人自学。积极参加“学用新思想”答题竞赛等活动、“第三届百万党员学宪法学党章考法律活动”。落实组织生活制度，深入开展批评与自我批评。认真开展与共驻共建活动；配合完成与滨海县省定经济薄弱村响坎村签订结对共建协议，成功对接2家社会组织捐赠价值24万元的秸秆打包机等帮扶资金，共同参与“助农先锋行”活动；认真做好支部台账记录、电子台账上传、党费收缴等工作；协助以党建引领助力省定经济薄弱村脱贫攻坚与乡村振兴；注重作风建设，开展一系列党风廉政教育活动，严格落实党风廉政建设责任制，不断加强对党员的党性锤炼，充分发挥党员先锋模范作用，齐心协力增强支部的创造力凝聚力战斗力。在机关党委的关心指导下，中心1名同志通过组织培养发展为预备党员，另有1名同志也递交了入党申请书。</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加强队伍建设，助力提高服务水平。在强化中心同志教育管理的同时，注重对年轻同志的关心培养，通过岗位练兵、老带新等方式使年轻队伍快速适岗，在业务处理中不断提高业务水平，优化服务能力。一是配合社管局做好综合党委党建具体工作。首先，做好综合党委所属社会组织党组织的统计工作，截至2020年底，已批复成立社会组织党支部20个，功能型党组织23个，选派党建指导员73人。其次，做好党组织标准化建设相关指导工作，承办所属党组织负责人培训。按照《2020年江苏省社会组织综合党委党建工作要点》有序落实年度党建工作，承办综合党委“七一”、“党建引领社会组织高质量发展”等主题党日活动、党组织书记培训会议和学习贯彻十九届五中全会精神党支部书记交流座谈暨年度述职会，提高党支部标准化、规范化建设水平，引导所属社会组织进一步提高政治站位，强化政治核心。然后，继续落实好“两个覆盖”，有序推进功能型党组织建设工作。坚持“一社一策”的基本原则，指导所属社会组织做好党组织建设和党建工作指导员推荐等相关工作，助力提高综合党委党的组织和党的工作覆盖率。最后，配合做好党建调研有关工作。整理汇总各市社会组织党建工作开展情况，配合社管局拟定社会组织党建工作调研方案，赴苏州公益园了解苏州市社会组织党委工作情况。拟定支部主题党日活动方案，赴连云港开展社会组织党建工作相关调研，推动全面了解我省综合党委党建工作情况。二是负责社会组织年检、换届相关工作，为社会组织提供政策咨询、业务指导等服务。在社管局指导下完成740家社会组织年检工作，其中社会团体224家、社会服务机构205家、基金会311家，办理137家社会组织换届、147家章程核准、45家延期换届工作和不涉及变更事项、延期换届的法人证书打印工作。此外通过录制年检年报视频、电话、企业微信、qq等线上线下相结合方式提供业务指导，进行政策解答。三是参与推进 “一库四系统”信息平台升级改造、日常维护有关工作。一方面参与推进省社会组织管理信息系统升级改造，梳理信息系统竞争性磋商文件、参与制定业务需求梳理进度方案，共同参与开展业务需求专题研讨和系统业务需求评审会，配合完成包含年检年报、换届备案、信用信息、党建情况分析等功能模块的项目需求分析说明书，目前系统开发正在稳妥推进之中。另一方面对信息平台进行日常维护。做好统一信用代码、社会组织名称等相关信息核对维护；每季度对行政审批窗口提供的相关数据、“社管系统”和厅规财处的“统计台账”进行核对修改，提高社会组织数据质量精准度。配合社管局印发《关于2020年二季度社会组织数据质量情况的通报》（苏社管〔2020〕16号），督促指导各地提高数据质量；配合印发《关于做好全省行业协会商会身份标识工作的通知》（苏社管〔2020〕20号），指导各市认真做好行业协会商会身份标识有关工作。四是参与全省社会组织信用信息、抽查审计、执法监督、信息公开、信访接待、投诉举报、当事人约谈、自查自纠等工作。首先参与社会组织信用体系建设工作。贯彻落实《社会组织信用信息管理办法》的工作部署，研究拟定社会组织登记信用承诺制度；协助维护“社政钉”群、创建平台用户，并做好“江苏省社会组织信用信息公示平台”省本级社会组织活动异常名录及严重违法失信名单信息公示相关工作。其次参与执法、检查相关工作。配合社管局完成信访接待、投诉举报、发放责令整改通知书等工作，向相关业务主管单位发送《社会组织存在问题告知函》《行政处罚事前会商函》，参与非法社会组织线索处理、当事人约谈、执法文书送达、抽查审计等工作。最后完成社会服务机构自查自纠工作。协助社管局印发《关于开展社会服务机构规范化建设专项整治的通知》（苏社管〔2020〕19号），省本级7家厅管社会服务机构规范化建设情况基本梳理完成。同时根据民政部要求汇总社会服务机构自查自纠情况统计表和报送社会服务机构自查自纠工作总结。五是做好日常保障工作以及省民政厅交办的其他工作。中心负责社会组织有关会议、培训的会务安排和组织协调，做好社会组织档案管理包括借阅登记、复印、介绍信存档等工作，以及疫情防控期间社会组织调查问卷、社会组织注册登记信息、向省基础数据库推送社会组织信息的情况统计、社会组织统一社会信用代码建设及应用等数据统计、报送相关工作。协助社管局做好脱贫攻坚、社展会、资金监管、“江苏省社会组织服务”企业微信平台的搭建以及社会组织疫情防控等相关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推进制度建设，着力提升管理水平。有序完善服务中心组织建设，做好内部管理制度的制定和实施工作。一是规范内部管理制度建设。制定《江苏省社会组织服务中心财务管理制度》《江苏省社会组织服务中心财务管理制度实施细则》等财务管理制度，完善岗位设置等人事管理相关制度。二是严格落实厅直属事业单位管理工作相关要求。按照厅人教处人事管理工作要求部署重点工作，做好中心工作人员招录、档案专审工作，严格落实试用期考核、年度考核等制度。三是认真贯彻落实厅机关关于做好疫情防控和安全生产工作的工作部署。严格落实周密细致的防控举措，第一时间向服务对象发送工作通知，明确现场办理防控举措要求，大力推行“不见面”业务办理方式，尽可能减少人员流动，坚决巩固防控成果。</w:t>
      </w:r>
    </w:p>
    <w:p>
      <w:pPr>
        <w:pStyle w:val="8"/>
        <w:spacing w:line="235" w:lineRule="auto"/>
        <w:ind w:left="669" w:leftChars="300" w:right="2414" w:hanging="9" w:firstLineChars="0"/>
        <w:jc w:val="both"/>
        <w:rPr>
          <w:rFonts w:hint="eastAsia" w:ascii="仿宋" w:hAnsi="仿宋" w:eastAsia="仿宋" w:cs="仿宋"/>
        </w:rPr>
        <w:sectPr>
          <w:footerReference r:id="rId6"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江苏省社会组织服务中心</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2020年度</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决算表</w:t>
      </w:r>
    </w:p>
    <w:tbl>
      <w:tblPr>
        <w:tblStyle w:val="13"/>
        <w:tblW w:w="11331" w:type="dxa"/>
        <w:jc w:val="center"/>
        <w:tblInd w:w="0" w:type="dxa"/>
        <w:tblLayout w:type="fixed"/>
        <w:tblCellMar>
          <w:top w:w="0" w:type="dxa"/>
          <w:left w:w="108" w:type="dxa"/>
          <w:bottom w:w="0" w:type="dxa"/>
          <w:right w:w="108" w:type="dxa"/>
        </w:tblCellMar>
      </w:tblPr>
      <w:tblGrid>
        <w:gridCol w:w="3908"/>
        <w:gridCol w:w="1869"/>
        <w:gridCol w:w="3704"/>
        <w:gridCol w:w="67"/>
        <w:gridCol w:w="1781"/>
        <w:gridCol w:w="2"/>
      </w:tblGrid>
      <w:tr>
        <w:tblPrEx>
          <w:tblLayout w:type="fixed"/>
          <w:tblCellMar>
            <w:top w:w="0" w:type="dxa"/>
            <w:left w:w="108" w:type="dxa"/>
            <w:bottom w:w="0" w:type="dxa"/>
            <w:right w:w="108" w:type="dxa"/>
          </w:tblCellMar>
        </w:tblPrEx>
        <w:trPr>
          <w:trHeight w:val="544" w:hRule="atLeast"/>
          <w:jc w:val="center"/>
        </w:trPr>
        <w:tc>
          <w:tcPr>
            <w:tcW w:w="11329" w:type="dxa"/>
            <w:gridSpan w:val="5"/>
          </w:tcPr>
          <w:p>
            <w:pPr>
              <w:pageBreakBefore/>
              <w:widowControl w:val="0"/>
              <w:ind w:left="0" w:right="0" w:firstLine="0"/>
              <w:jc w:val="center"/>
              <w:textAlignment w:val="auto"/>
              <w:rPr>
                <w:rFonts w:hint="eastAsia" w:ascii="仿宋" w:hAnsi="仿宋" w:eastAsia="仿宋" w:cs="仿宋"/>
                <w:b/>
                <w:bCs/>
                <w:color w:val="000000"/>
              </w:rPr>
            </w:pPr>
            <w:r>
              <w:rPr>
                <w:rFonts w:hint="eastAsia" w:ascii="仿宋" w:hAnsi="仿宋" w:eastAsia="仿宋" w:cs="仿宋"/>
                <w:b/>
                <w:bCs/>
                <w:color w:val="000000"/>
                <w:sz w:val="44"/>
                <w:szCs w:val="44"/>
                <w:lang w:eastAsia="ar-SA"/>
              </w:rPr>
              <w:t>收入支出决算总表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8" w:hRule="atLeast"/>
          <w:jc w:val="center"/>
        </w:trPr>
        <w:tc>
          <w:tcPr>
            <w:tcW w:w="3908" w:type="dxa"/>
          </w:tcPr>
          <w:p>
            <w:pPr>
              <w:widowControl w:val="0"/>
              <w:ind w:left="0" w:right="0" w:firstLine="0"/>
              <w:jc w:val="left"/>
              <w:textAlignment w:val="auto"/>
              <w:rPr>
                <w:rFonts w:hint="eastAsia" w:ascii="仿宋" w:hAnsi="仿宋" w:eastAsia="仿宋" w:cs="仿宋"/>
                <w:color w:val="000000"/>
                <w:sz w:val="20"/>
              </w:rPr>
            </w:pPr>
          </w:p>
        </w:tc>
        <w:tc>
          <w:tcPr>
            <w:tcW w:w="1869" w:type="dxa"/>
          </w:tcPr>
          <w:p>
            <w:pPr>
              <w:widowControl w:val="0"/>
              <w:ind w:left="0" w:right="0" w:firstLine="0"/>
              <w:jc w:val="left"/>
              <w:textAlignment w:val="auto"/>
              <w:rPr>
                <w:rFonts w:hint="eastAsia" w:ascii="仿宋" w:hAnsi="仿宋" w:eastAsia="仿宋" w:cs="仿宋"/>
                <w:color w:val="000000"/>
                <w:sz w:val="20"/>
              </w:rPr>
            </w:pPr>
          </w:p>
        </w:tc>
        <w:tc>
          <w:tcPr>
            <w:tcW w:w="5552" w:type="dxa"/>
            <w:gridSpan w:val="3"/>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ar-SA"/>
              </w:rPr>
              <w:t>公开01表</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color w:val="000000"/>
                <w:sz w:val="22"/>
                <w:szCs w:val="22"/>
                <w:lang w:eastAsia="ar-SA"/>
              </w:rPr>
              <w:t>江苏省社会组织服务中心</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rPr>
              <w:t>金额单位：万元</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0"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支出</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9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ascii="仿宋" w:hAnsi="仿宋" w:eastAsia="仿宋" w:cs="仿宋"/>
                <w:color w:val="000000"/>
                <w:sz w:val="22"/>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按功能分类</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决算数</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119.00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三、国有资本经营预算财政拨款收入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0.01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89.26</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十七、援助其他地区支出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十八、自然资源海洋气象等支出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29.74</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45"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119.01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119.00</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使用非财政拨款结余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结余分配</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413"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年初结转和结余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    年末结转和结余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0.01</w:t>
            </w: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trHeight w:val="383" w:hRule="atLeast"/>
          <w:jc w:val="center"/>
        </w:trPr>
        <w:tc>
          <w:tcPr>
            <w:tcW w:w="3908"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869"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3771" w:type="dxa"/>
            <w:gridSpan w:val="2"/>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1781" w:type="dxa"/>
            <w:tcBorders>
              <w:top w:val="single" w:color="000000" w:sz="4" w:space="0"/>
              <w:left w:val="single" w:color="000000" w:sz="4" w:space="0"/>
              <w:bottom w:val="single" w:color="000000" w:sz="4" w:space="0"/>
              <w:right w:val="single" w:color="000000" w:sz="4" w:space="0"/>
            </w:tcBorders>
          </w:tcPr>
          <w:p>
            <w:pPr>
              <w:widowControl w:val="0"/>
              <w:jc w:val="left"/>
              <w:rPr>
                <w:rFonts w:hint="eastAsia" w:ascii="仿宋" w:hAnsi="仿宋" w:eastAsia="仿宋" w:cs="仿宋"/>
                <w:color w:val="000000"/>
                <w:sz w:val="22"/>
                <w:szCs w:val="22"/>
              </w:rPr>
            </w:pPr>
          </w:p>
        </w:tc>
        <w:tc>
          <w:tcPr>
            <w:tcW w:w="2" w:type="dxa"/>
          </w:tcPr>
          <w:p>
            <w:pPr>
              <w:widowControl w:val="0"/>
              <w:jc w:val="left"/>
              <w:rPr>
                <w:rFonts w:hint="eastAsia" w:ascii="仿宋" w:hAnsi="仿宋" w:eastAsia="仿宋" w:cs="仿宋"/>
                <w:sz w:val="20"/>
              </w:rPr>
            </w:pPr>
          </w:p>
        </w:tc>
      </w:tr>
      <w:tr>
        <w:tblPrEx>
          <w:tblLayout w:type="fixed"/>
          <w:tblCellMar>
            <w:top w:w="0" w:type="dxa"/>
            <w:left w:w="108" w:type="dxa"/>
            <w:bottom w:w="0" w:type="dxa"/>
            <w:right w:w="108" w:type="dxa"/>
          </w:tblCellMar>
        </w:tblPrEx>
        <w:trPr>
          <w:cantSplit/>
          <w:trHeight w:val="454"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119.01</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119.01</w:t>
            </w:r>
          </w:p>
        </w:tc>
        <w:tc>
          <w:tcPr>
            <w:tcW w:w="2" w:type="dxa"/>
          </w:tcPr>
          <w:p>
            <w:pPr>
              <w:widowControl w:val="0"/>
              <w:jc w:val="left"/>
              <w:rPr>
                <w:rFonts w:hint="eastAsia" w:ascii="仿宋" w:hAnsi="仿宋" w:eastAsia="仿宋" w:cs="仿宋"/>
                <w:sz w:val="20"/>
              </w:rPr>
            </w:pPr>
          </w:p>
        </w:tc>
      </w:tr>
    </w:tbl>
    <w:p>
      <w:pPr>
        <w:widowControl w:val="0"/>
        <w:suppressAutoHyphens/>
        <w:bidi w:val="0"/>
        <w:spacing w:before="66" w:after="0"/>
        <w:ind w:left="-440" w:leftChars="-200" w:right="0" w:firstLine="0" w:firstLineChars="0"/>
        <w:jc w:val="left"/>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注：1.本表金额转换为万元时，因四舍五入可能存在尾差。</w:t>
      </w:r>
    </w:p>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7" w:type="default"/>
          <w:pgSz w:w="11906" w:h="16838"/>
          <w:pgMar w:top="1580" w:right="700" w:bottom="770" w:left="10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6121" w:type="dxa"/>
        <w:jc w:val="center"/>
        <w:tblInd w:w="0" w:type="dxa"/>
        <w:tblLayout w:type="fixed"/>
        <w:tblCellMar>
          <w:top w:w="0" w:type="dxa"/>
          <w:left w:w="108" w:type="dxa"/>
          <w:bottom w:w="0" w:type="dxa"/>
          <w:right w:w="108" w:type="dxa"/>
        </w:tblCellMar>
      </w:tblPr>
      <w:tblGrid>
        <w:gridCol w:w="1599"/>
        <w:gridCol w:w="2236"/>
        <w:gridCol w:w="1680"/>
        <w:gridCol w:w="1646"/>
        <w:gridCol w:w="1354"/>
        <w:gridCol w:w="1646"/>
        <w:gridCol w:w="1543"/>
        <w:gridCol w:w="1457"/>
        <w:gridCol w:w="1509"/>
        <w:gridCol w:w="1451"/>
      </w:tblGrid>
      <w:tr>
        <w:tblPrEx>
          <w:tblLayout w:type="fixed"/>
          <w:tblCellMar>
            <w:top w:w="0" w:type="dxa"/>
            <w:left w:w="108" w:type="dxa"/>
            <w:bottom w:w="0" w:type="dxa"/>
            <w:right w:w="108" w:type="dxa"/>
          </w:tblCellMar>
        </w:tblPrEx>
        <w:trPr>
          <w:trHeight w:val="627" w:hRule="atLeast"/>
          <w:jc w:val="center"/>
        </w:trPr>
        <w:tc>
          <w:tcPr>
            <w:tcW w:w="16121" w:type="dxa"/>
            <w:gridSpan w:val="10"/>
            <w:vAlign w:val="center"/>
          </w:tcPr>
          <w:p>
            <w:pPr>
              <w:pStyle w:val="5"/>
              <w:widowControl w:val="0"/>
              <w:rPr>
                <w:rFonts w:hint="eastAsia" w:ascii="仿宋" w:hAnsi="仿宋" w:eastAsia="仿宋" w:cs="仿宋"/>
                <w:b/>
                <w:bCs/>
                <w:sz w:val="44"/>
                <w:szCs w:val="44"/>
                <w:lang w:val="en-US" w:eastAsia="zh-CN"/>
              </w:rPr>
            </w:pPr>
            <w:r>
              <w:rPr>
                <w:rFonts w:hint="eastAsia" w:ascii="仿宋" w:hAnsi="仿宋" w:eastAsia="仿宋" w:cs="仿宋"/>
                <w:b/>
                <w:bCs/>
                <w:sz w:val="44"/>
                <w:szCs w:val="44"/>
              </w:rPr>
              <w:t>收入决算表</w:t>
            </w:r>
          </w:p>
        </w:tc>
      </w:tr>
      <w:tr>
        <w:tblPrEx>
          <w:tblLayout w:type="fixed"/>
          <w:tblCellMar>
            <w:top w:w="0" w:type="dxa"/>
            <w:left w:w="108" w:type="dxa"/>
            <w:bottom w:w="0" w:type="dxa"/>
            <w:right w:w="108" w:type="dxa"/>
          </w:tblCellMar>
        </w:tblPrEx>
        <w:trPr>
          <w:trHeight w:val="314" w:hRule="atLeast"/>
          <w:jc w:val="center"/>
        </w:trPr>
        <w:tc>
          <w:tcPr>
            <w:tcW w:w="3835" w:type="dxa"/>
            <w:gridSpan w:val="2"/>
            <w:vAlign w:val="center"/>
          </w:tcPr>
          <w:p>
            <w:pPr>
              <w:pStyle w:val="22"/>
              <w:widowControl w:val="0"/>
              <w:jc w:val="center"/>
              <w:rPr>
                <w:rFonts w:hint="eastAsia" w:ascii="仿宋" w:hAnsi="仿宋" w:eastAsia="仿宋" w:cs="仿宋"/>
              </w:rPr>
            </w:pPr>
          </w:p>
        </w:tc>
        <w:tc>
          <w:tcPr>
            <w:tcW w:w="1680" w:type="dxa"/>
            <w:vAlign w:val="center"/>
          </w:tcPr>
          <w:p>
            <w:pPr>
              <w:pStyle w:val="22"/>
              <w:widowControl w:val="0"/>
              <w:jc w:val="center"/>
              <w:rPr>
                <w:rFonts w:hint="eastAsia" w:ascii="仿宋" w:hAnsi="仿宋" w:eastAsia="仿宋" w:cs="仿宋"/>
              </w:rPr>
            </w:pPr>
          </w:p>
        </w:tc>
        <w:tc>
          <w:tcPr>
            <w:tcW w:w="1646" w:type="dxa"/>
            <w:vAlign w:val="center"/>
          </w:tcPr>
          <w:p>
            <w:pPr>
              <w:pStyle w:val="22"/>
              <w:widowControl w:val="0"/>
              <w:jc w:val="center"/>
              <w:rPr>
                <w:rFonts w:hint="eastAsia" w:ascii="仿宋" w:hAnsi="仿宋" w:eastAsia="仿宋" w:cs="仿宋"/>
              </w:rPr>
            </w:pPr>
          </w:p>
        </w:tc>
        <w:tc>
          <w:tcPr>
            <w:tcW w:w="1354" w:type="dxa"/>
            <w:vAlign w:val="center"/>
          </w:tcPr>
          <w:p>
            <w:pPr>
              <w:pStyle w:val="22"/>
              <w:widowControl w:val="0"/>
              <w:jc w:val="center"/>
              <w:rPr>
                <w:rFonts w:hint="eastAsia" w:ascii="仿宋" w:hAnsi="仿宋" w:eastAsia="仿宋" w:cs="仿宋"/>
              </w:rPr>
            </w:pPr>
          </w:p>
        </w:tc>
        <w:tc>
          <w:tcPr>
            <w:tcW w:w="3189" w:type="dxa"/>
            <w:gridSpan w:val="2"/>
            <w:vAlign w:val="center"/>
          </w:tcPr>
          <w:p>
            <w:pPr>
              <w:pStyle w:val="22"/>
              <w:widowControl w:val="0"/>
              <w:jc w:val="center"/>
              <w:rPr>
                <w:rFonts w:hint="eastAsia" w:ascii="仿宋" w:hAnsi="仿宋" w:eastAsia="仿宋" w:cs="仿宋"/>
              </w:rPr>
            </w:pPr>
          </w:p>
        </w:tc>
        <w:tc>
          <w:tcPr>
            <w:tcW w:w="1457" w:type="dxa"/>
            <w:vAlign w:val="center"/>
          </w:tcPr>
          <w:p>
            <w:pPr>
              <w:pStyle w:val="22"/>
              <w:widowControl w:val="0"/>
              <w:jc w:val="center"/>
              <w:rPr>
                <w:rFonts w:hint="eastAsia" w:ascii="仿宋" w:hAnsi="仿宋" w:eastAsia="仿宋" w:cs="仿宋"/>
              </w:rPr>
            </w:pP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公开02表</w:t>
            </w:r>
          </w:p>
        </w:tc>
      </w:tr>
      <w:tr>
        <w:tblPrEx>
          <w:tblLayout w:type="fixed"/>
          <w:tblCellMar>
            <w:top w:w="0" w:type="dxa"/>
            <w:left w:w="108" w:type="dxa"/>
            <w:bottom w:w="0" w:type="dxa"/>
            <w:right w:w="108" w:type="dxa"/>
          </w:tblCellMar>
        </w:tblPrEx>
        <w:trPr>
          <w:trHeight w:val="376" w:hRule="atLeast"/>
          <w:jc w:val="center"/>
        </w:trPr>
        <w:tc>
          <w:tcPr>
            <w:tcW w:w="13161" w:type="dxa"/>
            <w:gridSpan w:val="8"/>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江苏省社会组织服务中心</w:t>
            </w:r>
          </w:p>
        </w:tc>
        <w:tc>
          <w:tcPr>
            <w:tcW w:w="2960"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0" w:type="dxa"/>
            <w:left w:w="108" w:type="dxa"/>
            <w:bottom w:w="0" w:type="dxa"/>
            <w:right w:w="108" w:type="dxa"/>
          </w:tblCellMar>
        </w:tblPrEx>
        <w:trPr>
          <w:cantSplit/>
          <w:trHeight w:val="312" w:hRule="atLeast"/>
          <w:jc w:val="center"/>
        </w:trPr>
        <w:tc>
          <w:tcPr>
            <w:tcW w:w="3835"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本年收入合计</w:t>
            </w:r>
          </w:p>
        </w:tc>
        <w:tc>
          <w:tcPr>
            <w:tcW w:w="1646"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财政拨款收入</w:t>
            </w:r>
          </w:p>
        </w:tc>
        <w:tc>
          <w:tcPr>
            <w:tcW w:w="1354"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上级补助收入</w:t>
            </w:r>
          </w:p>
        </w:tc>
        <w:tc>
          <w:tcPr>
            <w:tcW w:w="318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事业收入</w:t>
            </w:r>
          </w:p>
        </w:tc>
        <w:tc>
          <w:tcPr>
            <w:tcW w:w="14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经营收入</w:t>
            </w:r>
          </w:p>
        </w:tc>
        <w:tc>
          <w:tcPr>
            <w:tcW w:w="1509"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附属单位上缴收入</w:t>
            </w:r>
          </w:p>
        </w:tc>
        <w:tc>
          <w:tcPr>
            <w:tcW w:w="1451"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其他收入</w:t>
            </w:r>
          </w:p>
        </w:tc>
      </w:tr>
      <w:tr>
        <w:tblPrEx>
          <w:tblLayout w:type="fixed"/>
          <w:tblCellMar>
            <w:top w:w="0" w:type="dxa"/>
            <w:left w:w="108" w:type="dxa"/>
            <w:bottom w:w="0" w:type="dxa"/>
            <w:right w:w="108" w:type="dxa"/>
          </w:tblCellMar>
        </w:tblPrEx>
        <w:trPr>
          <w:cantSplit/>
          <w:trHeight w:val="935" w:hRule="atLeast"/>
          <w:jc w:val="center"/>
        </w:trPr>
        <w:tc>
          <w:tcPr>
            <w:tcW w:w="159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23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1680"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354"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其中：教育收费</w:t>
            </w:r>
          </w:p>
        </w:tc>
        <w:tc>
          <w:tcPr>
            <w:tcW w:w="1457"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509"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451"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32" w:hRule="exact"/>
          <w:jc w:val="center"/>
        </w:trPr>
        <w:tc>
          <w:tcPr>
            <w:tcW w:w="383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119.01</w:t>
            </w: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119.00</w:t>
            </w:r>
          </w:p>
        </w:tc>
        <w:tc>
          <w:tcPr>
            <w:tcW w:w="135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43"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7"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50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451"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0.01</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208</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社会保障和就业支出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89.27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89.26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0.01</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民政管理事务</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73.87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73.86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0.01</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2080206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社会组织管理</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73.87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73.86</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0.01</w:t>
            </w: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行政事业单位养老支出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15.40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15.40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2080505</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机关事业单位基本养老保险缴费支出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10.27</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10.27</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2080506</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机关事业单位职业年金缴费支出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5.13</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5.13</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221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住房保障支出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29.74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29.74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住房改革支出</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29.74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29.74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2210201</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住房公积金</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0" w:type="dxa"/>
            <w:left w:w="108" w:type="dxa"/>
            <w:bottom w:w="0" w:type="dxa"/>
            <w:right w:w="108" w:type="dxa"/>
          </w:tblCellMar>
        </w:tblPrEx>
        <w:trPr>
          <w:cantSplit/>
          <w:trHeight w:val="408" w:hRule="atLeast"/>
          <w:jc w:val="center"/>
        </w:trPr>
        <w:tc>
          <w:tcPr>
            <w:tcW w:w="159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 xml:space="preserve">    2210202</w:t>
            </w:r>
          </w:p>
        </w:tc>
        <w:tc>
          <w:tcPr>
            <w:tcW w:w="2236"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rPr>
            </w:pPr>
            <w:r>
              <w:rPr>
                <w:rFonts w:hint="eastAsia" w:ascii="仿宋" w:hAnsi="仿宋" w:eastAsia="仿宋" w:cs="仿宋"/>
              </w:rPr>
              <w:t>提租补贴</w:t>
            </w:r>
          </w:p>
        </w:tc>
        <w:tc>
          <w:tcPr>
            <w:tcW w:w="168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21.74</w:t>
            </w: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21.74</w:t>
            </w:r>
          </w:p>
        </w:tc>
        <w:tc>
          <w:tcPr>
            <w:tcW w:w="135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4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45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66"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color w:val="000000"/>
          <w:sz w:val="22"/>
          <w:szCs w:val="22"/>
        </w:rPr>
        <w:t>注：</w:t>
      </w:r>
      <w:r>
        <w:rPr>
          <w:rFonts w:hint="eastAsia" w:ascii="仿宋" w:hAnsi="仿宋" w:eastAsia="仿宋" w:cs="仿宋"/>
          <w:b/>
          <w:bCs/>
          <w:color w:val="000000"/>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8" w:type="default"/>
          <w:pgSz w:w="16838" w:h="11906" w:orient="landscape"/>
          <w:pgMar w:top="720" w:right="720" w:bottom="720" w:left="5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Layout w:type="fixed"/>
          <w:tblCellMar>
            <w:top w:w="55" w:type="dxa"/>
            <w:left w:w="55" w:type="dxa"/>
            <w:bottom w:w="55" w:type="dxa"/>
            <w:right w:w="55" w:type="dxa"/>
          </w:tblCellMar>
        </w:tblPrEx>
        <w:trPr>
          <w:trHeight w:val="341" w:hRule="atLeast"/>
        </w:trPr>
        <w:tc>
          <w:tcPr>
            <w:tcW w:w="15347" w:type="dxa"/>
            <w:gridSpan w:val="8"/>
            <w:vAlign w:val="center"/>
          </w:tcPr>
          <w:p>
            <w:pPr>
              <w:pStyle w:val="5"/>
              <w:widowControl w:val="0"/>
              <w:rPr>
                <w:rFonts w:hint="eastAsia" w:ascii="仿宋" w:hAnsi="仿宋" w:eastAsia="仿宋" w:cs="仿宋"/>
                <w:b/>
                <w:bCs/>
                <w:sz w:val="44"/>
                <w:szCs w:val="44"/>
              </w:rPr>
            </w:pPr>
            <w:r>
              <w:rPr>
                <w:rFonts w:hint="eastAsia" w:ascii="仿宋" w:hAnsi="仿宋" w:eastAsia="仿宋" w:cs="仿宋"/>
                <w:b/>
                <w:bCs/>
                <w:sz w:val="44"/>
                <w:szCs w:val="44"/>
              </w:rPr>
              <w:t>支出决算表</w:t>
            </w:r>
          </w:p>
        </w:tc>
      </w:tr>
      <w:tr>
        <w:tblPrEx>
          <w:tblLayout w:type="fixed"/>
          <w:tblCellMar>
            <w:top w:w="55" w:type="dxa"/>
            <w:left w:w="55" w:type="dxa"/>
            <w:bottom w:w="55" w:type="dxa"/>
            <w:right w:w="55" w:type="dxa"/>
          </w:tblCellMar>
        </w:tblPrEx>
        <w:trPr>
          <w:trHeight w:val="321" w:hRule="atLeast"/>
        </w:trPr>
        <w:tc>
          <w:tcPr>
            <w:tcW w:w="4779" w:type="dxa"/>
            <w:gridSpan w:val="2"/>
            <w:vAlign w:val="center"/>
          </w:tcPr>
          <w:p>
            <w:pPr>
              <w:pStyle w:val="22"/>
              <w:widowControl w:val="0"/>
              <w:jc w:val="center"/>
              <w:rPr>
                <w:rFonts w:hint="eastAsia" w:ascii="仿宋" w:hAnsi="仿宋" w:eastAsia="仿宋" w:cs="仿宋"/>
              </w:rPr>
            </w:pPr>
          </w:p>
        </w:tc>
        <w:tc>
          <w:tcPr>
            <w:tcW w:w="1920" w:type="dxa"/>
            <w:vAlign w:val="center"/>
          </w:tcPr>
          <w:p>
            <w:pPr>
              <w:pStyle w:val="22"/>
              <w:widowControl w:val="0"/>
              <w:spacing w:before="0" w:after="0"/>
              <w:ind w:firstLine="0"/>
              <w:jc w:val="center"/>
              <w:rPr>
                <w:rFonts w:hint="eastAsia" w:ascii="仿宋" w:hAnsi="仿宋" w:eastAsia="仿宋" w:cs="仿宋"/>
                <w:sz w:val="20"/>
              </w:rPr>
            </w:pPr>
          </w:p>
        </w:tc>
        <w:tc>
          <w:tcPr>
            <w:tcW w:w="1714" w:type="dxa"/>
            <w:vAlign w:val="center"/>
          </w:tcPr>
          <w:p>
            <w:pPr>
              <w:pStyle w:val="22"/>
              <w:widowControl w:val="0"/>
              <w:spacing w:before="0" w:after="0"/>
              <w:ind w:firstLine="0"/>
              <w:jc w:val="center"/>
              <w:rPr>
                <w:rFonts w:hint="eastAsia" w:ascii="仿宋" w:hAnsi="仿宋" w:eastAsia="仿宋" w:cs="仿宋"/>
                <w:sz w:val="20"/>
              </w:rPr>
            </w:pPr>
          </w:p>
        </w:tc>
        <w:tc>
          <w:tcPr>
            <w:tcW w:w="1749" w:type="dxa"/>
            <w:vAlign w:val="center"/>
          </w:tcPr>
          <w:p>
            <w:pPr>
              <w:pStyle w:val="22"/>
              <w:widowControl w:val="0"/>
              <w:spacing w:before="0" w:after="0"/>
              <w:ind w:firstLine="0"/>
              <w:jc w:val="center"/>
              <w:rPr>
                <w:rFonts w:hint="eastAsia" w:ascii="仿宋" w:hAnsi="仿宋" w:eastAsia="仿宋" w:cs="仿宋"/>
                <w:sz w:val="20"/>
              </w:rPr>
            </w:pPr>
          </w:p>
        </w:tc>
        <w:tc>
          <w:tcPr>
            <w:tcW w:w="1868" w:type="dxa"/>
            <w:vAlign w:val="center"/>
          </w:tcPr>
          <w:p>
            <w:pPr>
              <w:pStyle w:val="22"/>
              <w:widowControl w:val="0"/>
              <w:spacing w:before="0" w:after="0"/>
              <w:ind w:firstLine="0"/>
              <w:jc w:val="center"/>
              <w:rPr>
                <w:rFonts w:hint="eastAsia" w:ascii="仿宋" w:hAnsi="仿宋" w:eastAsia="仿宋" w:cs="仿宋"/>
                <w:sz w:val="20"/>
              </w:rPr>
            </w:pP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公开03表</w:t>
            </w:r>
          </w:p>
        </w:tc>
      </w:tr>
      <w:tr>
        <w:tblPrEx>
          <w:tblLayout w:type="fixed"/>
          <w:tblCellMar>
            <w:top w:w="55" w:type="dxa"/>
            <w:left w:w="55" w:type="dxa"/>
            <w:bottom w:w="55" w:type="dxa"/>
            <w:right w:w="55" w:type="dxa"/>
          </w:tblCellMar>
        </w:tblPrEx>
        <w:trPr>
          <w:trHeight w:val="321" w:hRule="atLeast"/>
        </w:trPr>
        <w:tc>
          <w:tcPr>
            <w:tcW w:w="12030" w:type="dxa"/>
            <w:gridSpan w:val="6"/>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江苏省社会组织服务中心</w:t>
            </w:r>
          </w:p>
        </w:tc>
        <w:tc>
          <w:tcPr>
            <w:tcW w:w="3317" w:type="dxa"/>
            <w:gridSpan w:val="2"/>
            <w:vAlign w:val="center"/>
          </w:tcPr>
          <w:p>
            <w:pPr>
              <w:pStyle w:val="22"/>
              <w:widowControl w:val="0"/>
              <w:spacing w:before="0" w:after="0"/>
              <w:ind w:firstLine="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21" w:hRule="atLeast"/>
        </w:trPr>
        <w:tc>
          <w:tcPr>
            <w:tcW w:w="4779"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kern w:val="0"/>
                <w:sz w:val="22"/>
                <w:szCs w:val="22"/>
              </w:rPr>
              <w:t>项目</w:t>
            </w:r>
          </w:p>
        </w:tc>
        <w:tc>
          <w:tcPr>
            <w:tcW w:w="192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本年支出合计</w:t>
            </w:r>
          </w:p>
        </w:tc>
        <w:tc>
          <w:tcPr>
            <w:tcW w:w="1714"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80" w:type="dxa"/>
            <w:vMerge w:val="restart"/>
            <w:tcBorders>
              <w:top w:val="single" w:color="000000" w:sz="4" w:space="0"/>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经营支出</w:t>
            </w:r>
          </w:p>
        </w:tc>
        <w:tc>
          <w:tcPr>
            <w:tcW w:w="1637"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Layout w:type="fixed"/>
          <w:tblCellMar>
            <w:top w:w="55" w:type="dxa"/>
            <w:left w:w="55" w:type="dxa"/>
            <w:bottom w:w="55" w:type="dxa"/>
            <w:right w:w="55" w:type="dxa"/>
          </w:tblCellMar>
        </w:tblPrEx>
        <w:trPr>
          <w:trHeight w:val="640" w:hRule="atLeast"/>
        </w:trPr>
        <w:tc>
          <w:tcPr>
            <w:tcW w:w="1556"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kern w:val="0"/>
                <w:sz w:val="22"/>
                <w:szCs w:val="22"/>
              </w:rPr>
            </w:pPr>
            <w:r>
              <w:rPr>
                <w:rFonts w:hint="eastAsia" w:ascii="仿宋" w:hAnsi="仿宋" w:eastAsia="仿宋" w:cs="仿宋"/>
                <w:kern w:val="0"/>
                <w:sz w:val="22"/>
                <w:szCs w:val="22"/>
              </w:rPr>
              <w:t>功能分类</w:t>
            </w:r>
          </w:p>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left w:val="single" w:color="000000" w:sz="4" w:space="0"/>
              <w:bottom w:val="single" w:color="000000" w:sz="4" w:space="0"/>
            </w:tcBorders>
            <w:vAlign w:val="center"/>
          </w:tcPr>
          <w:p>
            <w:pPr>
              <w:pStyle w:val="22"/>
              <w:widowControl w:val="0"/>
              <w:spacing w:before="0" w:after="0"/>
              <w:ind w:firstLine="0"/>
              <w:jc w:val="center"/>
              <w:rPr>
                <w:rFonts w:hint="eastAsia" w:ascii="仿宋" w:hAnsi="仿宋" w:eastAsia="仿宋" w:cs="仿宋"/>
                <w:sz w:val="22"/>
                <w:szCs w:val="22"/>
              </w:rPr>
            </w:pPr>
            <w:r>
              <w:rPr>
                <w:rFonts w:hint="eastAsia" w:ascii="仿宋" w:hAnsi="仿宋" w:eastAsia="仿宋" w:cs="仿宋"/>
                <w:kern w:val="0"/>
                <w:sz w:val="22"/>
                <w:szCs w:val="22"/>
              </w:rPr>
              <w:t>科目名称</w:t>
            </w:r>
          </w:p>
        </w:tc>
        <w:tc>
          <w:tcPr>
            <w:tcW w:w="192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14"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749"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868"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80" w:type="dxa"/>
            <w:vMerge w:val="continue"/>
            <w:tcBorders>
              <w:left w:val="single" w:color="000000" w:sz="4" w:space="0"/>
              <w:bottom w:val="single" w:color="000000" w:sz="4" w:space="0"/>
            </w:tcBorders>
          </w:tcPr>
          <w:p>
            <w:pPr>
              <w:widowControl w:val="0"/>
              <w:spacing w:before="0" w:after="0"/>
              <w:jc w:val="left"/>
              <w:rPr>
                <w:rFonts w:hint="eastAsia" w:ascii="仿宋" w:hAnsi="仿宋" w:eastAsia="仿宋" w:cs="仿宋"/>
                <w:sz w:val="22"/>
                <w:szCs w:val="22"/>
              </w:rPr>
            </w:pPr>
          </w:p>
        </w:tc>
        <w:tc>
          <w:tcPr>
            <w:tcW w:w="1637" w:type="dxa"/>
            <w:vMerge w:val="continue"/>
            <w:tcBorders>
              <w:left w:val="single" w:color="000000" w:sz="4" w:space="0"/>
              <w:bottom w:val="single" w:color="000000" w:sz="4" w:space="0"/>
              <w:right w:val="single" w:color="000000" w:sz="4" w:space="0"/>
            </w:tcBorders>
          </w:tcPr>
          <w:p>
            <w:pPr>
              <w:widowControl w:val="0"/>
              <w:spacing w:before="0" w:after="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403"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119.00</w:t>
            </w:r>
          </w:p>
        </w:tc>
        <w:tc>
          <w:tcPr>
            <w:tcW w:w="171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rPr>
              <w:t>119.00</w:t>
            </w:r>
          </w:p>
        </w:tc>
        <w:tc>
          <w:tcPr>
            <w:tcW w:w="1749"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868"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89.26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89.26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民政管理事务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73.86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73.86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2080206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社会组织管理</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73.86</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73.86</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15.40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15.40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10.27</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10.27</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5.13</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5.13</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29.74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29.74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29.74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29.74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8.00</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31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spacing w:before="30" w:after="0"/>
              <w:ind w:left="107" w:firstLine="0"/>
              <w:jc w:val="left"/>
              <w:rPr>
                <w:rFonts w:hint="eastAsia" w:ascii="仿宋" w:hAnsi="仿宋" w:eastAsia="仿宋" w:cs="仿宋"/>
                <w:sz w:val="22"/>
                <w:szCs w:val="22"/>
              </w:rPr>
            </w:pPr>
            <w:r>
              <w:rPr>
                <w:rFonts w:hint="eastAsia" w:ascii="仿宋" w:hAnsi="仿宋" w:eastAsia="仿宋" w:cs="仿宋"/>
                <w:kern w:val="0"/>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21.74</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r>
              <w:rPr>
                <w:rFonts w:hint="eastAsia" w:ascii="仿宋" w:hAnsi="仿宋" w:eastAsia="仿宋" w:cs="仿宋"/>
                <w:kern w:val="0"/>
                <w:sz w:val="22"/>
                <w:szCs w:val="22"/>
              </w:rPr>
              <w:t>21.74</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spacing w:before="30" w:after="0"/>
              <w:ind w:left="107" w:firstLine="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本表金额转换为万元时，因四舍五入可能存在尾差。</w:t>
      </w:r>
    </w:p>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9"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89" w:type="dxa"/>
        <w:tblInd w:w="-123" w:type="dxa"/>
        <w:tblLayout w:type="fixed"/>
        <w:tblCellMar>
          <w:top w:w="55" w:type="dxa"/>
          <w:left w:w="55" w:type="dxa"/>
          <w:bottom w:w="55" w:type="dxa"/>
          <w:right w:w="55" w:type="dxa"/>
        </w:tblCellMar>
      </w:tblPr>
      <w:tblGrid>
        <w:gridCol w:w="3669"/>
        <w:gridCol w:w="2091"/>
        <w:gridCol w:w="847"/>
        <w:gridCol w:w="1913"/>
        <w:gridCol w:w="754"/>
        <w:gridCol w:w="1800"/>
        <w:gridCol w:w="1275"/>
        <w:gridCol w:w="320"/>
        <w:gridCol w:w="1474"/>
        <w:gridCol w:w="1646"/>
      </w:tblGrid>
      <w:tr>
        <w:tblPrEx>
          <w:tblLayout w:type="fixed"/>
          <w:tblCellMar>
            <w:top w:w="55" w:type="dxa"/>
            <w:left w:w="55" w:type="dxa"/>
            <w:bottom w:w="55" w:type="dxa"/>
            <w:right w:w="55" w:type="dxa"/>
          </w:tblCellMar>
        </w:tblPrEx>
        <w:trPr>
          <w:trHeight w:val="319" w:hRule="atLeast"/>
        </w:trPr>
        <w:tc>
          <w:tcPr>
            <w:tcW w:w="15789" w:type="dxa"/>
            <w:gridSpan w:val="10"/>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财政拨款收入支出决算总表</w:t>
            </w:r>
          </w:p>
        </w:tc>
      </w:tr>
      <w:tr>
        <w:tblPrEx>
          <w:tblLayout w:type="fixed"/>
          <w:tblCellMar>
            <w:top w:w="55" w:type="dxa"/>
            <w:left w:w="55" w:type="dxa"/>
            <w:bottom w:w="55" w:type="dxa"/>
            <w:right w:w="55" w:type="dxa"/>
          </w:tblCellMar>
        </w:tblPrEx>
        <w:trPr>
          <w:trHeight w:val="319" w:hRule="atLeast"/>
        </w:trPr>
        <w:tc>
          <w:tcPr>
            <w:tcW w:w="5760" w:type="dxa"/>
            <w:gridSpan w:val="2"/>
          </w:tcPr>
          <w:p>
            <w:pPr>
              <w:pStyle w:val="22"/>
              <w:widowControl w:val="0"/>
              <w:rPr>
                <w:rFonts w:hint="eastAsia" w:ascii="仿宋" w:hAnsi="仿宋" w:eastAsia="仿宋" w:cs="仿宋"/>
                <w:sz w:val="20"/>
              </w:rPr>
            </w:pPr>
          </w:p>
        </w:tc>
        <w:tc>
          <w:tcPr>
            <w:tcW w:w="847" w:type="dxa"/>
          </w:tcPr>
          <w:p>
            <w:pPr>
              <w:pStyle w:val="22"/>
              <w:widowControl w:val="0"/>
              <w:rPr>
                <w:rFonts w:hint="eastAsia" w:ascii="仿宋" w:hAnsi="仿宋" w:eastAsia="仿宋" w:cs="仿宋"/>
                <w:sz w:val="20"/>
              </w:rPr>
            </w:pPr>
          </w:p>
        </w:tc>
        <w:tc>
          <w:tcPr>
            <w:tcW w:w="1913" w:type="dxa"/>
          </w:tcPr>
          <w:p>
            <w:pPr>
              <w:pStyle w:val="22"/>
              <w:widowControl w:val="0"/>
              <w:rPr>
                <w:rFonts w:hint="eastAsia" w:ascii="仿宋" w:hAnsi="仿宋" w:eastAsia="仿宋" w:cs="仿宋"/>
                <w:sz w:val="20"/>
              </w:rPr>
            </w:pPr>
          </w:p>
        </w:tc>
        <w:tc>
          <w:tcPr>
            <w:tcW w:w="2554" w:type="dxa"/>
            <w:gridSpan w:val="2"/>
          </w:tcPr>
          <w:p>
            <w:pPr>
              <w:pStyle w:val="22"/>
              <w:widowControl w:val="0"/>
              <w:rPr>
                <w:rFonts w:hint="eastAsia" w:ascii="仿宋" w:hAnsi="仿宋" w:eastAsia="仿宋" w:cs="仿宋"/>
                <w:sz w:val="20"/>
              </w:rPr>
            </w:pPr>
          </w:p>
        </w:tc>
        <w:tc>
          <w:tcPr>
            <w:tcW w:w="1275" w:type="dxa"/>
          </w:tcPr>
          <w:p>
            <w:pPr>
              <w:pStyle w:val="22"/>
              <w:widowControl w:val="0"/>
              <w:rPr>
                <w:rFonts w:hint="eastAsia" w:ascii="仿宋" w:hAnsi="仿宋" w:eastAsia="仿宋" w:cs="仿宋"/>
                <w:sz w:val="20"/>
              </w:rPr>
            </w:pP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公开04表</w:t>
            </w:r>
          </w:p>
        </w:tc>
      </w:tr>
      <w:tr>
        <w:tblPrEx>
          <w:tblLayout w:type="fixed"/>
          <w:tblCellMar>
            <w:top w:w="55" w:type="dxa"/>
            <w:left w:w="55" w:type="dxa"/>
            <w:bottom w:w="55" w:type="dxa"/>
            <w:right w:w="55" w:type="dxa"/>
          </w:tblCellMar>
        </w:tblPrEx>
        <w:trPr>
          <w:trHeight w:val="319" w:hRule="atLeast"/>
        </w:trPr>
        <w:tc>
          <w:tcPr>
            <w:tcW w:w="12349" w:type="dxa"/>
            <w:gridSpan w:val="7"/>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江苏省社会组织服务中心</w:t>
            </w:r>
          </w:p>
        </w:tc>
        <w:tc>
          <w:tcPr>
            <w:tcW w:w="3440" w:type="dxa"/>
            <w:gridSpan w:val="3"/>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金额单位：万元</w:t>
            </w:r>
          </w:p>
        </w:tc>
      </w:tr>
      <w:tr>
        <w:tblPrEx>
          <w:tblLayout w:type="fixed"/>
          <w:tblCellMar>
            <w:top w:w="55" w:type="dxa"/>
            <w:left w:w="55" w:type="dxa"/>
            <w:bottom w:w="55" w:type="dxa"/>
            <w:right w:w="55" w:type="dxa"/>
          </w:tblCellMar>
        </w:tblPrEx>
        <w:trPr>
          <w:trHeight w:val="319" w:hRule="atLeast"/>
        </w:trPr>
        <w:tc>
          <w:tcPr>
            <w:tcW w:w="5760"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收</w:t>
            </w:r>
            <w:r>
              <w:rPr>
                <w:rFonts w:hint="eastAsia" w:ascii="仿宋" w:hAnsi="仿宋" w:eastAsia="仿宋" w:cs="仿宋"/>
                <w:sz w:val="22"/>
                <w:szCs w:val="22"/>
              </w:rPr>
              <w:tab/>
            </w:r>
            <w:r>
              <w:rPr>
                <w:rFonts w:hint="eastAsia" w:ascii="仿宋" w:hAnsi="仿宋" w:eastAsia="仿宋" w:cs="仿宋"/>
                <w:sz w:val="22"/>
                <w:szCs w:val="22"/>
              </w:rPr>
              <w:t>入</w:t>
            </w:r>
          </w:p>
        </w:tc>
        <w:tc>
          <w:tcPr>
            <w:tcW w:w="10029" w:type="dxa"/>
            <w:gridSpan w:val="8"/>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支</w:t>
            </w:r>
            <w:r>
              <w:rPr>
                <w:rFonts w:hint="eastAsia" w:ascii="仿宋" w:hAnsi="仿宋" w:eastAsia="仿宋" w:cs="仿宋"/>
                <w:sz w:val="22"/>
                <w:szCs w:val="22"/>
              </w:rPr>
              <w:tab/>
            </w:r>
            <w:r>
              <w:rPr>
                <w:rFonts w:hint="eastAsia" w:ascii="仿宋" w:hAnsi="仿宋" w:eastAsia="仿宋" w:cs="仿宋"/>
                <w:sz w:val="22"/>
                <w:szCs w:val="22"/>
              </w:rPr>
              <w:t>出</w:t>
            </w:r>
          </w:p>
        </w:tc>
      </w:tr>
      <w:tr>
        <w:tblPrEx>
          <w:tblLayout w:type="fixed"/>
          <w:tblCellMar>
            <w:top w:w="55" w:type="dxa"/>
            <w:left w:w="55" w:type="dxa"/>
            <w:bottom w:w="55" w:type="dxa"/>
            <w:right w:w="55" w:type="dxa"/>
          </w:tblCellMar>
        </w:tblPrEx>
        <w:trPr>
          <w:trHeight w:val="159" w:hRule="atLeast"/>
        </w:trPr>
        <w:tc>
          <w:tcPr>
            <w:tcW w:w="3669"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209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c>
          <w:tcPr>
            <w:tcW w:w="3514" w:type="dxa"/>
            <w:gridSpan w:val="3"/>
            <w:vMerge w:val="restart"/>
            <w:tcBorders>
              <w:left w:val="single" w:color="000000" w:sz="4" w:space="0"/>
              <w:bottom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按功能分类</w:t>
            </w:r>
          </w:p>
        </w:tc>
        <w:tc>
          <w:tcPr>
            <w:tcW w:w="6515" w:type="dxa"/>
            <w:gridSpan w:val="5"/>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2"/>
                <w:szCs w:val="22"/>
              </w:rPr>
            </w:pPr>
            <w:r>
              <w:rPr>
                <w:rFonts w:hint="eastAsia" w:ascii="仿宋" w:hAnsi="仿宋" w:eastAsia="仿宋" w:cs="仿宋"/>
                <w:sz w:val="22"/>
                <w:szCs w:val="22"/>
              </w:rPr>
              <w:t>决算数</w:t>
            </w:r>
          </w:p>
        </w:tc>
      </w:tr>
      <w:tr>
        <w:tblPrEx>
          <w:tblLayout w:type="fixed"/>
          <w:tblCellMar>
            <w:top w:w="55" w:type="dxa"/>
            <w:left w:w="55" w:type="dxa"/>
            <w:bottom w:w="55" w:type="dxa"/>
            <w:right w:w="55" w:type="dxa"/>
          </w:tblCellMar>
        </w:tblPrEx>
        <w:trPr>
          <w:trHeight w:val="635" w:hRule="atLeast"/>
        </w:trPr>
        <w:tc>
          <w:tcPr>
            <w:tcW w:w="3669"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2091" w:type="dxa"/>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3514" w:type="dxa"/>
            <w:gridSpan w:val="3"/>
            <w:vMerge w:val="continue"/>
            <w:tcBorders>
              <w:left w:val="single" w:color="000000" w:sz="4" w:space="0"/>
              <w:bottom w:val="single" w:color="000000" w:sz="4" w:space="0"/>
            </w:tcBorders>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小计</w:t>
            </w:r>
          </w:p>
        </w:tc>
        <w:tc>
          <w:tcPr>
            <w:tcW w:w="1595"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一般公共预算财政拨款</w:t>
            </w:r>
          </w:p>
        </w:tc>
        <w:tc>
          <w:tcPr>
            <w:tcW w:w="14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政府性基金预算财政拨款</w:t>
            </w:r>
          </w:p>
        </w:tc>
        <w:tc>
          <w:tcPr>
            <w:tcW w:w="1646"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国有资本经营预算财政拨款</w:t>
            </w: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119.00</w:t>
            </w: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三、国有资本经营预算财政拨款收入</w:t>
            </w: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89.26</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89.26</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九、卫生健康支出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十、节能环保支出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十一、城乡社区支出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十二、农林水支出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十三、交通运输支出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十四、资源勘探工业信息等支出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十五、商业服务业等支出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十六、金融支出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十七、援助其他地区支出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十八、自然资源海洋气象等支出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十九、住房保障支出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29.74</w:t>
            </w: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29.74</w:t>
            </w: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二十、粮油物资储备支出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二十一、国有资本经营预算支出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二十二、灾害防治及应急管理支出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二十三、其他支出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二十四、债务还本支出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二十五、债务付息支出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21" w:hRule="atLeast"/>
        </w:trPr>
        <w:tc>
          <w:tcPr>
            <w:tcW w:w="3669"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209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二十六、抗疫特别国债安排的支出</w:t>
            </w:r>
          </w:p>
        </w:tc>
        <w:tc>
          <w:tcPr>
            <w:tcW w:w="180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567" w:hRule="exact"/>
        </w:trPr>
        <w:tc>
          <w:tcPr>
            <w:tcW w:w="3669" w:type="dxa"/>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本年收入合计</w:t>
            </w:r>
          </w:p>
        </w:tc>
        <w:tc>
          <w:tcPr>
            <w:tcW w:w="2091"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119.00</w:t>
            </w:r>
          </w:p>
        </w:tc>
        <w:tc>
          <w:tcPr>
            <w:tcW w:w="3514"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1800"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119.00</w:t>
            </w:r>
          </w:p>
        </w:tc>
        <w:tc>
          <w:tcPr>
            <w:tcW w:w="1595" w:type="dxa"/>
            <w:gridSpan w:val="2"/>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119.00</w:t>
            </w:r>
          </w:p>
        </w:tc>
        <w:tc>
          <w:tcPr>
            <w:tcW w:w="1474" w:type="dxa"/>
            <w:tcBorders>
              <w:top w:val="single" w:color="000000" w:sz="4" w:space="0"/>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top w:val="single" w:color="000000" w:sz="4" w:space="0"/>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年初财政拨款结转和结余</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年末财政拨款结转和结余</w:t>
            </w: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318" w:hRule="atLeast"/>
        </w:trPr>
        <w:tc>
          <w:tcPr>
            <w:tcW w:w="3669" w:type="dxa"/>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三、国有资本经营预算财政拨款</w:t>
            </w:r>
          </w:p>
        </w:tc>
        <w:tc>
          <w:tcPr>
            <w:tcW w:w="209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3514" w:type="dxa"/>
            <w:gridSpan w:val="3"/>
            <w:tcBorders>
              <w:left w:val="single" w:color="000000" w:sz="4" w:space="0"/>
              <w:bottom w:val="single" w:color="000000" w:sz="4" w:space="0"/>
            </w:tcBorders>
            <w:vAlign w:val="center"/>
          </w:tcPr>
          <w:p>
            <w:pPr>
              <w:pStyle w:val="22"/>
              <w:widowControl w:val="0"/>
              <w:rPr>
                <w:rFonts w:hint="eastAsia" w:ascii="仿宋" w:hAnsi="仿宋" w:eastAsia="仿宋" w:cs="仿宋"/>
                <w:sz w:val="22"/>
                <w:szCs w:val="22"/>
              </w:rPr>
            </w:pPr>
          </w:p>
        </w:tc>
        <w:tc>
          <w:tcPr>
            <w:tcW w:w="180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595"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4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567" w:hRule="exact"/>
        </w:trPr>
        <w:tc>
          <w:tcPr>
            <w:tcW w:w="36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2091"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119.00</w:t>
            </w:r>
          </w:p>
        </w:tc>
        <w:tc>
          <w:tcPr>
            <w:tcW w:w="35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总计</w:t>
            </w:r>
          </w:p>
        </w:tc>
        <w:tc>
          <w:tcPr>
            <w:tcW w:w="180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119.00</w:t>
            </w:r>
          </w:p>
        </w:tc>
        <w:tc>
          <w:tcPr>
            <w:tcW w:w="1595" w:type="dxa"/>
            <w:gridSpan w:val="2"/>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119.00</w:t>
            </w:r>
          </w:p>
        </w:tc>
        <w:tc>
          <w:tcPr>
            <w:tcW w:w="1474"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p>
        </w:tc>
        <w:tc>
          <w:tcPr>
            <w:tcW w:w="1646"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p>
        </w:tc>
      </w:tr>
    </w:tbl>
    <w:p>
      <w:pPr>
        <w:rPr>
          <w:rFonts w:hint="eastAsia" w:ascii="仿宋" w:hAnsi="仿宋" w:eastAsia="仿宋" w:cs="仿宋"/>
          <w:b/>
          <w:bCs/>
        </w:rPr>
      </w:pPr>
      <w:r>
        <w:rPr>
          <w:rFonts w:hint="eastAsia" w:ascii="仿宋" w:hAnsi="仿宋" w:eastAsia="仿宋" w:cs="仿宋"/>
          <w:b/>
          <w:bCs/>
          <w:lang w:val="en-US" w:eastAsia="zh-CN"/>
        </w:rPr>
        <w:t>注：1.</w:t>
      </w:r>
      <w:r>
        <w:rPr>
          <w:rFonts w:hint="eastAsia" w:ascii="仿宋" w:hAnsi="仿宋" w:eastAsia="仿宋" w:cs="仿宋"/>
          <w:b/>
          <w:bCs/>
        </w:rPr>
        <w:t>本表金额转换为万元时，因四舍五入可能存在尾差。</w:t>
      </w:r>
    </w:p>
    <w:p>
      <w:pPr>
        <w:rPr>
          <w:rFonts w:hint="eastAsia" w:ascii="仿宋" w:hAnsi="仿宋" w:eastAsia="仿宋" w:cs="仿宋"/>
          <w:b/>
          <w:bCs/>
        </w:rPr>
        <w:sectPr>
          <w:footerReference r:id="rId10"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216" w:type="dxa"/>
        <w:tblInd w:w="175" w:type="dxa"/>
        <w:tblLayout w:type="fixed"/>
        <w:tblCellMar>
          <w:top w:w="55" w:type="dxa"/>
          <w:left w:w="55" w:type="dxa"/>
          <w:bottom w:w="55" w:type="dxa"/>
          <w:right w:w="55" w:type="dxa"/>
        </w:tblCellMar>
      </w:tblPr>
      <w:tblGrid>
        <w:gridCol w:w="2045"/>
        <w:gridCol w:w="4137"/>
        <w:gridCol w:w="3171"/>
        <w:gridCol w:w="2778"/>
        <w:gridCol w:w="3085"/>
      </w:tblGrid>
      <w:tr>
        <w:tblPrEx>
          <w:tblLayout w:type="fixed"/>
          <w:tblCellMar>
            <w:top w:w="55" w:type="dxa"/>
            <w:left w:w="55" w:type="dxa"/>
            <w:bottom w:w="55" w:type="dxa"/>
            <w:right w:w="55" w:type="dxa"/>
          </w:tblCellMar>
        </w:tblPrEx>
        <w:trPr>
          <w:trHeight w:val="321" w:hRule="atLeast"/>
        </w:trPr>
        <w:tc>
          <w:tcPr>
            <w:tcW w:w="15216"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财政拨款支出决算表（功能科目）</w:t>
            </w:r>
          </w:p>
        </w:tc>
      </w:tr>
      <w:tr>
        <w:tblPrEx>
          <w:tblLayout w:type="fixed"/>
          <w:tblCellMar>
            <w:top w:w="55" w:type="dxa"/>
            <w:left w:w="55" w:type="dxa"/>
            <w:bottom w:w="55" w:type="dxa"/>
            <w:right w:w="55" w:type="dxa"/>
          </w:tblCellMar>
        </w:tblPrEx>
        <w:trPr>
          <w:trHeight w:val="321" w:hRule="atLeast"/>
        </w:trPr>
        <w:tc>
          <w:tcPr>
            <w:tcW w:w="6182" w:type="dxa"/>
            <w:gridSpan w:val="2"/>
          </w:tcPr>
          <w:p>
            <w:pPr>
              <w:pStyle w:val="22"/>
              <w:widowControl w:val="0"/>
              <w:rPr>
                <w:rFonts w:hint="eastAsia" w:ascii="仿宋" w:hAnsi="仿宋" w:eastAsia="仿宋" w:cs="仿宋"/>
                <w:sz w:val="20"/>
              </w:rPr>
            </w:pPr>
          </w:p>
        </w:tc>
        <w:tc>
          <w:tcPr>
            <w:tcW w:w="3171" w:type="dxa"/>
          </w:tcPr>
          <w:p>
            <w:pPr>
              <w:pStyle w:val="22"/>
              <w:widowControl w:val="0"/>
              <w:rPr>
                <w:rFonts w:hint="eastAsia" w:ascii="仿宋" w:hAnsi="仿宋" w:eastAsia="仿宋" w:cs="仿宋"/>
                <w:sz w:val="27"/>
              </w:rPr>
            </w:pPr>
          </w:p>
        </w:tc>
        <w:tc>
          <w:tcPr>
            <w:tcW w:w="5863" w:type="dxa"/>
            <w:gridSpan w:val="2"/>
            <w:vAlign w:val="center"/>
          </w:tcPr>
          <w:p>
            <w:pPr>
              <w:pStyle w:val="22"/>
              <w:widowControl w:val="0"/>
              <w:jc w:val="right"/>
              <w:rPr>
                <w:rFonts w:hint="eastAsia" w:ascii="仿宋" w:hAnsi="仿宋" w:eastAsia="仿宋" w:cs="仿宋"/>
                <w:sz w:val="27"/>
              </w:rPr>
            </w:pPr>
            <w:r>
              <w:rPr>
                <w:rFonts w:hint="eastAsia" w:ascii="仿宋" w:hAnsi="仿宋" w:eastAsia="仿宋" w:cs="仿宋"/>
              </w:rPr>
              <w:t>公开05表</w:t>
            </w:r>
          </w:p>
        </w:tc>
      </w:tr>
      <w:tr>
        <w:tblPrEx>
          <w:tblLayout w:type="fixed"/>
          <w:tblCellMar>
            <w:top w:w="55" w:type="dxa"/>
            <w:left w:w="55" w:type="dxa"/>
            <w:bottom w:w="55" w:type="dxa"/>
            <w:right w:w="55" w:type="dxa"/>
          </w:tblCellMar>
        </w:tblPrEx>
        <w:trPr>
          <w:trHeight w:val="288" w:hRule="atLeast"/>
        </w:trPr>
        <w:tc>
          <w:tcPr>
            <w:tcW w:w="6182" w:type="dxa"/>
            <w:gridSpan w:val="2"/>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江苏省社会组织服务中心</w:t>
            </w:r>
          </w:p>
        </w:tc>
        <w:tc>
          <w:tcPr>
            <w:tcW w:w="3171" w:type="dxa"/>
          </w:tcPr>
          <w:p>
            <w:pPr>
              <w:pStyle w:val="22"/>
              <w:widowControl w:val="0"/>
              <w:rPr>
                <w:rFonts w:hint="eastAsia" w:ascii="仿宋" w:hAnsi="仿宋" w:eastAsia="仿宋" w:cs="仿宋"/>
                <w:sz w:val="27"/>
              </w:rPr>
            </w:pPr>
          </w:p>
        </w:tc>
        <w:tc>
          <w:tcPr>
            <w:tcW w:w="2778" w:type="dxa"/>
            <w:vAlign w:val="center"/>
          </w:tcPr>
          <w:p>
            <w:pPr>
              <w:pStyle w:val="22"/>
              <w:widowControl w:val="0"/>
              <w:jc w:val="right"/>
              <w:rPr>
                <w:rFonts w:hint="eastAsia" w:ascii="仿宋" w:hAnsi="仿宋" w:eastAsia="仿宋" w:cs="仿宋"/>
                <w:sz w:val="27"/>
              </w:rPr>
            </w:pPr>
          </w:p>
        </w:tc>
        <w:tc>
          <w:tcPr>
            <w:tcW w:w="3085"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6182"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3171"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本年支出合计</w:t>
            </w:r>
          </w:p>
        </w:tc>
        <w:tc>
          <w:tcPr>
            <w:tcW w:w="2778"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3085"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Layout w:type="fixed"/>
          <w:tblCellMar>
            <w:top w:w="55" w:type="dxa"/>
            <w:left w:w="55" w:type="dxa"/>
            <w:bottom w:w="55" w:type="dxa"/>
            <w:right w:w="55" w:type="dxa"/>
          </w:tblCellMar>
        </w:tblPrEx>
        <w:trPr>
          <w:trHeight w:val="341" w:hRule="atLeast"/>
        </w:trPr>
        <w:tc>
          <w:tcPr>
            <w:tcW w:w="2045"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功能分类科目编码</w:t>
            </w:r>
          </w:p>
        </w:tc>
        <w:tc>
          <w:tcPr>
            <w:tcW w:w="41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3171"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2778"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3085"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75" w:hRule="atLeas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栏次</w:t>
            </w:r>
          </w:p>
        </w:tc>
        <w:tc>
          <w:tcPr>
            <w:tcW w:w="3171"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1</w:t>
            </w:r>
          </w:p>
        </w:tc>
        <w:tc>
          <w:tcPr>
            <w:tcW w:w="2778"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2</w:t>
            </w:r>
          </w:p>
        </w:tc>
        <w:tc>
          <w:tcPr>
            <w:tcW w:w="3085"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3</w:t>
            </w:r>
          </w:p>
        </w:tc>
      </w:tr>
      <w:tr>
        <w:tblPrEx>
          <w:tblLayout w:type="fixed"/>
          <w:tblCellMar>
            <w:top w:w="55" w:type="dxa"/>
            <w:left w:w="55" w:type="dxa"/>
            <w:bottom w:w="55" w:type="dxa"/>
            <w:right w:w="55" w:type="dxa"/>
          </w:tblCellMar>
        </w:tblPrEx>
        <w:trPr>
          <w:trHeight w:val="374" w:hRule="exact"/>
        </w:trPr>
        <w:tc>
          <w:tcPr>
            <w:tcW w:w="6182"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3171"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119.00</w:t>
            </w:r>
          </w:p>
        </w:tc>
        <w:tc>
          <w:tcPr>
            <w:tcW w:w="2778"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rPr>
              <w:t>119.00</w:t>
            </w:r>
          </w:p>
        </w:tc>
        <w:tc>
          <w:tcPr>
            <w:tcW w:w="3085"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89.26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89.26</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民政管理事务</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73.86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73.86</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2080206</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社会组织管理</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73.86</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73.86</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15.40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15.40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10.27</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10.27</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5.13</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5.13</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29.74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29.74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29.74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29.74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8.00</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8.00</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4" w:hRule="atLeast"/>
        </w:trPr>
        <w:tc>
          <w:tcPr>
            <w:tcW w:w="2045"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13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3171"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21.74</w:t>
            </w:r>
          </w:p>
        </w:tc>
        <w:tc>
          <w:tcPr>
            <w:tcW w:w="2778"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21.74</w:t>
            </w:r>
          </w:p>
        </w:tc>
        <w:tc>
          <w:tcPr>
            <w:tcW w:w="3085"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bl>
    <w:p>
      <w:pPr>
        <w:widowControl w:val="0"/>
        <w:tabs>
          <w:tab w:val="left" w:pos="220"/>
        </w:tabs>
        <w:suppressAutoHyphens/>
        <w:bidi w:val="0"/>
        <w:spacing w:before="0" w:after="0"/>
        <w:ind w:left="220" w:leftChars="100" w:right="0" w:firstLine="0" w:firstLineChars="0"/>
        <w:jc w:val="both"/>
        <w:rPr>
          <w:rFonts w:hint="eastAsia" w:ascii="仿宋" w:hAnsi="仿宋" w:eastAsia="仿宋" w:cs="仿宋"/>
          <w:b/>
          <w:bCs/>
        </w:rPr>
      </w:pPr>
      <w:r>
        <w:rPr>
          <w:rFonts w:hint="eastAsia" w:ascii="仿宋" w:hAnsi="仿宋" w:eastAsia="仿宋" w:cs="仿宋"/>
          <w:b/>
          <w:bCs/>
        </w:rPr>
        <w:t>注：1.本表反映部门本年度按功能分类财政拨款实际支出情况。财政拨款指一般公共预算财政拨款、政府性基金预算财政拨款和国有资本经营预</w:t>
      </w:r>
    </w:p>
    <w:p>
      <w:pPr>
        <w:widowControl w:val="0"/>
        <w:tabs>
          <w:tab w:val="left" w:pos="55"/>
        </w:tabs>
        <w:suppressAutoHyphens/>
        <w:bidi w:val="0"/>
        <w:spacing w:before="0" w:after="0"/>
        <w:ind w:right="0" w:firstLine="663" w:firstLineChars="300"/>
        <w:jc w:val="both"/>
        <w:rPr>
          <w:rFonts w:hint="eastAsia" w:ascii="仿宋" w:hAnsi="仿宋" w:eastAsia="仿宋" w:cs="仿宋"/>
          <w:b/>
          <w:bCs/>
        </w:rPr>
      </w:pPr>
      <w:r>
        <w:rPr>
          <w:rFonts w:hint="eastAsia" w:ascii="仿宋" w:hAnsi="仿宋" w:eastAsia="仿宋" w:cs="仿宋"/>
          <w:b/>
          <w:bCs/>
        </w:rPr>
        <w:t>算财政拨款。</w:t>
      </w:r>
    </w:p>
    <w:p>
      <w:pPr>
        <w:widowControl w:val="0"/>
        <w:numPr>
          <w:ilvl w:val="0"/>
          <w:numId w:val="1"/>
        </w:numPr>
        <w:tabs>
          <w:tab w:val="left" w:pos="55"/>
          <w:tab w:val="clear" w:pos="312"/>
        </w:tabs>
        <w:suppressAutoHyphens/>
        <w:bidi w:val="0"/>
        <w:spacing w:before="0" w:after="0"/>
        <w:ind w:left="660" w:leftChars="0" w:right="0" w:firstLine="0" w:firstLineChars="0"/>
        <w:jc w:val="both"/>
        <w:rPr>
          <w:rFonts w:hint="eastAsia" w:ascii="仿宋" w:hAnsi="仿宋" w:eastAsia="仿宋" w:cs="仿宋"/>
          <w:b/>
          <w:bCs/>
        </w:rPr>
      </w:pPr>
      <w:r>
        <w:rPr>
          <w:rFonts w:hint="eastAsia" w:ascii="仿宋" w:hAnsi="仿宋" w:eastAsia="仿宋" w:cs="仿宋"/>
          <w:b/>
          <w:bCs/>
        </w:rPr>
        <w:t>本表金额转换为万元时，因四舍五入可能存在尾差。</w:t>
      </w:r>
    </w:p>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3"/>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Layout w:type="fixed"/>
          <w:tblCellMar>
            <w:top w:w="55" w:type="dxa"/>
            <w:left w:w="55" w:type="dxa"/>
            <w:bottom w:w="55" w:type="dxa"/>
            <w:right w:w="55" w:type="dxa"/>
          </w:tblCellMar>
        </w:tblPrEx>
        <w:trPr>
          <w:trHeight w:val="319" w:hRule="atLeast"/>
        </w:trPr>
        <w:tc>
          <w:tcPr>
            <w:tcW w:w="10817"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财政拨款基本支出决算表（经济科目）</w:t>
            </w:r>
          </w:p>
        </w:tc>
      </w:tr>
      <w:tr>
        <w:tblPrEx>
          <w:tblLayout w:type="fixed"/>
          <w:tblCellMar>
            <w:top w:w="55" w:type="dxa"/>
            <w:left w:w="55" w:type="dxa"/>
            <w:bottom w:w="55" w:type="dxa"/>
            <w:right w:w="55" w:type="dxa"/>
          </w:tblCellMar>
        </w:tblPrEx>
        <w:trPr>
          <w:trHeight w:val="319" w:hRule="atLeast"/>
        </w:trPr>
        <w:tc>
          <w:tcPr>
            <w:tcW w:w="4673" w:type="dxa"/>
            <w:gridSpan w:val="2"/>
          </w:tcPr>
          <w:p>
            <w:pPr>
              <w:pStyle w:val="22"/>
              <w:widowControl w:val="0"/>
              <w:rPr>
                <w:rFonts w:hint="eastAsia" w:ascii="仿宋" w:hAnsi="仿宋" w:eastAsia="仿宋" w:cs="仿宋"/>
                <w:sz w:val="20"/>
              </w:rPr>
            </w:pPr>
          </w:p>
        </w:tc>
        <w:tc>
          <w:tcPr>
            <w:tcW w:w="2047" w:type="dxa"/>
          </w:tcPr>
          <w:p>
            <w:pPr>
              <w:pStyle w:val="22"/>
              <w:widowControl w:val="0"/>
              <w:rPr>
                <w:rFonts w:hint="eastAsia" w:ascii="仿宋" w:hAnsi="仿宋" w:eastAsia="仿宋" w:cs="仿宋"/>
                <w:sz w:val="20"/>
              </w:rPr>
            </w:pPr>
          </w:p>
        </w:tc>
        <w:tc>
          <w:tcPr>
            <w:tcW w:w="2040" w:type="dxa"/>
          </w:tcPr>
          <w:p>
            <w:pPr>
              <w:pStyle w:val="22"/>
              <w:widowControl w:val="0"/>
              <w:rPr>
                <w:rFonts w:hint="eastAsia" w:ascii="仿宋" w:hAnsi="仿宋" w:eastAsia="仿宋" w:cs="仿宋"/>
                <w:sz w:val="20"/>
              </w:rPr>
            </w:pP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公开06表</w:t>
            </w:r>
          </w:p>
        </w:tc>
      </w:tr>
      <w:tr>
        <w:tblPrEx>
          <w:tblLayout w:type="fixed"/>
          <w:tblCellMar>
            <w:top w:w="55" w:type="dxa"/>
            <w:left w:w="55" w:type="dxa"/>
            <w:bottom w:w="55" w:type="dxa"/>
            <w:right w:w="55" w:type="dxa"/>
          </w:tblCellMar>
        </w:tblPrEx>
        <w:trPr>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sz w:val="22"/>
                <w:szCs w:val="22"/>
              </w:rPr>
              <w:t>江苏省社会组织服务中心</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财政拨款基本支出</w:t>
            </w:r>
          </w:p>
        </w:tc>
      </w:tr>
      <w:tr>
        <w:tblPrEx>
          <w:tblLayout w:type="fixed"/>
          <w:tblCellMar>
            <w:top w:w="55" w:type="dxa"/>
            <w:left w:w="55" w:type="dxa"/>
            <w:bottom w:w="55" w:type="dxa"/>
            <w:right w:w="55" w:type="dxa"/>
          </w:tblCellMar>
        </w:tblPrEx>
        <w:trPr>
          <w:trHeight w:val="483"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409"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119.00</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112.92</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6.08</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112.92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112.92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27.48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27.48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21.33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21.33</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13.58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13.58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7.68</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7.15</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18.72</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0.14</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0.14</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6.08</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1.53</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1.53</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0.12</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3.01</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3.01</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0.22</w:t>
            </w: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318"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widowControl w:val="0"/>
        <w:tabs>
          <w:tab w:val="left" w:pos="660"/>
        </w:tabs>
        <w:suppressAutoHyphens/>
        <w:bidi w:val="0"/>
        <w:spacing w:before="25" w:after="0" w:line="290" w:lineRule="auto"/>
        <w:ind w:left="220" w:leftChars="0" w:right="397" w:hanging="460" w:firstLineChars="0"/>
        <w:jc w:val="left"/>
        <w:rPr>
          <w:rFonts w:hint="eastAsia" w:ascii="仿宋" w:hAnsi="仿宋" w:eastAsia="仿宋" w:cs="仿宋"/>
          <w:b/>
          <w:bCs/>
          <w:sz w:val="22"/>
          <w:szCs w:val="22"/>
        </w:rPr>
      </w:pPr>
      <w:r>
        <w:rPr>
          <w:rFonts w:hint="eastAsia" w:ascii="仿宋" w:hAnsi="仿宋" w:eastAsia="仿宋" w:cs="仿宋"/>
          <w:b/>
          <w:bCs/>
          <w:sz w:val="22"/>
          <w:szCs w:val="22"/>
        </w:rPr>
        <w:t>注：1.本表反映部门本年度按经济分类财政拨款基本支出明细情况。财政拨款指一般公共预算财政拨款、政府性基金预算财政拨款和国有资本经营预算财政拨款。</w:t>
      </w:r>
    </w:p>
    <w:p>
      <w:pPr>
        <w:keepNext w:val="0"/>
        <w:keepLines w:val="0"/>
        <w:pageBreakBefore w:val="0"/>
        <w:widowControl w:val="0"/>
        <w:numPr>
          <w:ilvl w:val="0"/>
          <w:numId w:val="2"/>
        </w:numPr>
        <w:tabs>
          <w:tab w:val="left" w:pos="0"/>
        </w:tabs>
        <w:kinsoku/>
        <w:wordWrap/>
        <w:overflowPunct/>
        <w:topLinePunct w:val="0"/>
        <w:autoSpaceDE/>
        <w:autoSpaceDN/>
        <w:bidi w:val="0"/>
        <w:adjustRightInd/>
        <w:snapToGrid/>
        <w:spacing w:line="255" w:lineRule="exact"/>
        <w:ind w:left="220" w:leftChars="0" w:firstLine="0" w:firstLineChars="0"/>
        <w:textAlignment w:val="auto"/>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2"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1040" w:type="dxa"/>
        <w:tblInd w:w="-240" w:type="dxa"/>
        <w:tblLayout w:type="fixed"/>
        <w:tblCellMar>
          <w:top w:w="55" w:type="dxa"/>
          <w:left w:w="55" w:type="dxa"/>
          <w:bottom w:w="55" w:type="dxa"/>
          <w:right w:w="55" w:type="dxa"/>
        </w:tblCellMar>
      </w:tblPr>
      <w:tblGrid>
        <w:gridCol w:w="1397"/>
        <w:gridCol w:w="3420"/>
        <w:gridCol w:w="2537"/>
        <w:gridCol w:w="1800"/>
        <w:gridCol w:w="1886"/>
      </w:tblGrid>
      <w:tr>
        <w:tblPrEx>
          <w:tblLayout w:type="fixed"/>
          <w:tblCellMar>
            <w:top w:w="55" w:type="dxa"/>
            <w:left w:w="55" w:type="dxa"/>
            <w:bottom w:w="55" w:type="dxa"/>
            <w:right w:w="55" w:type="dxa"/>
          </w:tblCellMar>
        </w:tblPrEx>
        <w:trPr>
          <w:trHeight w:val="560" w:hRule="atLeast"/>
        </w:trPr>
        <w:tc>
          <w:tcPr>
            <w:tcW w:w="11040" w:type="dxa"/>
            <w:gridSpan w:val="5"/>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一般公共预算支出决算表（功能科目）</w:t>
            </w:r>
          </w:p>
        </w:tc>
      </w:tr>
      <w:tr>
        <w:tblPrEx>
          <w:tblLayout w:type="fixed"/>
          <w:tblCellMar>
            <w:top w:w="55" w:type="dxa"/>
            <w:left w:w="55" w:type="dxa"/>
            <w:bottom w:w="55" w:type="dxa"/>
            <w:right w:w="55" w:type="dxa"/>
          </w:tblCellMar>
        </w:tblPrEx>
        <w:trPr>
          <w:trHeight w:val="243" w:hRule="atLeast"/>
        </w:trPr>
        <w:tc>
          <w:tcPr>
            <w:tcW w:w="4817" w:type="dxa"/>
            <w:gridSpan w:val="2"/>
          </w:tcPr>
          <w:p>
            <w:pPr>
              <w:pStyle w:val="22"/>
              <w:widowControl w:val="0"/>
              <w:rPr>
                <w:rFonts w:hint="eastAsia" w:ascii="仿宋" w:hAnsi="仿宋" w:eastAsia="仿宋" w:cs="仿宋"/>
                <w:sz w:val="20"/>
              </w:rPr>
            </w:pPr>
          </w:p>
        </w:tc>
        <w:tc>
          <w:tcPr>
            <w:tcW w:w="2537" w:type="dxa"/>
          </w:tcPr>
          <w:p>
            <w:pPr>
              <w:pStyle w:val="22"/>
              <w:widowControl w:val="0"/>
              <w:rPr>
                <w:rFonts w:hint="eastAsia" w:ascii="仿宋" w:hAnsi="仿宋" w:eastAsia="仿宋" w:cs="仿宋"/>
                <w:sz w:val="20"/>
              </w:rPr>
            </w:pPr>
          </w:p>
        </w:tc>
        <w:tc>
          <w:tcPr>
            <w:tcW w:w="1800" w:type="dxa"/>
          </w:tcPr>
          <w:p>
            <w:pPr>
              <w:pStyle w:val="22"/>
              <w:widowControl w:val="0"/>
              <w:rPr>
                <w:rFonts w:hint="eastAsia" w:ascii="仿宋" w:hAnsi="仿宋" w:eastAsia="仿宋" w:cs="仿宋"/>
                <w:sz w:val="20"/>
              </w:rPr>
            </w:pPr>
          </w:p>
        </w:tc>
        <w:tc>
          <w:tcPr>
            <w:tcW w:w="1886"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公开07表</w:t>
            </w:r>
          </w:p>
        </w:tc>
      </w:tr>
      <w:tr>
        <w:tblPrEx>
          <w:tblLayout w:type="fixed"/>
          <w:tblCellMar>
            <w:top w:w="55" w:type="dxa"/>
            <w:left w:w="55" w:type="dxa"/>
            <w:bottom w:w="55" w:type="dxa"/>
            <w:right w:w="55" w:type="dxa"/>
          </w:tblCellMar>
        </w:tblPrEx>
        <w:trPr>
          <w:trHeight w:val="191" w:hRule="atLeast"/>
        </w:trPr>
        <w:tc>
          <w:tcPr>
            <w:tcW w:w="7354" w:type="dxa"/>
            <w:gridSpan w:val="3"/>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江苏省社会组织服务中心</w:t>
            </w:r>
          </w:p>
        </w:tc>
        <w:tc>
          <w:tcPr>
            <w:tcW w:w="3686" w:type="dxa"/>
            <w:gridSpan w:val="2"/>
          </w:tcPr>
          <w:p>
            <w:pPr>
              <w:pStyle w:val="22"/>
              <w:widowControl w:val="0"/>
              <w:jc w:val="right"/>
              <w:rPr>
                <w:rFonts w:hint="eastAsia" w:ascii="仿宋" w:hAnsi="仿宋" w:eastAsia="仿宋" w:cs="仿宋"/>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20" w:hRule="atLeast"/>
        </w:trPr>
        <w:tc>
          <w:tcPr>
            <w:tcW w:w="4817" w:type="dxa"/>
            <w:gridSpan w:val="2"/>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537"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本年支出合计</w:t>
            </w:r>
          </w:p>
        </w:tc>
        <w:tc>
          <w:tcPr>
            <w:tcW w:w="1800" w:type="dxa"/>
            <w:vMerge w:val="restart"/>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886" w:type="dxa"/>
            <w:vMerge w:val="restart"/>
            <w:tcBorders>
              <w:top w:val="single" w:color="000000" w:sz="6" w:space="0"/>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Layout w:type="fixed"/>
          <w:tblCellMar>
            <w:top w:w="55" w:type="dxa"/>
            <w:left w:w="55" w:type="dxa"/>
            <w:bottom w:w="55" w:type="dxa"/>
            <w:right w:w="55" w:type="dxa"/>
          </w:tblCellMar>
        </w:tblPrEx>
        <w:trPr>
          <w:trHeight w:val="389" w:hRule="atLeast"/>
        </w:trPr>
        <w:tc>
          <w:tcPr>
            <w:tcW w:w="139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功能分类科目编码</w:t>
            </w:r>
          </w:p>
        </w:tc>
        <w:tc>
          <w:tcPr>
            <w:tcW w:w="342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537"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00" w:type="dxa"/>
            <w:vMerge w:val="continue"/>
            <w:tcBorders>
              <w:left w:val="single" w:color="000000" w:sz="6" w:space="0"/>
              <w:bottom w:val="single" w:color="000000" w:sz="6" w:space="0"/>
            </w:tcBorders>
          </w:tcPr>
          <w:p>
            <w:pPr>
              <w:widowControl w:val="0"/>
              <w:jc w:val="left"/>
              <w:rPr>
                <w:rFonts w:hint="eastAsia" w:ascii="仿宋" w:hAnsi="仿宋" w:eastAsia="仿宋" w:cs="仿宋"/>
                <w:sz w:val="2"/>
                <w:szCs w:val="2"/>
              </w:rPr>
            </w:pPr>
          </w:p>
        </w:tc>
        <w:tc>
          <w:tcPr>
            <w:tcW w:w="1886"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trHeight w:val="152" w:hRule="atLeas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537"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1</w:t>
            </w:r>
          </w:p>
        </w:tc>
        <w:tc>
          <w:tcPr>
            <w:tcW w:w="1800" w:type="dxa"/>
            <w:tcBorders>
              <w:left w:val="single" w:color="000000" w:sz="6" w:space="0"/>
              <w:bottom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2</w:t>
            </w:r>
          </w:p>
        </w:tc>
        <w:tc>
          <w:tcPr>
            <w:tcW w:w="1886" w:type="dxa"/>
            <w:tcBorders>
              <w:left w:val="single" w:color="000000" w:sz="6" w:space="0"/>
              <w:bottom w:val="single" w:color="000000" w:sz="6" w:space="0"/>
              <w:right w:val="single" w:color="000000" w:sz="6"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r>
      <w:tr>
        <w:tblPrEx>
          <w:tblLayout w:type="fixed"/>
          <w:tblCellMar>
            <w:top w:w="55" w:type="dxa"/>
            <w:left w:w="55" w:type="dxa"/>
            <w:bottom w:w="55" w:type="dxa"/>
            <w:right w:w="55" w:type="dxa"/>
          </w:tblCellMar>
        </w:tblPrEx>
        <w:trPr>
          <w:trHeight w:val="361" w:hRule="exact"/>
        </w:trPr>
        <w:tc>
          <w:tcPr>
            <w:tcW w:w="4817"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合计</w:t>
            </w:r>
          </w:p>
        </w:tc>
        <w:tc>
          <w:tcPr>
            <w:tcW w:w="2537"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119.00</w:t>
            </w:r>
          </w:p>
        </w:tc>
        <w:tc>
          <w:tcPr>
            <w:tcW w:w="1800" w:type="dxa"/>
            <w:tcBorders>
              <w:left w:val="single" w:color="000000" w:sz="6" w:space="0"/>
              <w:bottom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119.00</w:t>
            </w:r>
          </w:p>
        </w:tc>
        <w:tc>
          <w:tcPr>
            <w:tcW w:w="1886" w:type="dxa"/>
            <w:tcBorders>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208</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社会保障和就业支出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89.26</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89.26</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民政管理事务</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73.86</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73.86</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2080206</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社会组织管理</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73.86</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73.86</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行政事业单位养老支出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15.40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15.40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2080505</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10.27</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10.27</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2080506</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机关事业单位职业年金缴费支出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5.13</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5.13</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221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住房保障支出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29.74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29.74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住房改革支出</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29.74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29.74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2210201</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8.00</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221" w:hRule="atLeast"/>
        </w:trPr>
        <w:tc>
          <w:tcPr>
            <w:tcW w:w="139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2210202</w:t>
            </w:r>
          </w:p>
        </w:tc>
        <w:tc>
          <w:tcPr>
            <w:tcW w:w="342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提租补贴</w:t>
            </w:r>
          </w:p>
        </w:tc>
        <w:tc>
          <w:tcPr>
            <w:tcW w:w="2537"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21.74</w:t>
            </w:r>
          </w:p>
        </w:tc>
        <w:tc>
          <w:tcPr>
            <w:tcW w:w="1800"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21.74</w:t>
            </w:r>
          </w:p>
        </w:tc>
        <w:tc>
          <w:tcPr>
            <w:tcW w:w="1886" w:type="dxa"/>
            <w:tcBorders>
              <w:top w:val="single" w:color="000000" w:sz="6" w:space="0"/>
              <w:left w:val="single" w:color="000000" w:sz="6" w:space="0"/>
              <w:bottom w:val="single" w:color="000000" w:sz="6" w:space="0"/>
              <w:right w:val="single" w:color="000000" w:sz="6" w:space="0"/>
            </w:tcBorders>
            <w:vAlign w:val="center"/>
          </w:tcPr>
          <w:p>
            <w:pPr>
              <w:pStyle w:val="22"/>
              <w:widowControl w:val="0"/>
              <w:jc w:val="right"/>
              <w:rPr>
                <w:rFonts w:hint="eastAsia" w:ascii="仿宋" w:hAnsi="仿宋" w:eastAsia="仿宋" w:cs="仿宋"/>
              </w:rPr>
            </w:pPr>
          </w:p>
        </w:tc>
      </w:tr>
    </w:tbl>
    <w:p>
      <w:pPr>
        <w:tabs>
          <w:tab w:val="left" w:pos="0"/>
        </w:tabs>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注：1.本表反映部门本年度按功能分类一般公共预算财政拨款实际支出情况。</w:t>
      </w:r>
    </w:p>
    <w:p>
      <w:pPr>
        <w:numPr>
          <w:ilvl w:val="0"/>
          <w:numId w:val="3"/>
        </w:numPr>
        <w:tabs>
          <w:tab w:val="left" w:pos="0"/>
          <w:tab w:val="clear" w:pos="312"/>
        </w:tabs>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954" w:type="dxa"/>
        <w:tblInd w:w="-206" w:type="dxa"/>
        <w:tblLayout w:type="fixed"/>
        <w:tblCellMar>
          <w:top w:w="55" w:type="dxa"/>
          <w:left w:w="55" w:type="dxa"/>
          <w:bottom w:w="55" w:type="dxa"/>
          <w:right w:w="55" w:type="dxa"/>
        </w:tblCellMar>
      </w:tblPr>
      <w:tblGrid>
        <w:gridCol w:w="1114"/>
        <w:gridCol w:w="2777"/>
        <w:gridCol w:w="644"/>
        <w:gridCol w:w="1996"/>
        <w:gridCol w:w="2246"/>
        <w:gridCol w:w="2177"/>
      </w:tblGrid>
      <w:tr>
        <w:tblPrEx>
          <w:tblLayout w:type="fixed"/>
          <w:tblCellMar>
            <w:top w:w="55" w:type="dxa"/>
            <w:left w:w="55" w:type="dxa"/>
            <w:bottom w:w="55" w:type="dxa"/>
            <w:right w:w="55" w:type="dxa"/>
          </w:tblCellMar>
        </w:tblPrEx>
        <w:trPr>
          <w:trHeight w:val="319" w:hRule="atLeast"/>
        </w:trPr>
        <w:tc>
          <w:tcPr>
            <w:tcW w:w="10954" w:type="dxa"/>
            <w:gridSpan w:val="6"/>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一般公共预算基本支出决算表（经济科目）</w:t>
            </w:r>
          </w:p>
        </w:tc>
      </w:tr>
      <w:tr>
        <w:tblPrEx>
          <w:tblLayout w:type="fixed"/>
          <w:tblCellMar>
            <w:top w:w="55" w:type="dxa"/>
            <w:left w:w="55" w:type="dxa"/>
            <w:bottom w:w="55" w:type="dxa"/>
            <w:right w:w="55" w:type="dxa"/>
          </w:tblCellMar>
        </w:tblPrEx>
        <w:trPr>
          <w:trHeight w:val="189" w:hRule="atLeast"/>
        </w:trPr>
        <w:tc>
          <w:tcPr>
            <w:tcW w:w="3891" w:type="dxa"/>
            <w:gridSpan w:val="2"/>
          </w:tcPr>
          <w:p>
            <w:pPr>
              <w:pStyle w:val="22"/>
              <w:widowControl w:val="0"/>
              <w:rPr>
                <w:rFonts w:hint="eastAsia" w:ascii="仿宋" w:hAnsi="仿宋" w:eastAsia="仿宋" w:cs="仿宋"/>
                <w:sz w:val="20"/>
              </w:rPr>
            </w:pPr>
          </w:p>
        </w:tc>
        <w:tc>
          <w:tcPr>
            <w:tcW w:w="644" w:type="dxa"/>
          </w:tcPr>
          <w:p>
            <w:pPr>
              <w:pStyle w:val="22"/>
              <w:widowControl w:val="0"/>
              <w:rPr>
                <w:rFonts w:hint="eastAsia" w:ascii="仿宋" w:hAnsi="仿宋" w:eastAsia="仿宋" w:cs="仿宋"/>
                <w:sz w:val="20"/>
              </w:rPr>
            </w:pPr>
          </w:p>
        </w:tc>
        <w:tc>
          <w:tcPr>
            <w:tcW w:w="4242" w:type="dxa"/>
            <w:gridSpan w:val="2"/>
          </w:tcPr>
          <w:p>
            <w:pPr>
              <w:pStyle w:val="22"/>
              <w:widowControl w:val="0"/>
              <w:rPr>
                <w:rFonts w:hint="eastAsia" w:ascii="仿宋" w:hAnsi="仿宋" w:eastAsia="仿宋" w:cs="仿宋"/>
                <w:sz w:val="20"/>
              </w:rPr>
            </w:pP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公开08表</w:t>
            </w:r>
          </w:p>
        </w:tc>
      </w:tr>
      <w:tr>
        <w:tblPrEx>
          <w:tblLayout w:type="fixed"/>
          <w:tblCellMar>
            <w:top w:w="55" w:type="dxa"/>
            <w:left w:w="55" w:type="dxa"/>
            <w:bottom w:w="55" w:type="dxa"/>
            <w:right w:w="55" w:type="dxa"/>
          </w:tblCellMar>
        </w:tblPrEx>
        <w:trPr>
          <w:trHeight w:val="138" w:hRule="atLeast"/>
        </w:trPr>
        <w:tc>
          <w:tcPr>
            <w:tcW w:w="8777" w:type="dxa"/>
            <w:gridSpan w:val="5"/>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江苏省社会组织服务中心</w:t>
            </w:r>
          </w:p>
        </w:tc>
        <w:tc>
          <w:tcPr>
            <w:tcW w:w="2177" w:type="dxa"/>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80" w:hRule="atLeast"/>
        </w:trPr>
        <w:tc>
          <w:tcPr>
            <w:tcW w:w="3891"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7063" w:type="dxa"/>
            <w:gridSpan w:val="4"/>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一般公共预算财政拨款基本支出</w:t>
            </w:r>
          </w:p>
        </w:tc>
      </w:tr>
      <w:tr>
        <w:tblPrEx>
          <w:tblLayout w:type="fixed"/>
          <w:tblCellMar>
            <w:top w:w="55" w:type="dxa"/>
            <w:left w:w="55" w:type="dxa"/>
            <w:bottom w:w="55" w:type="dxa"/>
            <w:right w:w="55" w:type="dxa"/>
          </w:tblCellMar>
        </w:tblPrEx>
        <w:trPr>
          <w:trHeight w:val="474" w:hRule="atLeast"/>
        </w:trPr>
        <w:tc>
          <w:tcPr>
            <w:tcW w:w="111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经济分类科目编码</w:t>
            </w:r>
          </w:p>
        </w:tc>
        <w:tc>
          <w:tcPr>
            <w:tcW w:w="27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640"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2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17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Layout w:type="fixed"/>
          <w:tblCellMar>
            <w:top w:w="55" w:type="dxa"/>
            <w:left w:w="55" w:type="dxa"/>
            <w:bottom w:w="55" w:type="dxa"/>
            <w:right w:w="55" w:type="dxa"/>
          </w:tblCellMar>
        </w:tblPrEx>
        <w:trPr>
          <w:trHeight w:val="394" w:hRule="exact"/>
        </w:trPr>
        <w:tc>
          <w:tcPr>
            <w:tcW w:w="3891"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640" w:type="dxa"/>
            <w:gridSpan w:val="2"/>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119.00</w:t>
            </w:r>
          </w:p>
        </w:tc>
        <w:tc>
          <w:tcPr>
            <w:tcW w:w="22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112.92</w:t>
            </w:r>
          </w:p>
        </w:tc>
        <w:tc>
          <w:tcPr>
            <w:tcW w:w="217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6.08</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112.92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112.92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基本工资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27.48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27.48</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津贴补贴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21.33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21.33</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伙食补助费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绩效工资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13.58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13.58</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机关事业单位基本养老保险缴费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15.64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职业年金缴费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7.68</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职工基本医疗保险缴费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7.15</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7.15</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公务员医疗补助缴费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其他社会保障缴费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1.21</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住房公积金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18.72</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其他工资福利支出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0.14</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0.14</w:t>
            </w: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6.08</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6.08</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1.53</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1.53</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印刷费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咨询费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手续费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0.12</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水费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邮电费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取暖费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物业管理费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差旅费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因公出国（境）费用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维修（护）费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租赁费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会议费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培训费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公务接待费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专用材料费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被装购置费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专用燃料费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劳务费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1.20</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委托业务费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工会经费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3.01</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3.01</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福利费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公务用车运行维护费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30240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税金及附加费用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其他商品和服务支出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0.22</w:t>
            </w: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0.22</w:t>
            </w: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离休费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退休费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退职（役）费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抚恤金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生活补助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救济费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医疗费补助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助学金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奖励金</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个人农业生产补贴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代缴社会保险费</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其他对个人和家庭的补助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债务利息及费用支出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国外债务付息</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国内债务发行费用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30704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国外债务发行费用</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房屋建筑物购建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办公设备购置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专用设备购置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基础设施建设</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大型修缮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信息网络及软件购置更新</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物资储备</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31009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土地补偿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31010</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安置补助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地上附着物和青苗补偿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拆迁补偿</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公务用车购置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31019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其他交通工具购置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文物和陈列品购置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31022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无形资产购置</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31099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其他资本性支出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312</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31201</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资本金注入</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31203</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政府投资基金股权投资</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31204</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费用补贴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31205</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利息补贴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31299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其他对企业补助</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39906</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赠与</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39907</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国家赔偿费用支出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39908</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对民间非营利组织和群众性自治组织补贴</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111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27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其他支出</w:t>
            </w:r>
          </w:p>
        </w:tc>
        <w:tc>
          <w:tcPr>
            <w:tcW w:w="2640"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246"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17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本表反映部门本年度按经济分类一般公共预算财政拨款基本支出明细情况。</w:t>
      </w:r>
    </w:p>
    <w:p>
      <w:pPr>
        <w:numPr>
          <w:ilvl w:val="0"/>
          <w:numId w:val="4"/>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1906" w:h="16838"/>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Layout w:type="fixed"/>
          <w:tblCellMar>
            <w:top w:w="55" w:type="dxa"/>
            <w:left w:w="55" w:type="dxa"/>
            <w:bottom w:w="55" w:type="dxa"/>
            <w:right w:w="55" w:type="dxa"/>
          </w:tblCellMar>
        </w:tblPrEx>
        <w:trPr>
          <w:trHeight w:val="321" w:hRule="atLeast"/>
        </w:trPr>
        <w:tc>
          <w:tcPr>
            <w:tcW w:w="15909" w:type="dxa"/>
            <w:gridSpan w:val="8"/>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一般公共预算“三公”经费、会议费、培训费支出决算表</w:t>
            </w:r>
          </w:p>
        </w:tc>
      </w:tr>
      <w:tr>
        <w:tblPrEx>
          <w:tblLayout w:type="fixed"/>
          <w:tblCellMar>
            <w:top w:w="55" w:type="dxa"/>
            <w:left w:w="55" w:type="dxa"/>
            <w:bottom w:w="55" w:type="dxa"/>
            <w:right w:w="55" w:type="dxa"/>
          </w:tblCellMar>
        </w:tblPrEx>
        <w:trPr>
          <w:trHeight w:val="207" w:hRule="atLeast"/>
        </w:trPr>
        <w:tc>
          <w:tcPr>
            <w:tcW w:w="12069" w:type="dxa"/>
            <w:gridSpan w:val="6"/>
          </w:tcPr>
          <w:p>
            <w:pPr>
              <w:pStyle w:val="22"/>
              <w:widowControl w:val="0"/>
              <w:rPr>
                <w:rFonts w:hint="eastAsia" w:ascii="仿宋" w:hAnsi="仿宋" w:eastAsia="仿宋" w:cs="仿宋"/>
                <w:sz w:val="20"/>
              </w:rPr>
            </w:pP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公开09表</w:t>
            </w:r>
          </w:p>
        </w:tc>
      </w:tr>
      <w:tr>
        <w:tblPrEx>
          <w:tblLayout w:type="fixed"/>
          <w:tblCellMar>
            <w:top w:w="55" w:type="dxa"/>
            <w:left w:w="55" w:type="dxa"/>
            <w:bottom w:w="55" w:type="dxa"/>
            <w:right w:w="55" w:type="dxa"/>
          </w:tblCellMar>
        </w:tblPrEx>
        <w:trPr>
          <w:trHeight w:val="103" w:hRule="atLeast"/>
        </w:trPr>
        <w:tc>
          <w:tcPr>
            <w:tcW w:w="12069" w:type="dxa"/>
            <w:gridSpan w:val="6"/>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江苏省社会组织服务中心</w:t>
            </w:r>
          </w:p>
        </w:tc>
        <w:tc>
          <w:tcPr>
            <w:tcW w:w="3840" w:type="dxa"/>
            <w:gridSpan w:val="2"/>
            <w:vAlign w:val="center"/>
          </w:tcPr>
          <w:p>
            <w:pPr>
              <w:pStyle w:val="22"/>
              <w:widowControl w:val="0"/>
              <w:jc w:val="right"/>
              <w:rPr>
                <w:rFonts w:hint="eastAsia" w:ascii="仿宋" w:hAnsi="仿宋" w:eastAsia="仿宋" w:cs="仿宋"/>
                <w:sz w:val="20"/>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179" w:hRule="atLeast"/>
        </w:trPr>
        <w:tc>
          <w:tcPr>
            <w:tcW w:w="12069" w:type="dxa"/>
            <w:gridSpan w:val="6"/>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w:t>
            </w:r>
          </w:p>
        </w:tc>
        <w:tc>
          <w:tcPr>
            <w:tcW w:w="2057"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会议费</w:t>
            </w:r>
          </w:p>
        </w:tc>
        <w:tc>
          <w:tcPr>
            <w:tcW w:w="1783"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培训费</w:t>
            </w:r>
          </w:p>
        </w:tc>
      </w:tr>
      <w:tr>
        <w:tblPrEx>
          <w:tblLayout w:type="fixed"/>
          <w:tblCellMar>
            <w:top w:w="55" w:type="dxa"/>
            <w:left w:w="55" w:type="dxa"/>
            <w:bottom w:w="55" w:type="dxa"/>
            <w:right w:w="55" w:type="dxa"/>
          </w:tblCellMar>
        </w:tblPrEx>
        <w:trPr>
          <w:trHeight w:val="297" w:hRule="atLeast"/>
        </w:trPr>
        <w:tc>
          <w:tcPr>
            <w:tcW w:w="2471"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公务用车购置及运行维护费</w:t>
            </w:r>
          </w:p>
        </w:tc>
        <w:tc>
          <w:tcPr>
            <w:tcW w:w="1852" w:type="dxa"/>
            <w:vMerge w:val="restart"/>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continue"/>
            <w:tcBorders>
              <w:left w:val="single" w:color="000000" w:sz="4" w:space="0"/>
              <w:bottom w:val="single" w:color="000000" w:sz="4" w:space="0"/>
            </w:tcBorders>
            <w:vAlign w:val="center"/>
          </w:tcPr>
          <w:p>
            <w:pPr>
              <w:widowControl w:val="0"/>
              <w:jc w:val="center"/>
              <w:rPr>
                <w:rFonts w:hint="eastAsia" w:ascii="仿宋" w:hAnsi="仿宋" w:eastAsia="仿宋" w:cs="仿宋"/>
                <w:sz w:val="20"/>
              </w:rPr>
            </w:pPr>
          </w:p>
        </w:tc>
        <w:tc>
          <w:tcPr>
            <w:tcW w:w="1783" w:type="dxa"/>
            <w:vMerge w:val="continue"/>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sz w:val="20"/>
              </w:rPr>
            </w:pPr>
          </w:p>
        </w:tc>
      </w:tr>
      <w:tr>
        <w:tblPrEx>
          <w:tblLayout w:type="fixed"/>
          <w:tblCellMar>
            <w:top w:w="55" w:type="dxa"/>
            <w:left w:w="55" w:type="dxa"/>
            <w:bottom w:w="55" w:type="dxa"/>
            <w:right w:w="55" w:type="dxa"/>
          </w:tblCellMar>
        </w:tblPrEx>
        <w:trPr>
          <w:trHeight w:val="645" w:hRule="exact"/>
        </w:trPr>
        <w:tc>
          <w:tcPr>
            <w:tcW w:w="2471"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33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3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p>
          <w:p>
            <w:pPr>
              <w:pStyle w:val="22"/>
              <w:widowControl w:val="0"/>
              <w:jc w:val="center"/>
              <w:rPr>
                <w:rFonts w:hint="eastAsia" w:ascii="仿宋" w:hAnsi="仿宋" w:eastAsia="仿宋" w:cs="仿宋"/>
              </w:rPr>
            </w:pPr>
            <w:r>
              <w:rPr>
                <w:rFonts w:hint="eastAsia" w:ascii="仿宋" w:hAnsi="仿宋" w:eastAsia="仿宋" w:cs="仿宋"/>
              </w:rPr>
              <w:t>维护费</w:t>
            </w:r>
          </w:p>
        </w:tc>
        <w:tc>
          <w:tcPr>
            <w:tcW w:w="1852"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2057" w:type="dxa"/>
            <w:vMerge w:val="continue"/>
            <w:tcBorders>
              <w:left w:val="single" w:color="000000" w:sz="4" w:space="0"/>
              <w:bottom w:val="single" w:color="000000" w:sz="4" w:space="0"/>
            </w:tcBorders>
          </w:tcPr>
          <w:p>
            <w:pPr>
              <w:widowControl w:val="0"/>
              <w:jc w:val="left"/>
              <w:rPr>
                <w:rFonts w:hint="eastAsia" w:ascii="仿宋" w:hAnsi="仿宋" w:eastAsia="仿宋" w:cs="仿宋"/>
                <w:sz w:val="2"/>
                <w:szCs w:val="2"/>
              </w:rPr>
            </w:pPr>
          </w:p>
        </w:tc>
        <w:tc>
          <w:tcPr>
            <w:tcW w:w="1783"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
                <w:szCs w:val="2"/>
              </w:rPr>
            </w:pPr>
          </w:p>
        </w:tc>
      </w:tr>
      <w:tr>
        <w:tblPrEx>
          <w:tblLayout w:type="fixed"/>
          <w:tblCellMar>
            <w:top w:w="55" w:type="dxa"/>
            <w:left w:w="55" w:type="dxa"/>
            <w:bottom w:w="55" w:type="dxa"/>
            <w:right w:w="55" w:type="dxa"/>
          </w:tblCellMar>
        </w:tblPrEx>
        <w:trPr>
          <w:cantSplit/>
          <w:trHeight w:val="165" w:hRule="atLeast"/>
        </w:trPr>
        <w:tc>
          <w:tcPr>
            <w:tcW w:w="247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33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3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9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85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205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c>
          <w:tcPr>
            <w:tcW w:w="178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w:t>
            </w:r>
          </w:p>
        </w:tc>
      </w:tr>
    </w:tbl>
    <w:p>
      <w:pPr>
        <w:spacing w:before="30" w:after="33"/>
        <w:ind w:left="376" w:firstLine="0"/>
        <w:rPr>
          <w:rFonts w:hint="eastAsia" w:ascii="仿宋" w:hAnsi="仿宋" w:eastAsia="仿宋" w:cs="仿宋"/>
          <w:sz w:val="22"/>
          <w:szCs w:val="22"/>
        </w:rPr>
      </w:pPr>
      <w:r>
        <w:rPr>
          <w:rFonts w:hint="eastAsia" w:ascii="仿宋" w:hAnsi="仿宋" w:eastAsia="仿宋" w:cs="仿宋"/>
          <w:sz w:val="22"/>
          <w:szCs w:val="22"/>
        </w:rPr>
        <w:t>相关统计数：</w:t>
      </w:r>
    </w:p>
    <w:tbl>
      <w:tblPr>
        <w:tblStyle w:val="13"/>
        <w:tblW w:w="12069" w:type="dxa"/>
        <w:tblInd w:w="-209" w:type="dxa"/>
        <w:tblLayout w:type="fixed"/>
        <w:tblCellMar>
          <w:top w:w="55" w:type="dxa"/>
          <w:left w:w="55" w:type="dxa"/>
          <w:bottom w:w="55" w:type="dxa"/>
          <w:right w:w="55" w:type="dxa"/>
        </w:tblCellMar>
      </w:tblPr>
      <w:tblGrid>
        <w:gridCol w:w="4299"/>
        <w:gridCol w:w="1976"/>
        <w:gridCol w:w="3908"/>
        <w:gridCol w:w="1886"/>
      </w:tblGrid>
      <w:tr>
        <w:tblPrEx>
          <w:tblLayout w:type="fixed"/>
          <w:tblCellMar>
            <w:top w:w="55" w:type="dxa"/>
            <w:left w:w="55" w:type="dxa"/>
            <w:bottom w:w="55" w:type="dxa"/>
            <w:right w:w="55" w:type="dxa"/>
          </w:tblCellMar>
        </w:tblPrEx>
        <w:trPr>
          <w:cantSplit/>
          <w:trHeight w:val="214" w:hRule="atLeast"/>
        </w:trPr>
        <w:tc>
          <w:tcPr>
            <w:tcW w:w="4299"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sz w:val="22"/>
              </w:rPr>
              <w:t>项目</w:t>
            </w:r>
          </w:p>
        </w:tc>
        <w:tc>
          <w:tcPr>
            <w:tcW w:w="19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c>
          <w:tcPr>
            <w:tcW w:w="3908"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项目</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sz w:val="22"/>
                <w:szCs w:val="22"/>
              </w:rPr>
              <w:t>统计数</w:t>
            </w: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因公出国（境）团组数(个)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因公出国（境）人次数(人)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公务用车购置数(辆)</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公务用车保有量(辆)</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国内公务接待人次(人)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国（境）外公务接待批次(个)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国（境）外公务接待人次(人)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召开会议次数(个)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参加会议人次(人)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90" w:hRule="atLeast"/>
        </w:trPr>
        <w:tc>
          <w:tcPr>
            <w:tcW w:w="4299" w:type="dxa"/>
            <w:tcBorders>
              <w:top w:val="single" w:color="auto" w:sz="4" w:space="0"/>
              <w:left w:val="single" w:color="auto"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组织培训次数(个)</w:t>
            </w:r>
          </w:p>
        </w:tc>
        <w:tc>
          <w:tcPr>
            <w:tcW w:w="1976" w:type="dxa"/>
            <w:tcBorders>
              <w:top w:val="single" w:color="auto" w:sz="4" w:space="0"/>
              <w:left w:val="single" w:color="000000" w:sz="4" w:space="0"/>
              <w:bottom w:val="single" w:color="auto" w:sz="4" w:space="0"/>
            </w:tcBorders>
            <w:vAlign w:val="center"/>
          </w:tcPr>
          <w:p>
            <w:pPr>
              <w:pStyle w:val="22"/>
              <w:widowControl w:val="0"/>
              <w:jc w:val="right"/>
              <w:rPr>
                <w:rFonts w:hint="eastAsia" w:ascii="仿宋" w:hAnsi="仿宋" w:eastAsia="仿宋" w:cs="仿宋"/>
              </w:rPr>
            </w:pPr>
          </w:p>
        </w:tc>
        <w:tc>
          <w:tcPr>
            <w:tcW w:w="3908" w:type="dxa"/>
            <w:tcBorders>
              <w:top w:val="single" w:color="auto" w:sz="4" w:space="0"/>
              <w:left w:val="single" w:color="000000" w:sz="4" w:space="0"/>
              <w:bottom w:val="single" w:color="auto"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参加培训人次(人)</w:t>
            </w:r>
          </w:p>
        </w:tc>
        <w:tc>
          <w:tcPr>
            <w:tcW w:w="1886" w:type="dxa"/>
            <w:tcBorders>
              <w:top w:val="single" w:color="auto"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p>
        </w:tc>
      </w:tr>
    </w:tbl>
    <w:p>
      <w:pPr>
        <w:widowControl w:val="0"/>
        <w:suppressAutoHyphens/>
        <w:bidi w:val="0"/>
        <w:spacing w:before="0" w:after="0"/>
        <w:ind w:left="-22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“三公”经费、会议费、培训费详细支出情况见支出情况说明。</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widowControl w:val="0"/>
        <w:numPr>
          <w:ilvl w:val="0"/>
          <w:numId w:val="5"/>
        </w:numPr>
        <w:suppressAutoHyphens/>
        <w:bidi w:val="0"/>
        <w:spacing w:before="0" w:after="0"/>
        <w:ind w:left="200" w:leftChars="0" w:right="0" w:firstLine="0" w:firstLineChars="0"/>
        <w:jc w:val="left"/>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无一般公共预算“三公”经费、会议费、培训费支出决算，故本表为空。</w:t>
      </w:r>
    </w:p>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5"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5772" w:type="dxa"/>
        <w:tblInd w:w="-106" w:type="dxa"/>
        <w:tblLayout w:type="fixed"/>
        <w:tblCellMar>
          <w:top w:w="55" w:type="dxa"/>
          <w:left w:w="55" w:type="dxa"/>
          <w:bottom w:w="55" w:type="dxa"/>
          <w:right w:w="55" w:type="dxa"/>
        </w:tblCellMar>
      </w:tblPr>
      <w:tblGrid>
        <w:gridCol w:w="1466"/>
        <w:gridCol w:w="2511"/>
        <w:gridCol w:w="2092"/>
        <w:gridCol w:w="2331"/>
        <w:gridCol w:w="1869"/>
        <w:gridCol w:w="1577"/>
        <w:gridCol w:w="1646"/>
        <w:gridCol w:w="2280"/>
      </w:tblGrid>
      <w:tr>
        <w:tblPrEx>
          <w:tblLayout w:type="fixed"/>
          <w:tblCellMar>
            <w:top w:w="55" w:type="dxa"/>
            <w:left w:w="55" w:type="dxa"/>
            <w:bottom w:w="55" w:type="dxa"/>
            <w:right w:w="55" w:type="dxa"/>
          </w:tblCellMar>
        </w:tblPrEx>
        <w:trPr>
          <w:trHeight w:val="395" w:hRule="atLeast"/>
        </w:trPr>
        <w:tc>
          <w:tcPr>
            <w:tcW w:w="15772" w:type="dxa"/>
            <w:gridSpan w:val="8"/>
            <w:vAlign w:val="center"/>
          </w:tcPr>
          <w:p>
            <w:pPr>
              <w:pStyle w:val="22"/>
              <w:widowControl w:val="0"/>
              <w:jc w:val="center"/>
              <w:rPr>
                <w:rFonts w:hint="eastAsia" w:ascii="仿宋" w:hAnsi="仿宋" w:eastAsia="仿宋" w:cs="仿宋"/>
                <w:b/>
                <w:bCs/>
                <w:sz w:val="44"/>
                <w:szCs w:val="44"/>
              </w:rPr>
            </w:pPr>
            <w:r>
              <w:rPr>
                <w:rFonts w:hint="eastAsia" w:ascii="仿宋" w:hAnsi="仿宋" w:eastAsia="仿宋" w:cs="仿宋"/>
                <w:b/>
                <w:bCs/>
                <w:sz w:val="44"/>
                <w:szCs w:val="44"/>
              </w:rPr>
              <w:t>政府性基金预算收入支出决算表</w:t>
            </w:r>
          </w:p>
        </w:tc>
      </w:tr>
      <w:tr>
        <w:tblPrEx>
          <w:tblLayout w:type="fixed"/>
          <w:tblCellMar>
            <w:top w:w="55" w:type="dxa"/>
            <w:left w:w="55" w:type="dxa"/>
            <w:bottom w:w="55" w:type="dxa"/>
            <w:right w:w="55" w:type="dxa"/>
          </w:tblCellMar>
        </w:tblPrEx>
        <w:trPr>
          <w:trHeight w:val="323" w:hRule="atLeast"/>
        </w:trPr>
        <w:tc>
          <w:tcPr>
            <w:tcW w:w="3977" w:type="dxa"/>
            <w:gridSpan w:val="2"/>
          </w:tcPr>
          <w:p>
            <w:pPr>
              <w:pStyle w:val="22"/>
              <w:widowControl w:val="0"/>
              <w:rPr>
                <w:rFonts w:hint="eastAsia" w:ascii="仿宋" w:hAnsi="仿宋" w:eastAsia="仿宋" w:cs="仿宋"/>
                <w:sz w:val="20"/>
              </w:rPr>
            </w:pPr>
          </w:p>
        </w:tc>
        <w:tc>
          <w:tcPr>
            <w:tcW w:w="2092" w:type="dxa"/>
          </w:tcPr>
          <w:p>
            <w:pPr>
              <w:pStyle w:val="22"/>
              <w:widowControl w:val="0"/>
              <w:rPr>
                <w:rFonts w:hint="eastAsia" w:ascii="仿宋" w:hAnsi="仿宋" w:eastAsia="仿宋" w:cs="仿宋"/>
                <w:sz w:val="27"/>
              </w:rPr>
            </w:pPr>
          </w:p>
        </w:tc>
        <w:tc>
          <w:tcPr>
            <w:tcW w:w="2331" w:type="dxa"/>
          </w:tcPr>
          <w:p>
            <w:pPr>
              <w:pStyle w:val="22"/>
              <w:widowControl w:val="0"/>
              <w:rPr>
                <w:rFonts w:hint="eastAsia" w:ascii="仿宋" w:hAnsi="仿宋" w:eastAsia="仿宋" w:cs="仿宋"/>
                <w:sz w:val="27"/>
              </w:rPr>
            </w:pPr>
          </w:p>
        </w:tc>
        <w:tc>
          <w:tcPr>
            <w:tcW w:w="5092" w:type="dxa"/>
            <w:gridSpan w:val="3"/>
          </w:tcPr>
          <w:p>
            <w:pPr>
              <w:pStyle w:val="22"/>
              <w:widowControl w:val="0"/>
              <w:rPr>
                <w:rFonts w:hint="eastAsia" w:ascii="仿宋" w:hAnsi="仿宋" w:eastAsia="仿宋" w:cs="仿宋"/>
                <w:sz w:val="20"/>
              </w:rPr>
            </w:pP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公开10表</w:t>
            </w:r>
          </w:p>
        </w:tc>
      </w:tr>
      <w:tr>
        <w:tblPrEx>
          <w:tblLayout w:type="fixed"/>
          <w:tblCellMar>
            <w:top w:w="55" w:type="dxa"/>
            <w:left w:w="55" w:type="dxa"/>
            <w:bottom w:w="55" w:type="dxa"/>
            <w:right w:w="55" w:type="dxa"/>
          </w:tblCellMar>
        </w:tblPrEx>
        <w:trPr>
          <w:trHeight w:val="138" w:hRule="atLeast"/>
        </w:trPr>
        <w:tc>
          <w:tcPr>
            <w:tcW w:w="13492" w:type="dxa"/>
            <w:gridSpan w:val="7"/>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江苏省社会组织服务中心</w:t>
            </w:r>
          </w:p>
        </w:tc>
        <w:tc>
          <w:tcPr>
            <w:tcW w:w="2280"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213" w:hRule="atLeast"/>
        </w:trPr>
        <w:tc>
          <w:tcPr>
            <w:tcW w:w="3977"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w:t>
            </w:r>
            <w:r>
              <w:rPr>
                <w:rFonts w:hint="eastAsia" w:ascii="仿宋" w:hAnsi="仿宋" w:eastAsia="仿宋" w:cs="仿宋"/>
              </w:rPr>
              <w:tab/>
            </w:r>
            <w:r>
              <w:rPr>
                <w:rFonts w:hint="eastAsia" w:ascii="仿宋" w:hAnsi="仿宋" w:eastAsia="仿宋" w:cs="仿宋"/>
              </w:rPr>
              <w:t>目</w:t>
            </w:r>
          </w:p>
        </w:tc>
        <w:tc>
          <w:tcPr>
            <w:tcW w:w="2092"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年初结转和结余</w:t>
            </w:r>
          </w:p>
        </w:tc>
        <w:tc>
          <w:tcPr>
            <w:tcW w:w="2331" w:type="dxa"/>
            <w:vMerge w:val="restart"/>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本年收入</w:t>
            </w:r>
          </w:p>
        </w:tc>
        <w:tc>
          <w:tcPr>
            <w:tcW w:w="5092" w:type="dxa"/>
            <w:gridSpan w:val="3"/>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本年支出</w:t>
            </w:r>
          </w:p>
        </w:tc>
        <w:tc>
          <w:tcPr>
            <w:tcW w:w="2280" w:type="dxa"/>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年末结转和结余</w:t>
            </w:r>
          </w:p>
        </w:tc>
      </w:tr>
      <w:tr>
        <w:tblPrEx>
          <w:tblLayout w:type="fixed"/>
          <w:tblCellMar>
            <w:top w:w="55" w:type="dxa"/>
            <w:left w:w="55" w:type="dxa"/>
            <w:bottom w:w="55" w:type="dxa"/>
            <w:right w:w="55" w:type="dxa"/>
          </w:tblCellMar>
        </w:tblPrEx>
        <w:trPr>
          <w:trHeight w:val="528" w:hRule="atLeast"/>
        </w:trPr>
        <w:tc>
          <w:tcPr>
            <w:tcW w:w="146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功能分类</w:t>
            </w:r>
          </w:p>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51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92"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2331" w:type="dxa"/>
            <w:vMerge w:val="continue"/>
            <w:tcBorders>
              <w:left w:val="single" w:color="000000" w:sz="4" w:space="0"/>
              <w:bottom w:val="single" w:color="000000" w:sz="4" w:space="0"/>
            </w:tcBorders>
          </w:tcPr>
          <w:p>
            <w:pPr>
              <w:widowControl w:val="0"/>
              <w:jc w:val="lef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小计</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c>
          <w:tcPr>
            <w:tcW w:w="2280" w:type="dxa"/>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rPr>
            </w:pPr>
          </w:p>
        </w:tc>
      </w:tr>
      <w:tr>
        <w:tblPrEx>
          <w:tblLayout w:type="fixed"/>
          <w:tblCellMar>
            <w:top w:w="55" w:type="dxa"/>
            <w:left w:w="55" w:type="dxa"/>
            <w:bottom w:w="55" w:type="dxa"/>
            <w:right w:w="55" w:type="dxa"/>
          </w:tblCellMar>
        </w:tblPrEx>
        <w:trPr>
          <w:trHeight w:val="275" w:hRule="atLeas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栏次</w:t>
            </w:r>
          </w:p>
        </w:tc>
        <w:tc>
          <w:tcPr>
            <w:tcW w:w="209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1</w:t>
            </w:r>
          </w:p>
        </w:tc>
        <w:tc>
          <w:tcPr>
            <w:tcW w:w="23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2</w:t>
            </w:r>
          </w:p>
        </w:tc>
        <w:tc>
          <w:tcPr>
            <w:tcW w:w="1869"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3</w:t>
            </w:r>
          </w:p>
        </w:tc>
        <w:tc>
          <w:tcPr>
            <w:tcW w:w="157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4</w:t>
            </w:r>
          </w:p>
        </w:tc>
        <w:tc>
          <w:tcPr>
            <w:tcW w:w="164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5</w:t>
            </w:r>
          </w:p>
        </w:tc>
        <w:tc>
          <w:tcPr>
            <w:tcW w:w="2280"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 xml:space="preserve">  6</w:t>
            </w:r>
          </w:p>
        </w:tc>
      </w:tr>
      <w:tr>
        <w:tblPrEx>
          <w:tblLayout w:type="fixed"/>
          <w:tblCellMar>
            <w:top w:w="55" w:type="dxa"/>
            <w:left w:w="55" w:type="dxa"/>
            <w:bottom w:w="55" w:type="dxa"/>
            <w:right w:w="55" w:type="dxa"/>
          </w:tblCellMar>
        </w:tblPrEx>
        <w:trPr>
          <w:trHeight w:val="407" w:hRule="exact"/>
        </w:trPr>
        <w:tc>
          <w:tcPr>
            <w:tcW w:w="3977"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92"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331"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86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57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1646"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p>
        </w:tc>
        <w:tc>
          <w:tcPr>
            <w:tcW w:w="2280"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spacing w:before="25" w:after="0"/>
        <w:ind w:left="-220" w:leftChars="-100" w:firstLine="0" w:firstLineChars="0"/>
        <w:rPr>
          <w:rFonts w:hint="eastAsia" w:ascii="仿宋" w:hAnsi="仿宋" w:eastAsia="仿宋" w:cs="仿宋"/>
          <w:b/>
          <w:bCs/>
          <w:sz w:val="22"/>
          <w:szCs w:val="22"/>
        </w:rPr>
      </w:pPr>
      <w:r>
        <w:rPr>
          <w:rFonts w:hint="eastAsia" w:ascii="仿宋" w:hAnsi="仿宋" w:eastAsia="仿宋" w:cs="仿宋"/>
          <w:b/>
          <w:bCs/>
          <w:sz w:val="22"/>
          <w:szCs w:val="22"/>
        </w:rPr>
        <w:t>注：1. 本表反映部门本年度按功能分类政府性基金预算财政拨款收支及结转和结余情况。</w:t>
      </w:r>
    </w:p>
    <w:p>
      <w:pPr>
        <w:numPr>
          <w:ilvl w:val="0"/>
          <w:numId w:val="6"/>
        </w:numPr>
        <w:spacing w:before="25" w:after="0"/>
        <w:ind w:left="20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6"/>
        </w:numPr>
        <w:spacing w:before="25" w:after="0"/>
        <w:ind w:left="200" w:leftChars="0" w:firstLine="0" w:firstLineChars="0"/>
        <w:rPr>
          <w:rFonts w:hint="default" w:ascii="仿宋" w:hAnsi="仿宋" w:eastAsia="仿宋" w:cs="仿宋"/>
          <w:b/>
          <w:bCs/>
          <w:sz w:val="22"/>
          <w:szCs w:val="22"/>
          <w:lang w:val="en-US" w:eastAsia="zh-CN"/>
        </w:rPr>
      </w:pPr>
      <w:r>
        <w:rPr>
          <w:rFonts w:ascii="仿宋" w:hAnsi="仿宋" w:eastAsia="仿宋" w:cs="仿宋"/>
          <w:b/>
          <w:sz w:val="22"/>
        </w:rPr>
        <w:t>本单位无政府性基金预算收入支出决算，故本表为空。</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6" w:type="default"/>
          <w:pgSz w:w="16838" w:h="11906" w:orient="landscape"/>
          <w:pgMar w:top="720" w:right="720" w:bottom="720" w:left="7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Layout w:type="fixed"/>
          <w:tblCellMar>
            <w:top w:w="55" w:type="dxa"/>
            <w:left w:w="55" w:type="dxa"/>
            <w:bottom w:w="55" w:type="dxa"/>
            <w:right w:w="55" w:type="dxa"/>
          </w:tblCellMar>
        </w:tblPrEx>
        <w:trPr>
          <w:trHeight w:val="319" w:hRule="atLeast"/>
        </w:trPr>
        <w:tc>
          <w:tcPr>
            <w:tcW w:w="10235" w:type="dxa"/>
            <w:gridSpan w:val="4"/>
          </w:tcPr>
          <w:p>
            <w:pPr>
              <w:pStyle w:val="22"/>
              <w:widowControl w:val="0"/>
              <w:tabs>
                <w:tab w:val="left" w:pos="610"/>
              </w:tabs>
              <w:spacing w:before="28" w:after="0"/>
              <w:ind w:left="8" w:firstLine="0"/>
              <w:jc w:val="center"/>
              <w:rPr>
                <w:rFonts w:hint="eastAsia" w:ascii="仿宋" w:hAnsi="仿宋" w:eastAsia="仿宋" w:cs="仿宋"/>
                <w:b/>
                <w:bCs/>
                <w:sz w:val="44"/>
                <w:szCs w:val="44"/>
              </w:rPr>
            </w:pPr>
            <w:r>
              <w:rPr>
                <w:rFonts w:hint="eastAsia" w:ascii="仿宋" w:hAnsi="仿宋" w:eastAsia="仿宋" w:cs="仿宋"/>
                <w:b/>
                <w:bCs/>
                <w:sz w:val="44"/>
                <w:szCs w:val="44"/>
              </w:rPr>
              <w:t>一般公共预算机关运行经费支出决算表</w:t>
            </w:r>
          </w:p>
        </w:tc>
      </w:tr>
      <w:tr>
        <w:tblPrEx>
          <w:tblLayout w:type="fixed"/>
          <w:tblCellMar>
            <w:top w:w="55" w:type="dxa"/>
            <w:left w:w="55" w:type="dxa"/>
            <w:bottom w:w="55" w:type="dxa"/>
            <w:right w:w="55" w:type="dxa"/>
          </w:tblCellMar>
        </w:tblPrEx>
        <w:trPr>
          <w:trHeight w:val="90" w:hRule="atLeast"/>
        </w:trPr>
        <w:tc>
          <w:tcPr>
            <w:tcW w:w="5964" w:type="dxa"/>
            <w:gridSpan w:val="2"/>
          </w:tcPr>
          <w:p>
            <w:pPr>
              <w:pStyle w:val="22"/>
              <w:widowControl w:val="0"/>
              <w:rPr>
                <w:rFonts w:hint="eastAsia" w:ascii="仿宋" w:hAnsi="仿宋" w:eastAsia="仿宋" w:cs="仿宋"/>
                <w:sz w:val="20"/>
              </w:rPr>
            </w:pPr>
          </w:p>
        </w:tc>
        <w:tc>
          <w:tcPr>
            <w:tcW w:w="4271" w:type="dxa"/>
            <w:gridSpan w:val="2"/>
            <w:vAlign w:val="center"/>
          </w:tcPr>
          <w:p>
            <w:pPr>
              <w:pStyle w:val="22"/>
              <w:widowControl w:val="0"/>
              <w:jc w:val="right"/>
              <w:rPr>
                <w:rFonts w:hint="eastAsia" w:ascii="仿宋" w:hAnsi="仿宋" w:eastAsia="仿宋" w:cs="仿宋"/>
              </w:rPr>
            </w:pPr>
            <w:r>
              <w:rPr>
                <w:rFonts w:hint="eastAsia" w:ascii="仿宋" w:hAnsi="仿宋" w:eastAsia="仿宋" w:cs="仿宋"/>
              </w:rPr>
              <w:t>公开11表</w:t>
            </w:r>
          </w:p>
        </w:tc>
      </w:tr>
      <w:tr>
        <w:tblPrEx>
          <w:tblLayout w:type="fixed"/>
          <w:tblCellMar>
            <w:top w:w="55" w:type="dxa"/>
            <w:left w:w="55" w:type="dxa"/>
            <w:bottom w:w="55" w:type="dxa"/>
            <w:right w:w="55" w:type="dxa"/>
          </w:tblCellMar>
        </w:tblPrEx>
        <w:trPr>
          <w:trHeight w:val="90" w:hRule="atLeast"/>
        </w:trPr>
        <w:tc>
          <w:tcPr>
            <w:tcW w:w="7884" w:type="dxa"/>
            <w:gridSpan w:val="3"/>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江苏省社会组织服务中心</w:t>
            </w:r>
          </w:p>
        </w:tc>
        <w:tc>
          <w:tcPr>
            <w:tcW w:w="2351" w:type="dxa"/>
            <w:vAlign w:val="center"/>
          </w:tcPr>
          <w:p>
            <w:pPr>
              <w:pStyle w:val="22"/>
              <w:widowControl w:val="0"/>
              <w:jc w:val="right"/>
              <w:rPr>
                <w:rFonts w:hint="eastAsia" w:ascii="仿宋" w:hAnsi="仿宋" w:eastAsia="仿宋" w:cs="仿宋"/>
                <w:sz w:val="27"/>
              </w:rPr>
            </w:pPr>
            <w:r>
              <w:rPr>
                <w:rFonts w:hint="eastAsia" w:ascii="仿宋" w:hAnsi="仿宋" w:eastAsia="仿宋" w:cs="仿宋"/>
              </w:rPr>
              <w:t>金额单位：万元</w:t>
            </w:r>
          </w:p>
        </w:tc>
      </w:tr>
      <w:tr>
        <w:tblPrEx>
          <w:tblLayout w:type="fixed"/>
          <w:tblCellMar>
            <w:top w:w="55" w:type="dxa"/>
            <w:left w:w="55" w:type="dxa"/>
            <w:bottom w:w="55" w:type="dxa"/>
            <w:right w:w="55" w:type="dxa"/>
          </w:tblCellMar>
        </w:tblPrEx>
        <w:trPr>
          <w:trHeight w:val="319" w:hRule="atLeast"/>
        </w:trPr>
        <w:tc>
          <w:tcPr>
            <w:tcW w:w="5964"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w:t>
            </w:r>
            <w:r>
              <w:rPr>
                <w:rFonts w:hint="eastAsia" w:ascii="仿宋" w:hAnsi="仿宋" w:eastAsia="仿宋" w:cs="仿宋"/>
                <w:sz w:val="22"/>
                <w:szCs w:val="22"/>
              </w:rPr>
              <w:tab/>
            </w:r>
            <w:r>
              <w:rPr>
                <w:rFonts w:hint="eastAsia" w:ascii="仿宋" w:hAnsi="仿宋" w:eastAsia="仿宋" w:cs="仿宋"/>
                <w:sz w:val="22"/>
                <w:szCs w:val="22"/>
              </w:rPr>
              <w:t>目</w:t>
            </w:r>
          </w:p>
        </w:tc>
        <w:tc>
          <w:tcPr>
            <w:tcW w:w="4271" w:type="dxa"/>
            <w:gridSpan w:val="2"/>
            <w:vMerge w:val="restart"/>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机关运行经费支出决算</w:t>
            </w:r>
          </w:p>
        </w:tc>
      </w:tr>
      <w:tr>
        <w:tblPrEx>
          <w:tblLayout w:type="fixed"/>
          <w:tblCellMar>
            <w:top w:w="55" w:type="dxa"/>
            <w:left w:w="55" w:type="dxa"/>
            <w:bottom w:w="55" w:type="dxa"/>
            <w:right w:w="55" w:type="dxa"/>
          </w:tblCellMar>
        </w:tblPrEx>
        <w:trPr>
          <w:trHeight w:val="363" w:hRule="atLeast"/>
        </w:trPr>
        <w:tc>
          <w:tcPr>
            <w:tcW w:w="3088"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vMerge w:val="continue"/>
            <w:tcBorders>
              <w:left w:val="single" w:color="000000" w:sz="4" w:space="0"/>
              <w:bottom w:val="single" w:color="000000" w:sz="4" w:space="0"/>
              <w:right w:val="single" w:color="000000" w:sz="4" w:space="0"/>
            </w:tcBorders>
          </w:tcPr>
          <w:p>
            <w:pPr>
              <w:widowControl w:val="0"/>
              <w:jc w:val="lef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trHeight w:val="263" w:hRule="atLeast"/>
        </w:trPr>
        <w:tc>
          <w:tcPr>
            <w:tcW w:w="596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4271" w:type="dxa"/>
            <w:gridSpan w:val="2"/>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印刷费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咨询费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手续费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水费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邮电费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取暖费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物业管理费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差旅费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因公出国（境）费用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维修（护）费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租赁费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会议费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培训费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公务接待费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专用材料费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30224</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被装购置费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专用燃料费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劳务费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委托业务费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工会经费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福利费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公务用车运行维护费</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30240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税金及附加费用</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其他商品和服务支出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债务利息及费用支出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房屋建筑物购建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办公设备购置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专用设备购置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31005</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基础设施建设</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31006</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大型修缮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31007</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信息网络及软件购置更新</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31008</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物资储备</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31009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土地补偿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31010</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安置补助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地上附着物和青苗补偿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拆迁补偿</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31013</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公务用车购置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31019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其他交通工具购置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31021</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文物和陈列品购置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31022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无形资产购置</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31099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其他资本性支出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312</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对企业补助</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Layout w:type="fixed"/>
          <w:tblCellMar>
            <w:top w:w="55" w:type="dxa"/>
            <w:left w:w="55" w:type="dxa"/>
            <w:bottom w:w="55" w:type="dxa"/>
            <w:right w:w="55" w:type="dxa"/>
          </w:tblCellMar>
        </w:tblPrEx>
        <w:trPr>
          <w:cantSplit/>
          <w:trHeight w:val="227" w:hRule="atLeast"/>
        </w:trPr>
        <w:tc>
          <w:tcPr>
            <w:tcW w:w="3088" w:type="dxa"/>
            <w:tcBorders>
              <w:top w:val="single" w:color="000000" w:sz="4" w:space="0"/>
              <w:left w:val="single" w:color="000000" w:sz="4" w:space="0"/>
              <w:bottom w:val="single" w:color="000000" w:sz="4" w:space="0"/>
              <w:right w:val="single" w:color="000000" w:sz="4" w:space="0"/>
            </w:tcBorders>
            <w:vAlign w:val="top"/>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399</w:t>
            </w:r>
          </w:p>
        </w:tc>
        <w:tc>
          <w:tcPr>
            <w:tcW w:w="2876" w:type="dxa"/>
            <w:tcBorders>
              <w:top w:val="single" w:color="000000" w:sz="4" w:space="0"/>
              <w:left w:val="single" w:color="000000" w:sz="4" w:space="0"/>
              <w:bottom w:val="single" w:color="000000" w:sz="4" w:space="0"/>
              <w:right w:val="single" w:color="000000" w:sz="4" w:space="0"/>
            </w:tcBorders>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其他支出</w:t>
            </w:r>
          </w:p>
        </w:tc>
        <w:tc>
          <w:tcPr>
            <w:tcW w:w="4271" w:type="dxa"/>
            <w:gridSpan w:val="2"/>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bl>
    <w:p>
      <w:pPr>
        <w:spacing w:before="25" w:after="0"/>
        <w:ind w:left="2" w:leftChars="-200" w:hanging="442" w:hangingChars="200"/>
        <w:rPr>
          <w:rFonts w:hint="eastAsia" w:ascii="仿宋" w:hAnsi="仿宋" w:eastAsia="仿宋" w:cs="仿宋"/>
          <w:b/>
          <w:bCs/>
          <w:sz w:val="22"/>
          <w:szCs w:val="22"/>
        </w:rPr>
      </w:pPr>
      <w:r>
        <w:rPr>
          <w:rFonts w:hint="eastAsia" w:ascii="仿宋" w:hAnsi="仿宋" w:eastAsia="仿宋" w:cs="仿宋"/>
          <w:b/>
          <w:bCs/>
          <w:sz w:val="22"/>
          <w:szCs w:val="22"/>
        </w:rPr>
        <w:t>注：1.“机关运行经费” 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7"/>
        </w:numPr>
        <w:tabs>
          <w:tab w:val="left" w:pos="0"/>
          <w:tab w:val="clear" w:pos="312"/>
        </w:tabs>
        <w:spacing w:before="25" w:after="0"/>
        <w:ind w:left="-1"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无一般公共预算机关运行经费支出决算，故本表为空。</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7"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tbl>
      <w:tblPr>
        <w:tblStyle w:val="13"/>
        <w:tblW w:w="9177" w:type="dxa"/>
        <w:tblInd w:w="45" w:type="dxa"/>
        <w:tblLayout w:type="fixed"/>
        <w:tblCellMar>
          <w:top w:w="55" w:type="dxa"/>
          <w:left w:w="55" w:type="dxa"/>
          <w:bottom w:w="55" w:type="dxa"/>
          <w:right w:w="55" w:type="dxa"/>
        </w:tblCellMar>
      </w:tblPr>
      <w:tblGrid>
        <w:gridCol w:w="3682"/>
        <w:gridCol w:w="1512"/>
        <w:gridCol w:w="1992"/>
        <w:gridCol w:w="1991"/>
      </w:tblGrid>
      <w:tr>
        <w:tblPrEx>
          <w:tblLayout w:type="fixed"/>
          <w:tblCellMar>
            <w:top w:w="55" w:type="dxa"/>
            <w:left w:w="55" w:type="dxa"/>
            <w:bottom w:w="55" w:type="dxa"/>
            <w:right w:w="55" w:type="dxa"/>
          </w:tblCellMar>
        </w:tblPrEx>
        <w:trPr>
          <w:trHeight w:val="333" w:hRule="atLeast"/>
        </w:trPr>
        <w:tc>
          <w:tcPr>
            <w:tcW w:w="9177" w:type="dxa"/>
            <w:gridSpan w:val="4"/>
            <w:vAlign w:val="center"/>
          </w:tcPr>
          <w:p>
            <w:pPr>
              <w:pStyle w:val="22"/>
              <w:widowControl w:val="0"/>
              <w:bidi w:val="0"/>
              <w:jc w:val="center"/>
              <w:rPr>
                <w:rFonts w:hint="eastAsia" w:ascii="仿宋" w:hAnsi="仿宋" w:eastAsia="仿宋" w:cs="仿宋"/>
                <w:b/>
                <w:bCs/>
                <w:sz w:val="44"/>
                <w:szCs w:val="44"/>
              </w:rPr>
            </w:pPr>
            <w:r>
              <w:rPr>
                <w:rFonts w:hint="eastAsia" w:ascii="仿宋" w:hAnsi="仿宋" w:eastAsia="仿宋" w:cs="仿宋"/>
                <w:b/>
                <w:bCs/>
                <w:sz w:val="44"/>
                <w:szCs w:val="44"/>
              </w:rPr>
              <w:t>政府采购支出决算表</w:t>
            </w:r>
          </w:p>
        </w:tc>
      </w:tr>
      <w:tr>
        <w:tblPrEx>
          <w:tblLayout w:type="fixed"/>
          <w:tblCellMar>
            <w:top w:w="55" w:type="dxa"/>
            <w:left w:w="55" w:type="dxa"/>
            <w:bottom w:w="55" w:type="dxa"/>
            <w:right w:w="55" w:type="dxa"/>
          </w:tblCellMar>
        </w:tblPrEx>
        <w:trPr>
          <w:trHeight w:val="333" w:hRule="atLeast"/>
        </w:trPr>
        <w:tc>
          <w:tcPr>
            <w:tcW w:w="3682" w:type="dxa"/>
          </w:tcPr>
          <w:p>
            <w:pPr>
              <w:pStyle w:val="22"/>
              <w:widowControl w:val="0"/>
              <w:bidi w:val="0"/>
              <w:rPr>
                <w:rFonts w:hint="eastAsia" w:ascii="仿宋" w:hAnsi="仿宋" w:eastAsia="仿宋" w:cs="仿宋"/>
              </w:rPr>
            </w:pPr>
          </w:p>
        </w:tc>
        <w:tc>
          <w:tcPr>
            <w:tcW w:w="1512" w:type="dxa"/>
          </w:tcPr>
          <w:p>
            <w:pPr>
              <w:pStyle w:val="22"/>
              <w:widowControl w:val="0"/>
              <w:rPr>
                <w:rFonts w:hint="eastAsia" w:ascii="仿宋" w:hAnsi="仿宋" w:eastAsia="仿宋" w:cs="仿宋"/>
              </w:rPr>
            </w:pPr>
          </w:p>
        </w:tc>
        <w:tc>
          <w:tcPr>
            <w:tcW w:w="1992" w:type="dxa"/>
          </w:tcPr>
          <w:p>
            <w:pPr>
              <w:pStyle w:val="22"/>
              <w:widowControl w:val="0"/>
              <w:rPr>
                <w:rFonts w:hint="eastAsia" w:ascii="仿宋" w:hAnsi="仿宋" w:eastAsia="仿宋" w:cs="仿宋"/>
              </w:rPr>
            </w:pP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公开12表</w:t>
            </w:r>
          </w:p>
        </w:tc>
      </w:tr>
      <w:tr>
        <w:tblPrEx>
          <w:tblLayout w:type="fixed"/>
          <w:tblCellMar>
            <w:top w:w="55" w:type="dxa"/>
            <w:left w:w="55" w:type="dxa"/>
            <w:bottom w:w="55" w:type="dxa"/>
            <w:right w:w="55" w:type="dxa"/>
          </w:tblCellMar>
        </w:tblPrEx>
        <w:trPr>
          <w:trHeight w:val="90" w:hRule="atLeast"/>
        </w:trPr>
        <w:tc>
          <w:tcPr>
            <w:tcW w:w="7186" w:type="dxa"/>
            <w:gridSpan w:val="3"/>
          </w:tcPr>
          <w:p>
            <w:pPr>
              <w:pStyle w:val="22"/>
              <w:widowControl w:val="0"/>
              <w:bidi w:val="0"/>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名称：</w:t>
            </w:r>
            <w:r>
              <w:rPr>
                <w:rFonts w:hint="eastAsia" w:ascii="仿宋" w:hAnsi="仿宋" w:eastAsia="仿宋" w:cs="仿宋"/>
              </w:rPr>
              <w:t>江苏省社会组织服务中心</w:t>
            </w:r>
          </w:p>
        </w:tc>
        <w:tc>
          <w:tcPr>
            <w:tcW w:w="1991" w:type="dxa"/>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Layout w:type="fixed"/>
          <w:tblCellMar>
            <w:top w:w="55" w:type="dxa"/>
            <w:left w:w="55" w:type="dxa"/>
            <w:bottom w:w="55" w:type="dxa"/>
            <w:right w:w="55" w:type="dxa"/>
          </w:tblCellMar>
        </w:tblPrEx>
        <w:trPr>
          <w:trHeight w:val="244" w:hRule="atLeast"/>
        </w:trPr>
        <w:tc>
          <w:tcPr>
            <w:tcW w:w="3682" w:type="dxa"/>
            <w:tcBorders>
              <w:top w:val="single" w:color="000000" w:sz="4" w:space="0"/>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hint="eastAsia" w:ascii="仿宋" w:hAnsi="仿宋" w:eastAsia="仿宋" w:cs="仿宋"/>
              </w:rPr>
              <w:t>采购品目大类</w:t>
            </w:r>
          </w:p>
        </w:tc>
        <w:tc>
          <w:tcPr>
            <w:tcW w:w="5495"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金</w:t>
            </w:r>
            <w:r>
              <w:rPr>
                <w:rFonts w:hint="eastAsia" w:ascii="仿宋" w:hAnsi="仿宋" w:eastAsia="仿宋" w:cs="仿宋"/>
              </w:rPr>
              <w:tab/>
            </w:r>
            <w:r>
              <w:rPr>
                <w:rFonts w:hint="eastAsia" w:ascii="仿宋" w:hAnsi="仿宋" w:eastAsia="仿宋" w:cs="仿宋"/>
              </w:rPr>
              <w:t>额</w:t>
            </w:r>
          </w:p>
        </w:tc>
      </w:tr>
      <w:tr>
        <w:tblPrEx>
          <w:tblLayout w:type="fixed"/>
          <w:tblCellMar>
            <w:top w:w="55" w:type="dxa"/>
            <w:left w:w="55" w:type="dxa"/>
            <w:bottom w:w="55" w:type="dxa"/>
            <w:right w:w="55" w:type="dxa"/>
          </w:tblCellMar>
        </w:tblPrEx>
        <w:trPr>
          <w:trHeight w:val="186" w:hRule="atLeast"/>
        </w:trPr>
        <w:tc>
          <w:tcPr>
            <w:tcW w:w="3682" w:type="dxa"/>
            <w:tcBorders>
              <w:left w:val="single" w:color="000000" w:sz="4" w:space="0"/>
              <w:bottom w:val="single" w:color="000000" w:sz="4" w:space="0"/>
            </w:tcBorders>
            <w:vAlign w:val="center"/>
          </w:tcPr>
          <w:p>
            <w:pPr>
              <w:pStyle w:val="22"/>
              <w:widowControl w:val="0"/>
              <w:bidi w:val="0"/>
              <w:jc w:val="center"/>
              <w:rPr>
                <w:rFonts w:hint="eastAsia" w:ascii="仿宋" w:hAnsi="仿宋" w:eastAsia="仿宋" w:cs="仿宋"/>
              </w:rPr>
            </w:pPr>
            <w:r>
              <w:rPr>
                <w:rFonts w:ascii="仿宋" w:hAnsi="仿宋" w:eastAsia="仿宋" w:cs="仿宋"/>
              </w:rPr>
              <w:t>合计</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一、政府采购货物支出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二、政府采购工程支出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Layout w:type="fixed"/>
          <w:tblCellMar>
            <w:top w:w="55" w:type="dxa"/>
            <w:left w:w="55" w:type="dxa"/>
            <w:bottom w:w="55" w:type="dxa"/>
            <w:right w:w="55" w:type="dxa"/>
          </w:tblCellMar>
        </w:tblPrEx>
        <w:trPr>
          <w:cantSplit/>
          <w:trHeight w:val="140" w:hRule="atLeast"/>
        </w:trPr>
        <w:tc>
          <w:tcPr>
            <w:tcW w:w="3682" w:type="dxa"/>
            <w:tcBorders>
              <w:left w:val="single" w:color="000000" w:sz="4" w:space="0"/>
              <w:bottom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三、政府采购服务支出</w:t>
            </w:r>
          </w:p>
        </w:tc>
        <w:tc>
          <w:tcPr>
            <w:tcW w:w="5495" w:type="dxa"/>
            <w:gridSpan w:val="3"/>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bl>
    <w:p>
      <w:p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1.</w:t>
      </w:r>
      <w:r>
        <w:rPr>
          <w:rFonts w:hint="eastAsia" w:ascii="仿宋" w:hAnsi="仿宋" w:eastAsia="仿宋" w:cs="仿宋"/>
          <w:b/>
          <w:bCs/>
          <w:sz w:val="22"/>
          <w:szCs w:val="22"/>
        </w:rPr>
        <w:t>政府采购支出信息为单位纳入部门预算范围的各项政府采购支出情况。</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rPr>
        <w:t>本表金额转换为万元时，因四舍五入可能存在尾差。</w:t>
      </w:r>
    </w:p>
    <w:p>
      <w:pPr>
        <w:numPr>
          <w:ilvl w:val="0"/>
          <w:numId w:val="8"/>
        </w:numPr>
        <w:bidi w:val="0"/>
        <w:ind w:left="420"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eastAsia="zh-CN"/>
        </w:rPr>
        <w:t>本</w:t>
      </w:r>
      <w:r>
        <w:rPr>
          <w:rFonts w:ascii="仿宋" w:hAnsi="仿宋" w:eastAsia="仿宋" w:cs="仿宋"/>
          <w:b/>
          <w:sz w:val="22"/>
        </w:rPr>
        <w:t>单位</w:t>
      </w:r>
      <w:r>
        <w:rPr>
          <w:rFonts w:hint="eastAsia" w:ascii="仿宋" w:hAnsi="仿宋" w:eastAsia="仿宋" w:cs="仿宋"/>
          <w:b/>
          <w:bCs/>
          <w:sz w:val="22"/>
          <w:szCs w:val="22"/>
        </w:rPr>
        <w:t>无政府采购支出决算，故本表为空。</w:t>
      </w:r>
    </w:p>
    <w:p>
      <w:pPr>
        <w:bidi w:val="0"/>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rPr>
        <w:t>2020年度</w:t>
      </w:r>
      <w:r>
        <w:rPr>
          <w:rFonts w:ascii="仿宋" w:hAnsi="仿宋" w:eastAsia="仿宋" w:cs="仿宋"/>
          <w:b/>
          <w:sz w:val="44"/>
        </w:rPr>
        <w:t>单位决算情况说明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eastAsia="zh-CN"/>
        </w:rPr>
      </w:pPr>
      <w:r>
        <w:rPr>
          <w:rFonts w:ascii="仿宋" w:hAnsi="仿宋" w:eastAsia="仿宋" w:cs="仿宋"/>
          <w:b/>
        </w:rPr>
        <w:t>一、收入支出决算总体情况说明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江苏省社会组织服务中心2020年度收入、支出总计119.01万元，与上年相比收、支总计各增加119.01万元，去年决算数为0万元，无法计算增减比率。其中：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（一）收入总计119.01万元。包括：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1．本年收入合计119.01万元。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一般公共预算财政拨款收入119万元，为当年从同级财政取得的一般公共预算拨款，与上年相比增加119万元，去年决算数为0万元，无法计算增减比率，主要原因是省社会组织服务中心于2019年底成立，2019年无预算拨款。</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（2）政府性基金预算财政拨款收入0万元，为当年从同级财政取得的政府性基金预算拨款，与上年决算数相同。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（3）国有资本经营预算财政拨款收入0万元，为当年从同级财政取得的国有资本经营预算拨款，与上年决算数相同。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（4）上级补助收入0万元，与上年决算数相同。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（5）事业收入0万元，与上年决算数相同。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（6）经营收入0万元，与上年决算数相同。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（7）附属单位上缴收入0万元，与上年决算数相同。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8）其他收入0.01万元，为单位取得的除上述收入以外的各项收入，主要为省社会组织服务中心2020年取得银行利息收入93.59元。与上年相比增加0.01万元，去年决算数为0万元，无法计算增减比率，主要原因是省社会组织服务中心于2019年底成立，2019年无收入。</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2．使用非财政拨款结余0万元，为事业单位使用非财政拨款结余（原事业基金）弥补当年收支差额的数额。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3．年初结转和结余0万元。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（二）支出总计119.01万元。包括：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1．本年支出合计119万元。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1）社会保障和就业（类）支出89.26万元，主要用于在职人员工资、保险，以及中心办公费。与上年相比增加89.26万元，去年决算数为0万元，无法计算增减比率，主要原因是省社会组织服务中心于2019年底成立，2019年无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default" w:ascii="仿宋" w:hAnsi="仿宋" w:eastAsia="仿宋" w:cs="仿宋"/>
          <w:lang w:val="en-US" w:eastAsia="zh-CN"/>
        </w:rPr>
      </w:pPr>
      <w:r>
        <w:rPr>
          <w:rFonts w:ascii="仿宋" w:hAnsi="仿宋" w:eastAsia="仿宋" w:cs="仿宋"/>
        </w:rPr>
        <w:t>（2）住房保障（类）支出29.74万元，主要用于发放在职人员提租补贴并为其缴纳住房公积金。与上年相比增加29.74万元，去年决算数为0万元，无法计算增减比率，主要原因是省社会组织服务中心于2019年底成立，2019年无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2．结余分配0万元，为单位当年结余的分配情况，与上年决算数相同。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r>
        <w:rPr>
          <w:rFonts w:ascii="仿宋" w:hAnsi="仿宋" w:eastAsia="仿宋" w:cs="仿宋"/>
        </w:rPr>
        <w:t>3．年末结转和结余0.01万元，主要为省社会组织服务中心2020年取得银行利息收入93.59元，由于中心为差额拨款事业单位，该笔结余用于以后年度支出。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二、收入决算情况说明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组织服务中心本年收入合计119.01万元，其中：财政拨款收入119万元，占99.99%；上级补助收入0万元，占0%；事业收入0万元，占0%；经营收入0万元，占0%；附属单位上缴收入0万元，占0%；其他收入0.01万元，占0.01%。</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0" w:leftChars="0" w:right="420" w:firstLine="0"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三、支出决算情况说明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江苏省社会组织服务中心本年支出合计119万元，其中：基本支出119万元，占100%；项目支出0万元，占0%；上缴上级支出0万元，占0%；经营支出0万元，占0%；对附属单位补助支出0万元，占0%。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right="420"/>
        <w:jc w:val="center"/>
        <w:textAlignment w:val="auto"/>
        <w:rPr>
          <w:rFonts w:hint="eastAsia" w:ascii="仿宋" w:hAnsi="仿宋" w:eastAsia="仿宋" w:cs="仿宋"/>
        </w:rPr>
      </w:pPr>
      <w:r>
        <w:rPr>
          <w:rFonts w:hint="eastAsia" w:ascii="仿宋" w:hAnsi="仿宋" w:eastAsia="仿宋" w:cs="仿宋"/>
          <w:lang w:val="en-US" w:eastAsia="zh-CN"/>
        </w:rPr>
        <w:drawing>
          <wp:inline distT="0" distB="0" distL="0" distR="0">
            <wp:extent cx="6134100" cy="3429000"/>
            <wp:effectExtent l="0" t="0" r="508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3"/>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四、财政拨款收入支出决算总体情况说明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组织服务中心2020年度财政拨款收、支总决算119万元，与上年相比，财政拨款收、支总计各增加119万元，去年决算数为0万元，无法计算增减比率。主要原因是省社会组织服务中心于2019年底成立，2019年无收入和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五、财政拨款支出决算情况说明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财政拨款支出决算反映的是一般公共预算、政府性基金预算和国有资本经营预算财政拨款支出的总体情况，既包括使用本年从本级财政取得的拨款发生的支出，也包括使用上年度财政拨款结转和结余资金发生的支出。江苏省社会组织服务中心2020年度财政拨款支出119万元，占本年支出合计的100%。江苏省社会组织服务中心2020年度财政拨款支出年初预算为119万元，支出决算为119万元，完成年初预算的100%。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（一）社会保障和就业支出（类）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1．民政管理事务（款）社会组织管理（项）。年初预算为73.86万元，支出决算为73.86万元，完成年初预算的100%。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2．行政事业单位养老支出（款）机关事业单位基本养老保险缴费支出（项）。年初预算为10.27万元，支出决算为10.27万元，完成年初预算的100%。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3．行政事业单位养老支出（款）机关事业单位职业年金缴费支出（项）。年初预算为5.13万元，支出决算为5.13万元，完成年初预算的100%。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（二）住房保障支出（类）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1．住房改革支出（款）住房公积金（项）。年初预算为8万元，支出决算为8万元，完成年初预算的100%。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2．住房改革支出（款）提租补贴（项）。年初预算为21.74万元，支出决算为21.74万元，完成年初预算的100%。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六、财政拨款基本支出决算情况说明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江苏省社会组织服务中心2020年度财政拨款基本支出119万元，其中：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（一）人员经费112.92万元。主要包括：基本工资、津贴补贴、绩效工资、机关事业单位基本养老保险缴费、职业年金缴费、职工基本医疗保险缴费、其他社会保障缴费、住房公积金、其他工资福利支出。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（二）公用经费6.08万元。主要包括：办公费、手续费、劳务费、工会经费、其他商品和服务支出。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七、一般公共预算财政拨款支出决算情况说明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般公共预算财政拨款支出决算反映的是一般公共预算财政拨款支出的总体情况，既包括使用本年从本级财政取得的一般公共预算财政拨款发生的支出，也包括使用上年度一般公共预算财政拨款结转和结余资金发生的支出。江苏省社会组织服务中心2020年度一般公共预算财政拨款支出119万元，与上年相比增加119万元，去年决算数为0万元，无法计算增减比率。主要原因是省社会组织服务中心于2019年底成立，2019年无决算数据。</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八、一般公共预算财政拨款基本支出决算情况说明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江苏省社会组织服务中心2020年度一般公共预算财政拨款基本支出119万元，其中：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（一）人员经费112.92万元。主要包括：基本工资、津贴补贴、绩效工资、机关事业单位基本养老保险缴费、职业年金缴费、职工基本医疗保险缴费、其他社会保障缴费、住房公积金、其他工资福利支出。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（二）公用经费6.08万元。主要包括：办公费、手续费、劳务费、工会经费、其他商品和服务支出。</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九、一般公共预算财政拨款“三公”经费、会议费、培训费支出情况说明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江苏省社会组织服务中心2020年度一般公共预算拨款安排的“三公”经费决算支出中，因公出国（境）费支出0万元，占“三公”经费的0%；公务用车购置及运行维护费支出0万元，占“三公”经费的0%；公务接待费支出0万元，占“三公”经费的0%。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1．因公出国（境）费决算支出0万元，年初预算数为0万元，无法计算完成比率，与上年决算数相同，与本年预算数相同，全年使用一般公共预算拨款支出安排的出国（境）团组0个，累计0人次。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2．公务用车购置及运行维护费支出0万元。其中：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（1）公务用车购置决算支出0万元，年初预算数为0万元，无法计算完成比率，与上年决算数相同，与本年预算数相同。本年度使用一般公共预算拨款购置公务用车0辆。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rPr>
      </w:pPr>
      <w:r>
        <w:rPr>
          <w:rFonts w:ascii="仿宋" w:hAnsi="仿宋" w:eastAsia="仿宋" w:cs="仿宋"/>
        </w:rPr>
        <w:t>（2）公务用车运行维护费决算支出0万元，年初预算数为0万元，无法计算完成比率，与上年决算数相同，与本年预算数相同。2020年度使用一般公共预算拨款开支运行维护费的公务用车保有量0辆。</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3．公务接待费0万元，年初预算数为0万元，无法计算完成比率，与上年决算数相同，与本年预算数相同，其中：国内公务接待支出0万元，接待0批次，0人次国（境）外公务接待支出0万元，接待0批次，0人次。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江苏省社会组织服务中心2020年度一般公共预算拨款安排的会议费决算支出0万元，年初预算数为0万元，无法计算完成比率，与上年决算数相同，与本年预算数相同，2020年度全年召开会议0个，参加会议0人次。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江苏省社会组织服务中心2020年度一般公共预算拨款安排的培训费决算支出0万元，年初预算数为0万元，无法计算完成比率，与上年决算数相同，与本年预算数相同，2020年度全年组织培训0个，组织培训0人次。</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十、政府性基金预算财政拨款收入支出决算情况说明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江苏省社会组织服务中心2020年度政府性基金预算财政拨款年初结转和结余0万元，本年收入决算0万元，本年支出决算0万元，年末结转和结余0万元。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十一、一般公共预算机关运行经费支出决算情况说明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2020年度本单位机关运行经费支出0万元，与上年决算数相同。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十二、政府采购支出决算情况说明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十三、国有资产占用情况说明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0辆，其中，副部（省）级及以上领导用车0辆、主要领导干部用车0辆、机要通信用车0辆、应急保障用车0辆、执法执勤用车0辆、特种专业用车0辆、离退休干部用车0辆，其他用车0辆。单价50万元（含）以上的通用设备0台（套），单价100万元（含）以上的专用设备0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bCs/>
          <w:lang w:val="en-US"/>
        </w:rPr>
      </w:pPr>
      <w:r>
        <w:rPr>
          <w:rFonts w:ascii="仿宋" w:hAnsi="仿宋" w:eastAsia="仿宋" w:cs="仿宋"/>
          <w:b/>
        </w:rPr>
        <w:t>十四、预算绩效评价工作开展情况</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2020年度，本单位共0个项目开展了财政重点绩效评价，涉及财政性资金合计0万元；本单位未开展财政整体支出重点绩效评价，涉及财政性资金0万元；本单位共0个项目开展了单位绩效自评，涉及财政性资金合计0万元。</w:t>
      </w:r>
    </w:p>
    <w:p>
      <w:pPr>
        <w:pStyle w:val="8"/>
        <w:spacing w:line="235" w:lineRule="auto"/>
        <w:ind w:left="669" w:leftChars="300" w:right="2414" w:hanging="9" w:firstLineChars="0"/>
        <w:jc w:val="both"/>
        <w:rPr>
          <w:rFonts w:hint="eastAsia" w:ascii="仿宋" w:hAnsi="仿宋" w:eastAsia="仿宋" w:cs="仿宋"/>
        </w:rPr>
        <w:sectPr>
          <w:footerReference r:id="rId19" w:type="default"/>
          <w:pgSz w:w="11906" w:h="16838"/>
          <w:pgMar w:top="1580" w:right="700" w:bottom="770" w:left="1020" w:header="283"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lang w:val="en-US" w:eastAsia="zh-CN"/>
        </w:rPr>
      </w:pPr>
    </w:p>
    <w:p>
      <w:pPr>
        <w:pStyle w:val="8"/>
        <w:tabs>
          <w:tab w:val="left" w:pos="3864"/>
          <w:tab w:val="left" w:pos="6248"/>
          <w:tab w:val="left" w:pos="7386"/>
        </w:tabs>
        <w:spacing w:before="1" w:after="0" w:line="336" w:lineRule="auto"/>
        <w:ind w:left="348" w:right="420" w:firstLine="640"/>
        <w:jc w:val="both"/>
        <w:rPr>
          <w:rFonts w:hint="eastAsia" w:ascii="仿宋" w:hAnsi="仿宋" w:eastAsia="仿宋" w:cs="仿宋"/>
          <w:lang w:val="en-US" w:eastAsia="zh-CN"/>
        </w:rPr>
        <w:sectPr>
          <w:footerReference r:id="rId20" w:type="default"/>
          <w:pgSz w:w="11906" w:h="16838"/>
          <w:pgMar w:top="1580" w:right="820" w:bottom="770" w:left="900" w:header="17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pP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一、财政拨款收入</w:t>
      </w:r>
      <w:r>
        <w:rPr>
          <w:rFonts w:ascii="仿宋" w:hAnsi="仿宋" w:eastAsia="仿宋" w:cs="仿宋"/>
          <w:b/>
        </w:rPr>
        <w:t>：</w:t>
      </w:r>
      <w:r>
        <w:rPr>
          <w:rFonts w:hint="eastAsia" w:ascii="仿宋" w:hAnsi="仿宋" w:eastAsia="仿宋" w:cs="仿宋"/>
        </w:rPr>
        <w:t>指单位本年度从同级财政部门取得的各类财政拨款。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二、上级补助收入</w:t>
      </w:r>
      <w:r>
        <w:rPr>
          <w:rFonts w:ascii="仿宋" w:hAnsi="仿宋" w:eastAsia="仿宋" w:cs="仿宋"/>
          <w:b/>
        </w:rPr>
        <w:t>：</w:t>
      </w:r>
      <w:r>
        <w:rPr>
          <w:rFonts w:hint="eastAsia" w:ascii="仿宋" w:hAnsi="仿宋" w:eastAsia="仿宋" w:cs="仿宋"/>
        </w:rPr>
        <w:t>指事业单位从主管部门和上级单位取得的非财政补助收入。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三、事业收入</w:t>
      </w:r>
      <w:r>
        <w:rPr>
          <w:rFonts w:ascii="仿宋" w:hAnsi="仿宋" w:eastAsia="仿宋" w:cs="仿宋"/>
          <w:b/>
        </w:rPr>
        <w:t>：</w:t>
      </w:r>
      <w:r>
        <w:rPr>
          <w:rFonts w:hint="eastAsia" w:ascii="仿宋" w:hAnsi="仿宋" w:eastAsia="仿宋" w:cs="仿宋"/>
        </w:rPr>
        <w:t>指事业单位开展专业业务活动及其辅助活动取得的收入，事业单位收到的财政专户实际核拨的教育收费等资金在此反映。</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四、经营收入</w:t>
      </w:r>
      <w:r>
        <w:rPr>
          <w:rFonts w:ascii="仿宋" w:hAnsi="仿宋" w:eastAsia="仿宋" w:cs="仿宋"/>
          <w:b/>
        </w:rPr>
        <w:t>：</w:t>
      </w:r>
      <w:r>
        <w:rPr>
          <w:rFonts w:hint="eastAsia" w:ascii="仿宋" w:hAnsi="仿宋" w:eastAsia="仿宋" w:cs="仿宋"/>
        </w:rPr>
        <w:t>指事业单位在专业业务活动及其辅助活动之外开展非独立核算经营活动取得的收入。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五、附属单位上缴收入</w:t>
      </w:r>
      <w:r>
        <w:rPr>
          <w:rFonts w:ascii="仿宋" w:hAnsi="仿宋" w:eastAsia="仿宋" w:cs="仿宋"/>
          <w:b/>
        </w:rPr>
        <w:t>：</w:t>
      </w:r>
      <w:r>
        <w:rPr>
          <w:rFonts w:hint="eastAsia" w:ascii="仿宋" w:hAnsi="仿宋" w:eastAsia="仿宋" w:cs="仿宋"/>
        </w:rPr>
        <w:t>指事业单位附属独立核算单位按照有关规定上缴的收入。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六、其他收入</w:t>
      </w:r>
      <w:r>
        <w:rPr>
          <w:rFonts w:ascii="仿宋" w:hAnsi="仿宋" w:eastAsia="仿宋" w:cs="仿宋"/>
          <w:b/>
        </w:rPr>
        <w:t>：</w:t>
      </w:r>
      <w:r>
        <w:rPr>
          <w:rFonts w:hint="eastAsia" w:ascii="仿宋" w:hAnsi="仿宋" w:eastAsia="仿宋" w:cs="仿宋"/>
        </w:rPr>
        <w:t>指单位取得的除上述“财政拨款收入”、“事业收入”、“经营收入”等以外的各项收入。</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七、使用非财政拨款结余</w:t>
      </w:r>
      <w:r>
        <w:rPr>
          <w:rFonts w:ascii="仿宋" w:hAnsi="仿宋" w:eastAsia="仿宋" w:cs="仿宋"/>
          <w:b/>
        </w:rPr>
        <w:t>：</w:t>
      </w:r>
      <w:r>
        <w:rPr>
          <w:rFonts w:hint="eastAsia" w:ascii="仿宋" w:hAnsi="仿宋" w:eastAsia="仿宋" w:cs="仿宋"/>
        </w:rPr>
        <w:t>指事业单位使用非财政拨款结余（原事业基金）弥补当年收支差额的数额。</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八、年初结转和结余</w:t>
      </w:r>
      <w:r>
        <w:rPr>
          <w:rFonts w:ascii="仿宋" w:hAnsi="仿宋" w:eastAsia="仿宋" w:cs="仿宋"/>
          <w:b/>
        </w:rPr>
        <w:t>：</w:t>
      </w:r>
      <w:r>
        <w:rPr>
          <w:rFonts w:hint="eastAsia" w:ascii="仿宋" w:hAnsi="仿宋" w:eastAsia="仿宋" w:cs="仿宋"/>
        </w:rPr>
        <w:t>指单位上年结转本年使用的基本支出结转、项目支出结转和结余和经营结余。</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九、结余分配</w:t>
      </w:r>
      <w:r>
        <w:rPr>
          <w:rFonts w:ascii="仿宋" w:hAnsi="仿宋" w:eastAsia="仿宋" w:cs="仿宋"/>
          <w:b/>
        </w:rPr>
        <w:t>：</w:t>
      </w:r>
      <w:r>
        <w:rPr>
          <w:rFonts w:hint="eastAsia" w:ascii="仿宋" w:hAnsi="仿宋" w:eastAsia="仿宋" w:cs="仿宋"/>
        </w:rPr>
        <w:t>指事业单位按规定对非财政拨款结余资金提取的专用基金、缴纳的所得税和转入非财政拨款结余等。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十、年末结转和结余资金</w:t>
      </w:r>
      <w:r>
        <w:rPr>
          <w:rFonts w:ascii="仿宋" w:hAnsi="仿宋" w:eastAsia="仿宋" w:cs="仿宋"/>
          <w:b/>
        </w:rPr>
        <w:t>：</w:t>
      </w:r>
      <w:r>
        <w:rPr>
          <w:rFonts w:hint="eastAsia" w:ascii="仿宋" w:hAnsi="仿宋" w:eastAsia="仿宋" w:cs="仿宋"/>
        </w:rPr>
        <w:t>指本年度或以前年度预算安排、因客观条件发生变化无法按原计划实施，需要延迟到以后年度按有关规定继续使用的资金。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十一、基本支出</w:t>
      </w:r>
      <w:r>
        <w:rPr>
          <w:rFonts w:ascii="仿宋" w:hAnsi="仿宋" w:eastAsia="仿宋" w:cs="仿宋"/>
          <w:b/>
        </w:rPr>
        <w:t>：</w:t>
      </w:r>
      <w:r>
        <w:rPr>
          <w:rFonts w:hint="eastAsia" w:ascii="仿宋" w:hAnsi="仿宋" w:eastAsia="仿宋" w:cs="仿宋"/>
        </w:rPr>
        <w:t>指为保障机构正常运转、完成日常工作任务而发生的支出，包括人员经费和公用经费。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十二、项目支出</w:t>
      </w:r>
      <w:r>
        <w:rPr>
          <w:rFonts w:ascii="仿宋" w:hAnsi="仿宋" w:eastAsia="仿宋" w:cs="仿宋"/>
          <w:b/>
        </w:rPr>
        <w:t>：</w:t>
      </w:r>
      <w:r>
        <w:rPr>
          <w:rFonts w:hint="eastAsia" w:ascii="仿宋" w:hAnsi="仿宋" w:eastAsia="仿宋" w:cs="仿宋"/>
        </w:rPr>
        <w:t>指在为完成特定的工作任务和事业发展目标所发生的支出。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十三、上缴上级支出</w:t>
      </w:r>
      <w:r>
        <w:rPr>
          <w:rFonts w:ascii="仿宋" w:hAnsi="仿宋" w:eastAsia="仿宋" w:cs="仿宋"/>
          <w:b/>
        </w:rPr>
        <w:t>：</w:t>
      </w:r>
      <w:r>
        <w:rPr>
          <w:rFonts w:hint="eastAsia" w:ascii="仿宋" w:hAnsi="仿宋" w:eastAsia="仿宋" w:cs="仿宋"/>
        </w:rPr>
        <w:t>指事业单位按照财政部门和主管部门的规定上缴上级单位的支出。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十四、经营支出</w:t>
      </w:r>
      <w:r>
        <w:rPr>
          <w:rFonts w:ascii="仿宋" w:hAnsi="仿宋" w:eastAsia="仿宋" w:cs="仿宋"/>
          <w:b/>
        </w:rPr>
        <w:t>：</w:t>
      </w:r>
      <w:r>
        <w:rPr>
          <w:rFonts w:hint="eastAsia" w:ascii="仿宋" w:hAnsi="仿宋" w:eastAsia="仿宋" w:cs="仿宋"/>
        </w:rPr>
        <w:t>指事业单位在专业业务活动及其辅助活动之外开展非独立核算经营活动发生的支出。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十五、对附属单位补助支出</w:t>
      </w:r>
      <w:r>
        <w:rPr>
          <w:rFonts w:ascii="仿宋" w:hAnsi="仿宋" w:eastAsia="仿宋" w:cs="仿宋"/>
          <w:b/>
        </w:rPr>
        <w:t>：</w:t>
      </w:r>
      <w:r>
        <w:rPr>
          <w:rFonts w:hint="eastAsia" w:ascii="仿宋" w:hAnsi="仿宋" w:eastAsia="仿宋" w:cs="仿宋"/>
        </w:rPr>
        <w:t>指事业单位用财政拨款收入之外的收入对附属单位补助发生的支出。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十六、“三公”经费</w:t>
      </w:r>
      <w:r>
        <w:rPr>
          <w:rFonts w:ascii="仿宋" w:hAnsi="仿宋" w:eastAsia="仿宋" w:cs="仿宋"/>
          <w:b/>
        </w:rPr>
        <w:t>：</w:t>
      </w:r>
      <w:r>
        <w:rPr>
          <w:rFonts w:hint="eastAsia" w:ascii="仿宋" w:hAnsi="仿宋" w:eastAsia="仿宋" w:cs="仿宋"/>
        </w:rPr>
        <w:t>指单位用一般公共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公用经费支出，包括办公及印刷费、邮电费、差旅费、会议费、福利费、日常维修费、专用材料及一般设备购置费、办公用房水电费、办公用房取暖费、办公用房物业管理费、公务用车运行维护费及其他费用。</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十八、社会保障和就业支出(类)民政管理事务(款)社会组织管理(项)</w:t>
      </w:r>
      <w:r>
        <w:rPr>
          <w:rFonts w:ascii="仿宋" w:hAnsi="仿宋" w:eastAsia="仿宋" w:cs="仿宋"/>
          <w:b/>
        </w:rPr>
        <w:t>：</w:t>
      </w:r>
      <w:r>
        <w:rPr>
          <w:rFonts w:hint="eastAsia" w:ascii="仿宋" w:hAnsi="仿宋" w:eastAsia="仿宋" w:cs="仿宋"/>
        </w:rPr>
        <w:t>反映社会组织管理、支持社会组织发展等方面的支出。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十九、社会保障和就业支出(类)行政事业单位养老支出(款)机关事业单位基本养老保险缴费支出(项)</w:t>
      </w:r>
      <w:r>
        <w:rPr>
          <w:rFonts w:ascii="仿宋" w:hAnsi="仿宋" w:eastAsia="仿宋" w:cs="仿宋"/>
          <w:b/>
        </w:rPr>
        <w:t>：</w:t>
      </w:r>
      <w:r>
        <w:rPr>
          <w:rFonts w:hint="eastAsia" w:ascii="仿宋" w:hAnsi="仿宋" w:eastAsia="仿宋" w:cs="仿宋"/>
        </w:rPr>
        <w:t>反映机关事业单位实施养老保险制度由单位缴纳的基本养老保险费支出。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二十、社会保障和就业支出(类)行政事业单位养老支出(款)机关事业单位职业年金缴费支出(项)</w:t>
      </w:r>
      <w:r>
        <w:rPr>
          <w:rFonts w:ascii="仿宋" w:hAnsi="仿宋" w:eastAsia="仿宋" w:cs="仿宋"/>
          <w:b/>
        </w:rPr>
        <w:t>：</w:t>
      </w:r>
      <w:r>
        <w:rPr>
          <w:rFonts w:hint="eastAsia" w:ascii="仿宋" w:hAnsi="仿宋" w:eastAsia="仿宋" w:cs="仿宋"/>
        </w:rPr>
        <w:t>反映机关事业单位实施养老保险制度由单位实际缴纳的职业年金支出。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二十二、住房保障支出(类)住房改革支出(款)提租补贴(项)</w:t>
      </w:r>
      <w:r>
        <w:rPr>
          <w:rFonts w:ascii="仿宋" w:hAnsi="仿宋" w:eastAsia="仿宋" w:cs="仿宋"/>
          <w:b/>
        </w:rPr>
        <w:t>：</w:t>
      </w:r>
      <w:r>
        <w:rPr>
          <w:rFonts w:hint="eastAsia" w:ascii="仿宋" w:hAnsi="仿宋" w:eastAsia="仿宋" w:cs="仿宋"/>
        </w:rPr>
        <w:t>反映按房改政策规定的标准，行政事业单位向职工（含离退休人员）发放的租金补贴。</w:t>
      </w:r>
    </w:p>
    <w:sectPr>
      <w:type w:val="continuous"/>
      <w:pgSz w:w="11906" w:h="16838"/>
      <w:pgMar w:top="1580" w:right="820" w:bottom="770" w:left="900" w:header="0" w:footer="280" w:gutter="0"/>
      <w:pgBorders>
        <w:top w:val="none" w:color="auto" w:sz="0" w:space="0"/>
        <w:left w:val="none" w:color="auto" w:sz="0" w:space="0"/>
        <w:bottom w:val="none" w:color="auto" w:sz="0" w:space="0"/>
        <w:right w:val="none" w:color="auto"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ED5jvy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QcmF+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dQmwA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KTZIrm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G6/1sC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3QjNNugEAAFg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lP+z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0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8"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HB5Od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wps:txbx>
                    <wps:bodyPr wrap="none" lIns="0" tIns="0" rIns="0" bIns="0" upright="0">
                      <a:spAutoFit/>
                    </wps:bodyPr>
                  </wps:wsp>
                </a:graphicData>
              </a:graphic>
            </wp:anchor>
          </w:drawing>
        </mc:Choice>
        <mc:Fallback>
          <w:pict>
            <v:shape id="文本框 104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DEGyNL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CRgqf5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AOfdcy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6p&#10;ebnPAAAABQEAAA8AAAAAAAAAAQAgAAAAIgAAAGRycy9kb3ducmV2LnhtbFBLAQIUABQAAAAIAIdO&#10;4kBMWPedugEAAFcDAAAOAAAAAAAAAAEAIAAAAB4BAABkcnMvZTJvRG9jLnhtbFBLBQYAAAAABgAG&#10;AFkBAABKBQ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LUO7025AQAAVw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zXshsb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w+lwirgBAABYAwAADgAAAAAAAAABACAAAAAeAQAAZHJzL2Uyb0RvYy54bWxQSwUGAAAAAAYABgBZ&#10;AQAASAU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ql5&#10;uc8AAAAFAQAADwAAAAAAAAABACAAAAAiAAAAZHJzL2Rvd25yZXYueG1sUEsBAhQAFAAAAAgAh07i&#10;QAmPhPO5AQAAWAMAAA4AAAAAAAAAAQAgAAAAHgEAAGRycy9lMm9Eb2MueG1sUEsFBgAAAAAGAAYA&#10;WQEAAEkFAAAAAA==&#10;">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江苏省社会组织服务中心</w:t>
    </w:r>
    <w:r>
      <w:t>2020年度部门决算公开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3D8E2"/>
    <w:multiLevelType w:val="singleLevel"/>
    <w:tmpl w:val="9A63D8E2"/>
    <w:lvl w:ilvl="0" w:tentative="0">
      <w:start w:val="2"/>
      <w:numFmt w:val="decimal"/>
      <w:lvlText w:val="%1."/>
      <w:lvlJc w:val="left"/>
      <w:pPr>
        <w:tabs>
          <w:tab w:val="left" w:pos="312"/>
        </w:tabs>
        <w:ind w:left="1058" w:leftChars="0" w:firstLine="0" w:firstLineChars="0"/>
      </w:pPr>
    </w:lvl>
  </w:abstractNum>
  <w:abstractNum w:abstractNumId="1">
    <w:nsid w:val="D35CEB36"/>
    <w:multiLevelType w:val="singleLevel"/>
    <w:tmpl w:val="D35CEB36"/>
    <w:lvl w:ilvl="0" w:tentative="0">
      <w:start w:val="2"/>
      <w:numFmt w:val="decimal"/>
      <w:lvlText w:val="%1."/>
      <w:lvlJc w:val="left"/>
      <w:pPr>
        <w:tabs>
          <w:tab w:val="left" w:pos="312"/>
        </w:tabs>
        <w:ind w:left="498" w:leftChars="0" w:firstLine="0" w:firstLineChars="0"/>
      </w:pPr>
    </w:lvl>
  </w:abstractNum>
  <w:abstractNum w:abstractNumId="2">
    <w:nsid w:val="2B7DC955"/>
    <w:multiLevelType w:val="singleLevel"/>
    <w:tmpl w:val="2B7DC955"/>
    <w:lvl w:ilvl="0" w:tentative="0">
      <w:start w:val="2"/>
      <w:numFmt w:val="decimal"/>
      <w:lvlText w:val="%1."/>
      <w:lvlJc w:val="left"/>
      <w:pPr>
        <w:tabs>
          <w:tab w:val="left" w:pos="312"/>
        </w:tabs>
        <w:ind w:left="669" w:leftChars="0" w:firstLine="0" w:firstLineChars="0"/>
      </w:pPr>
    </w:lvl>
  </w:abstractNum>
  <w:abstractNum w:abstractNumId="3">
    <w:nsid w:val="325C14DC"/>
    <w:multiLevelType w:val="singleLevel"/>
    <w:tmpl w:val="325C14DC"/>
    <w:lvl w:ilvl="0" w:tentative="0">
      <w:start w:val="2"/>
      <w:numFmt w:val="decimal"/>
      <w:lvlText w:val="%1."/>
      <w:lvlJc w:val="left"/>
      <w:pPr>
        <w:tabs>
          <w:tab w:val="left" w:pos="312"/>
        </w:tabs>
      </w:pPr>
    </w:lvl>
  </w:abstractNum>
  <w:abstractNum w:abstractNumId="4">
    <w:nsid w:val="38CB0B28"/>
    <w:multiLevelType w:val="singleLevel"/>
    <w:tmpl w:val="38CB0B28"/>
    <w:lvl w:ilvl="0" w:tentative="0">
      <w:start w:val="2"/>
      <w:numFmt w:val="decimal"/>
      <w:lvlText w:val="%1."/>
      <w:lvlJc w:val="left"/>
      <w:pPr>
        <w:tabs>
          <w:tab w:val="left" w:pos="312"/>
        </w:tabs>
      </w:pPr>
    </w:lvl>
  </w:abstractNum>
  <w:abstractNum w:abstractNumId="5">
    <w:nsid w:val="471B8B78"/>
    <w:multiLevelType w:val="singleLevel"/>
    <w:tmpl w:val="471B8B78"/>
    <w:lvl w:ilvl="0" w:tentative="0">
      <w:start w:val="2"/>
      <w:numFmt w:val="decimal"/>
      <w:lvlText w:val="%1."/>
      <w:lvlJc w:val="left"/>
      <w:pPr>
        <w:tabs>
          <w:tab w:val="left" w:pos="312"/>
        </w:tabs>
        <w:ind w:left="1197" w:leftChars="0" w:firstLine="0" w:firstLineChars="0"/>
      </w:pPr>
    </w:lvl>
  </w:abstractNum>
  <w:abstractNum w:abstractNumId="6">
    <w:nsid w:val="69700013"/>
    <w:multiLevelType w:val="singleLevel"/>
    <w:tmpl w:val="69700013"/>
    <w:lvl w:ilvl="0" w:tentative="0">
      <w:start w:val="2"/>
      <w:numFmt w:val="decimal"/>
      <w:lvlText w:val="%1."/>
      <w:lvlJc w:val="left"/>
      <w:pPr>
        <w:tabs>
          <w:tab w:val="left" w:pos="312"/>
        </w:tabs>
      </w:pPr>
    </w:lvl>
  </w:abstractNum>
  <w:abstractNum w:abstractNumId="7">
    <w:nsid w:val="73305834"/>
    <w:multiLevelType w:val="singleLevel"/>
    <w:tmpl w:val="73305834"/>
    <w:lvl w:ilvl="0" w:tentative="0">
      <w:start w:val="2"/>
      <w:numFmt w:val="decimal"/>
      <w:lvlText w:val="%1."/>
      <w:lvlJc w:val="left"/>
      <w:pPr>
        <w:tabs>
          <w:tab w:val="left" w:pos="312"/>
        </w:tabs>
      </w:pPr>
      <w:rPr>
        <w:rFonts w:hint="default"/>
      </w:rPr>
    </w:lvl>
  </w:abstractNum>
  <w:num w:numId="1">
    <w:abstractNumId w:val="1"/>
  </w:num>
  <w:num w:numId="2">
    <w:abstractNumId w:val="6"/>
  </w:num>
  <w:num w:numId="3">
    <w:abstractNumId w:val="0"/>
  </w:num>
  <w:num w:numId="4">
    <w:abstractNumId w:val="2"/>
  </w:num>
  <w:num w:numId="5">
    <w:abstractNumId w:val="3"/>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4984"/>
    <w:rsid w:val="00071789"/>
    <w:rsid w:val="000F12AB"/>
    <w:rsid w:val="001C31F9"/>
    <w:rsid w:val="00407CA7"/>
    <w:rsid w:val="00413AD8"/>
    <w:rsid w:val="00671ED7"/>
    <w:rsid w:val="00672164"/>
    <w:rsid w:val="00867423"/>
    <w:rsid w:val="008B5B05"/>
    <w:rsid w:val="009965EA"/>
    <w:rsid w:val="00A6752E"/>
    <w:rsid w:val="00BD7F33"/>
    <w:rsid w:val="00C15920"/>
    <w:rsid w:val="00C82582"/>
    <w:rsid w:val="00FA3233"/>
    <w:rsid w:val="010F1E77"/>
    <w:rsid w:val="01875334"/>
    <w:rsid w:val="018E7014"/>
    <w:rsid w:val="019803DB"/>
    <w:rsid w:val="01C22655"/>
    <w:rsid w:val="01D4677F"/>
    <w:rsid w:val="01F17DF5"/>
    <w:rsid w:val="023277C7"/>
    <w:rsid w:val="02420B21"/>
    <w:rsid w:val="026604FF"/>
    <w:rsid w:val="027F398B"/>
    <w:rsid w:val="02A822D0"/>
    <w:rsid w:val="02B14230"/>
    <w:rsid w:val="02D43672"/>
    <w:rsid w:val="02DD471D"/>
    <w:rsid w:val="02E8449D"/>
    <w:rsid w:val="02F513AC"/>
    <w:rsid w:val="03121471"/>
    <w:rsid w:val="033F3F8A"/>
    <w:rsid w:val="03673847"/>
    <w:rsid w:val="03690F36"/>
    <w:rsid w:val="03793778"/>
    <w:rsid w:val="039F7320"/>
    <w:rsid w:val="03F86EFB"/>
    <w:rsid w:val="04156348"/>
    <w:rsid w:val="044626FD"/>
    <w:rsid w:val="044E689B"/>
    <w:rsid w:val="045E5FB7"/>
    <w:rsid w:val="0495610D"/>
    <w:rsid w:val="04DF580C"/>
    <w:rsid w:val="04EA46EB"/>
    <w:rsid w:val="05185546"/>
    <w:rsid w:val="052126A9"/>
    <w:rsid w:val="05247FC3"/>
    <w:rsid w:val="05346113"/>
    <w:rsid w:val="05423E9C"/>
    <w:rsid w:val="05600A24"/>
    <w:rsid w:val="057525F6"/>
    <w:rsid w:val="05843580"/>
    <w:rsid w:val="058C526F"/>
    <w:rsid w:val="05AB4AE4"/>
    <w:rsid w:val="05BD2716"/>
    <w:rsid w:val="05C73A91"/>
    <w:rsid w:val="05DB339C"/>
    <w:rsid w:val="05FE3016"/>
    <w:rsid w:val="06006806"/>
    <w:rsid w:val="060D1C4C"/>
    <w:rsid w:val="061C50DF"/>
    <w:rsid w:val="06542957"/>
    <w:rsid w:val="0681129C"/>
    <w:rsid w:val="0695552F"/>
    <w:rsid w:val="06C87B62"/>
    <w:rsid w:val="072A453E"/>
    <w:rsid w:val="073A470E"/>
    <w:rsid w:val="07520D7A"/>
    <w:rsid w:val="075575FE"/>
    <w:rsid w:val="07580A5A"/>
    <w:rsid w:val="07656047"/>
    <w:rsid w:val="077C711D"/>
    <w:rsid w:val="079361A1"/>
    <w:rsid w:val="07C509DD"/>
    <w:rsid w:val="08031AA7"/>
    <w:rsid w:val="0806186F"/>
    <w:rsid w:val="083B723A"/>
    <w:rsid w:val="08582C83"/>
    <w:rsid w:val="0860441B"/>
    <w:rsid w:val="08913758"/>
    <w:rsid w:val="08A333FC"/>
    <w:rsid w:val="08D342E7"/>
    <w:rsid w:val="08FC0605"/>
    <w:rsid w:val="09165D85"/>
    <w:rsid w:val="096204B4"/>
    <w:rsid w:val="096B0C35"/>
    <w:rsid w:val="09891979"/>
    <w:rsid w:val="098926B4"/>
    <w:rsid w:val="09984875"/>
    <w:rsid w:val="09E82283"/>
    <w:rsid w:val="09EB3C7D"/>
    <w:rsid w:val="09F032D5"/>
    <w:rsid w:val="09F45579"/>
    <w:rsid w:val="09FE0C6E"/>
    <w:rsid w:val="0A112BB9"/>
    <w:rsid w:val="0A1D215F"/>
    <w:rsid w:val="0A2639C8"/>
    <w:rsid w:val="0A3F45FE"/>
    <w:rsid w:val="0A7F08D2"/>
    <w:rsid w:val="0A964BFD"/>
    <w:rsid w:val="0ADA70C2"/>
    <w:rsid w:val="0AFD463B"/>
    <w:rsid w:val="0B05614C"/>
    <w:rsid w:val="0B134992"/>
    <w:rsid w:val="0B160131"/>
    <w:rsid w:val="0B392278"/>
    <w:rsid w:val="0B813D25"/>
    <w:rsid w:val="0B89728A"/>
    <w:rsid w:val="0BAC43D1"/>
    <w:rsid w:val="0BCF6DAD"/>
    <w:rsid w:val="0BF41C52"/>
    <w:rsid w:val="0C047996"/>
    <w:rsid w:val="0C2215AA"/>
    <w:rsid w:val="0C6536DB"/>
    <w:rsid w:val="0C797590"/>
    <w:rsid w:val="0CD230A9"/>
    <w:rsid w:val="0CD65166"/>
    <w:rsid w:val="0CDB2BBC"/>
    <w:rsid w:val="0CE84C0B"/>
    <w:rsid w:val="0CEF2113"/>
    <w:rsid w:val="0CEF2581"/>
    <w:rsid w:val="0D05225F"/>
    <w:rsid w:val="0D261419"/>
    <w:rsid w:val="0D617032"/>
    <w:rsid w:val="0D6C5D61"/>
    <w:rsid w:val="0D760FDB"/>
    <w:rsid w:val="0D7F345D"/>
    <w:rsid w:val="0DAC0D2B"/>
    <w:rsid w:val="0DD06A00"/>
    <w:rsid w:val="0DFC3CDF"/>
    <w:rsid w:val="0DFD772C"/>
    <w:rsid w:val="0DFF5826"/>
    <w:rsid w:val="0E1F1C4F"/>
    <w:rsid w:val="0E27451D"/>
    <w:rsid w:val="0E5E7568"/>
    <w:rsid w:val="0E662847"/>
    <w:rsid w:val="0E94230E"/>
    <w:rsid w:val="0EFE25F0"/>
    <w:rsid w:val="0F807B33"/>
    <w:rsid w:val="0F8F17E6"/>
    <w:rsid w:val="0FB02B15"/>
    <w:rsid w:val="0FB21F29"/>
    <w:rsid w:val="0FB47D1E"/>
    <w:rsid w:val="0FCE598D"/>
    <w:rsid w:val="0FEF37CA"/>
    <w:rsid w:val="100928FC"/>
    <w:rsid w:val="1027035F"/>
    <w:rsid w:val="102A69EF"/>
    <w:rsid w:val="103D6600"/>
    <w:rsid w:val="106204CB"/>
    <w:rsid w:val="10A90FB7"/>
    <w:rsid w:val="11092167"/>
    <w:rsid w:val="110C3973"/>
    <w:rsid w:val="110D47B0"/>
    <w:rsid w:val="11110225"/>
    <w:rsid w:val="111930E1"/>
    <w:rsid w:val="11252430"/>
    <w:rsid w:val="1143676B"/>
    <w:rsid w:val="11471791"/>
    <w:rsid w:val="117C1012"/>
    <w:rsid w:val="11872569"/>
    <w:rsid w:val="11AB09B5"/>
    <w:rsid w:val="11C36B1F"/>
    <w:rsid w:val="11C52DC5"/>
    <w:rsid w:val="11F221C7"/>
    <w:rsid w:val="11F2605E"/>
    <w:rsid w:val="11F724E3"/>
    <w:rsid w:val="122227BF"/>
    <w:rsid w:val="12313173"/>
    <w:rsid w:val="12313682"/>
    <w:rsid w:val="128157F4"/>
    <w:rsid w:val="12B566A2"/>
    <w:rsid w:val="12C448B1"/>
    <w:rsid w:val="12F05187"/>
    <w:rsid w:val="13142710"/>
    <w:rsid w:val="1335650B"/>
    <w:rsid w:val="133E1FA2"/>
    <w:rsid w:val="139377AA"/>
    <w:rsid w:val="13A44407"/>
    <w:rsid w:val="13E2730D"/>
    <w:rsid w:val="13F85ED3"/>
    <w:rsid w:val="140626B0"/>
    <w:rsid w:val="140C350F"/>
    <w:rsid w:val="14207DA2"/>
    <w:rsid w:val="142101C9"/>
    <w:rsid w:val="143164E8"/>
    <w:rsid w:val="14341A45"/>
    <w:rsid w:val="146856DB"/>
    <w:rsid w:val="14933F94"/>
    <w:rsid w:val="14AA0D30"/>
    <w:rsid w:val="14BA3B44"/>
    <w:rsid w:val="1504334D"/>
    <w:rsid w:val="15085477"/>
    <w:rsid w:val="15664CCA"/>
    <w:rsid w:val="159E0364"/>
    <w:rsid w:val="15B93CF7"/>
    <w:rsid w:val="15D36B14"/>
    <w:rsid w:val="16053674"/>
    <w:rsid w:val="16146EAD"/>
    <w:rsid w:val="161A451C"/>
    <w:rsid w:val="161E395E"/>
    <w:rsid w:val="1621543B"/>
    <w:rsid w:val="163E1726"/>
    <w:rsid w:val="167F1A6B"/>
    <w:rsid w:val="16971C37"/>
    <w:rsid w:val="16BE14E7"/>
    <w:rsid w:val="16BE34FA"/>
    <w:rsid w:val="16ED632E"/>
    <w:rsid w:val="1717031D"/>
    <w:rsid w:val="175D47C3"/>
    <w:rsid w:val="17BC2D29"/>
    <w:rsid w:val="1808589E"/>
    <w:rsid w:val="18272F04"/>
    <w:rsid w:val="18473583"/>
    <w:rsid w:val="188B47DF"/>
    <w:rsid w:val="18916DBC"/>
    <w:rsid w:val="18AA3C15"/>
    <w:rsid w:val="18C07826"/>
    <w:rsid w:val="18C77023"/>
    <w:rsid w:val="18FD3C01"/>
    <w:rsid w:val="19195D82"/>
    <w:rsid w:val="194A216C"/>
    <w:rsid w:val="19517451"/>
    <w:rsid w:val="196D1879"/>
    <w:rsid w:val="199D3E22"/>
    <w:rsid w:val="19A676CD"/>
    <w:rsid w:val="19B34CEE"/>
    <w:rsid w:val="19C57B31"/>
    <w:rsid w:val="19CE54E8"/>
    <w:rsid w:val="19DA0E66"/>
    <w:rsid w:val="1A0868DE"/>
    <w:rsid w:val="1A386BB6"/>
    <w:rsid w:val="1A3E0B9C"/>
    <w:rsid w:val="1A641248"/>
    <w:rsid w:val="1A6B178B"/>
    <w:rsid w:val="1AD90120"/>
    <w:rsid w:val="1AEB035A"/>
    <w:rsid w:val="1AF0114F"/>
    <w:rsid w:val="1B136BC2"/>
    <w:rsid w:val="1B1C5890"/>
    <w:rsid w:val="1B363B76"/>
    <w:rsid w:val="1B394ECA"/>
    <w:rsid w:val="1B6F2A95"/>
    <w:rsid w:val="1B7011A6"/>
    <w:rsid w:val="1B894395"/>
    <w:rsid w:val="1BC84BF9"/>
    <w:rsid w:val="1BE008E5"/>
    <w:rsid w:val="1BE426E0"/>
    <w:rsid w:val="1BEF5EDC"/>
    <w:rsid w:val="1BF3045F"/>
    <w:rsid w:val="1C171374"/>
    <w:rsid w:val="1C4928ED"/>
    <w:rsid w:val="1C706707"/>
    <w:rsid w:val="1C8F4549"/>
    <w:rsid w:val="1C9B1094"/>
    <w:rsid w:val="1C9D7829"/>
    <w:rsid w:val="1CA25487"/>
    <w:rsid w:val="1CD53375"/>
    <w:rsid w:val="1CD770E1"/>
    <w:rsid w:val="1CDF3C35"/>
    <w:rsid w:val="1CED64E7"/>
    <w:rsid w:val="1CF655C7"/>
    <w:rsid w:val="1CF70CE3"/>
    <w:rsid w:val="1D0E4D1B"/>
    <w:rsid w:val="1D201166"/>
    <w:rsid w:val="1D5A4782"/>
    <w:rsid w:val="1D623037"/>
    <w:rsid w:val="1D672CB3"/>
    <w:rsid w:val="1D7C0925"/>
    <w:rsid w:val="1D817975"/>
    <w:rsid w:val="1D951979"/>
    <w:rsid w:val="1DAF110E"/>
    <w:rsid w:val="1DB61054"/>
    <w:rsid w:val="1DC94431"/>
    <w:rsid w:val="1E107489"/>
    <w:rsid w:val="1E120047"/>
    <w:rsid w:val="1E2456FC"/>
    <w:rsid w:val="1E387717"/>
    <w:rsid w:val="1E5227F5"/>
    <w:rsid w:val="1E5B1486"/>
    <w:rsid w:val="1E6C2CB1"/>
    <w:rsid w:val="1E86604F"/>
    <w:rsid w:val="1E8B2478"/>
    <w:rsid w:val="1EA55F87"/>
    <w:rsid w:val="1EBB4C20"/>
    <w:rsid w:val="1EC57AB3"/>
    <w:rsid w:val="1ECE40F1"/>
    <w:rsid w:val="1EF93282"/>
    <w:rsid w:val="1EFC05DA"/>
    <w:rsid w:val="1F242409"/>
    <w:rsid w:val="1F342CDC"/>
    <w:rsid w:val="1F5838AB"/>
    <w:rsid w:val="1F721347"/>
    <w:rsid w:val="1F724421"/>
    <w:rsid w:val="1F8B39C7"/>
    <w:rsid w:val="1FA17CC2"/>
    <w:rsid w:val="1FD866E0"/>
    <w:rsid w:val="1FEA282E"/>
    <w:rsid w:val="1FF92872"/>
    <w:rsid w:val="1FFE4976"/>
    <w:rsid w:val="200945DD"/>
    <w:rsid w:val="200B03E4"/>
    <w:rsid w:val="200E293D"/>
    <w:rsid w:val="201802D4"/>
    <w:rsid w:val="20571955"/>
    <w:rsid w:val="20594713"/>
    <w:rsid w:val="20632091"/>
    <w:rsid w:val="20900DEF"/>
    <w:rsid w:val="209B6228"/>
    <w:rsid w:val="20CA3D8E"/>
    <w:rsid w:val="20F544F1"/>
    <w:rsid w:val="2148186B"/>
    <w:rsid w:val="21776D10"/>
    <w:rsid w:val="218F0CEB"/>
    <w:rsid w:val="21EA64FE"/>
    <w:rsid w:val="223F0861"/>
    <w:rsid w:val="227347E3"/>
    <w:rsid w:val="227D4749"/>
    <w:rsid w:val="22B66C67"/>
    <w:rsid w:val="22B96619"/>
    <w:rsid w:val="22C9349D"/>
    <w:rsid w:val="22CF4CB9"/>
    <w:rsid w:val="22E5714F"/>
    <w:rsid w:val="23073234"/>
    <w:rsid w:val="23153D35"/>
    <w:rsid w:val="231859C4"/>
    <w:rsid w:val="233651B2"/>
    <w:rsid w:val="233C5C01"/>
    <w:rsid w:val="23655593"/>
    <w:rsid w:val="23873CA0"/>
    <w:rsid w:val="23A668C2"/>
    <w:rsid w:val="23F81D1C"/>
    <w:rsid w:val="24004EF0"/>
    <w:rsid w:val="24361C71"/>
    <w:rsid w:val="2455798C"/>
    <w:rsid w:val="246E4FE1"/>
    <w:rsid w:val="247771B1"/>
    <w:rsid w:val="24797436"/>
    <w:rsid w:val="24893698"/>
    <w:rsid w:val="248A0DA1"/>
    <w:rsid w:val="248B0DC9"/>
    <w:rsid w:val="24EF440E"/>
    <w:rsid w:val="25191A92"/>
    <w:rsid w:val="25290357"/>
    <w:rsid w:val="253C3B25"/>
    <w:rsid w:val="255F5B0A"/>
    <w:rsid w:val="25664EB1"/>
    <w:rsid w:val="2573629D"/>
    <w:rsid w:val="257B7E43"/>
    <w:rsid w:val="25A7022D"/>
    <w:rsid w:val="25E2513A"/>
    <w:rsid w:val="25F45922"/>
    <w:rsid w:val="25FD2F48"/>
    <w:rsid w:val="262E21CA"/>
    <w:rsid w:val="26713F63"/>
    <w:rsid w:val="26753166"/>
    <w:rsid w:val="267C5A99"/>
    <w:rsid w:val="2682148D"/>
    <w:rsid w:val="268D22B5"/>
    <w:rsid w:val="269240CC"/>
    <w:rsid w:val="269A47B4"/>
    <w:rsid w:val="26EC7F5B"/>
    <w:rsid w:val="27175BDC"/>
    <w:rsid w:val="271E071C"/>
    <w:rsid w:val="272B00CD"/>
    <w:rsid w:val="27381EB7"/>
    <w:rsid w:val="275E5E47"/>
    <w:rsid w:val="27924AA1"/>
    <w:rsid w:val="27962E21"/>
    <w:rsid w:val="279768B3"/>
    <w:rsid w:val="279A19EA"/>
    <w:rsid w:val="27B169B4"/>
    <w:rsid w:val="27B911ED"/>
    <w:rsid w:val="27D27F60"/>
    <w:rsid w:val="27E744FA"/>
    <w:rsid w:val="27F83B89"/>
    <w:rsid w:val="27FE146D"/>
    <w:rsid w:val="283E36E3"/>
    <w:rsid w:val="284675E2"/>
    <w:rsid w:val="284E0B22"/>
    <w:rsid w:val="28543497"/>
    <w:rsid w:val="28630B61"/>
    <w:rsid w:val="286C012F"/>
    <w:rsid w:val="289B5942"/>
    <w:rsid w:val="28B77612"/>
    <w:rsid w:val="28BB465F"/>
    <w:rsid w:val="29012269"/>
    <w:rsid w:val="291451AB"/>
    <w:rsid w:val="29157417"/>
    <w:rsid w:val="29285E0F"/>
    <w:rsid w:val="29505C1F"/>
    <w:rsid w:val="297158AB"/>
    <w:rsid w:val="29807966"/>
    <w:rsid w:val="29C02FCD"/>
    <w:rsid w:val="29C63807"/>
    <w:rsid w:val="29EB45D3"/>
    <w:rsid w:val="2A0312F6"/>
    <w:rsid w:val="2A07685B"/>
    <w:rsid w:val="2A2569D8"/>
    <w:rsid w:val="2A2F7528"/>
    <w:rsid w:val="2A3E46F3"/>
    <w:rsid w:val="2A7975D0"/>
    <w:rsid w:val="2A7B46D0"/>
    <w:rsid w:val="2A7E694A"/>
    <w:rsid w:val="2A88405F"/>
    <w:rsid w:val="2AC03F74"/>
    <w:rsid w:val="2ACD4D90"/>
    <w:rsid w:val="2ADC43C4"/>
    <w:rsid w:val="2AE07B98"/>
    <w:rsid w:val="2B1B36C2"/>
    <w:rsid w:val="2B7A42C1"/>
    <w:rsid w:val="2B82668D"/>
    <w:rsid w:val="2BBF0C02"/>
    <w:rsid w:val="2BDD28EB"/>
    <w:rsid w:val="2BF43094"/>
    <w:rsid w:val="2BF909AA"/>
    <w:rsid w:val="2C0757B7"/>
    <w:rsid w:val="2C660130"/>
    <w:rsid w:val="2CB9711D"/>
    <w:rsid w:val="2CF3363A"/>
    <w:rsid w:val="2D000C25"/>
    <w:rsid w:val="2D0F4DB4"/>
    <w:rsid w:val="2D2D36A5"/>
    <w:rsid w:val="2D365B16"/>
    <w:rsid w:val="2D5646DC"/>
    <w:rsid w:val="2D6D2070"/>
    <w:rsid w:val="2D9D0838"/>
    <w:rsid w:val="2DB652A4"/>
    <w:rsid w:val="2DB943B8"/>
    <w:rsid w:val="2DBB2419"/>
    <w:rsid w:val="2DBF7001"/>
    <w:rsid w:val="2DC26166"/>
    <w:rsid w:val="2DEA2F76"/>
    <w:rsid w:val="2DF041FF"/>
    <w:rsid w:val="2DF76E1B"/>
    <w:rsid w:val="2E10357E"/>
    <w:rsid w:val="2E177A17"/>
    <w:rsid w:val="2E1B30B3"/>
    <w:rsid w:val="2E3E487D"/>
    <w:rsid w:val="2E41360C"/>
    <w:rsid w:val="2E607FBE"/>
    <w:rsid w:val="2E615CAF"/>
    <w:rsid w:val="2E64456A"/>
    <w:rsid w:val="2E7264C5"/>
    <w:rsid w:val="2E7653DE"/>
    <w:rsid w:val="2E842882"/>
    <w:rsid w:val="2E8C6A3D"/>
    <w:rsid w:val="2EB508B8"/>
    <w:rsid w:val="2ED71BB4"/>
    <w:rsid w:val="2F04472C"/>
    <w:rsid w:val="2F066396"/>
    <w:rsid w:val="2F2655A5"/>
    <w:rsid w:val="2F30138F"/>
    <w:rsid w:val="2F5628C1"/>
    <w:rsid w:val="2F81781A"/>
    <w:rsid w:val="2FBA6AB0"/>
    <w:rsid w:val="2FDA5233"/>
    <w:rsid w:val="30186987"/>
    <w:rsid w:val="30396B3B"/>
    <w:rsid w:val="303D3D8D"/>
    <w:rsid w:val="30410449"/>
    <w:rsid w:val="304B34C7"/>
    <w:rsid w:val="306F3884"/>
    <w:rsid w:val="30AE1C64"/>
    <w:rsid w:val="30D06AF0"/>
    <w:rsid w:val="30DC1248"/>
    <w:rsid w:val="30E16401"/>
    <w:rsid w:val="31405015"/>
    <w:rsid w:val="31537EEC"/>
    <w:rsid w:val="316F0F32"/>
    <w:rsid w:val="31736100"/>
    <w:rsid w:val="31773981"/>
    <w:rsid w:val="319C6FC9"/>
    <w:rsid w:val="3205097C"/>
    <w:rsid w:val="3219245E"/>
    <w:rsid w:val="323677EC"/>
    <w:rsid w:val="323827BE"/>
    <w:rsid w:val="32495754"/>
    <w:rsid w:val="32541D1E"/>
    <w:rsid w:val="32605AA8"/>
    <w:rsid w:val="32615E04"/>
    <w:rsid w:val="326849A2"/>
    <w:rsid w:val="326B0F6E"/>
    <w:rsid w:val="328126D8"/>
    <w:rsid w:val="32A04DB4"/>
    <w:rsid w:val="32D07FAA"/>
    <w:rsid w:val="32DE0BF1"/>
    <w:rsid w:val="32E158F1"/>
    <w:rsid w:val="33031007"/>
    <w:rsid w:val="330A1B9B"/>
    <w:rsid w:val="33341058"/>
    <w:rsid w:val="338032CF"/>
    <w:rsid w:val="339F3BDD"/>
    <w:rsid w:val="33A9773C"/>
    <w:rsid w:val="33E93AE7"/>
    <w:rsid w:val="33FB47B2"/>
    <w:rsid w:val="33FE062C"/>
    <w:rsid w:val="340D123D"/>
    <w:rsid w:val="340D402A"/>
    <w:rsid w:val="34117F4A"/>
    <w:rsid w:val="34157A69"/>
    <w:rsid w:val="342F04EE"/>
    <w:rsid w:val="343278F3"/>
    <w:rsid w:val="343773FE"/>
    <w:rsid w:val="344352BB"/>
    <w:rsid w:val="345F13D2"/>
    <w:rsid w:val="346614E2"/>
    <w:rsid w:val="346F44E7"/>
    <w:rsid w:val="3477121B"/>
    <w:rsid w:val="34C33940"/>
    <w:rsid w:val="34CE5612"/>
    <w:rsid w:val="34DA288E"/>
    <w:rsid w:val="34E07C21"/>
    <w:rsid w:val="34E11C57"/>
    <w:rsid w:val="34E43EEA"/>
    <w:rsid w:val="34F47C15"/>
    <w:rsid w:val="34F540BD"/>
    <w:rsid w:val="34FF3C2C"/>
    <w:rsid w:val="35063B46"/>
    <w:rsid w:val="351C3CD0"/>
    <w:rsid w:val="352F1E92"/>
    <w:rsid w:val="353763F9"/>
    <w:rsid w:val="353C79F3"/>
    <w:rsid w:val="353F5F9A"/>
    <w:rsid w:val="35600779"/>
    <w:rsid w:val="35976ED7"/>
    <w:rsid w:val="35980087"/>
    <w:rsid w:val="35B84DAB"/>
    <w:rsid w:val="35C52894"/>
    <w:rsid w:val="35F036ED"/>
    <w:rsid w:val="35FB5BA7"/>
    <w:rsid w:val="36021E5F"/>
    <w:rsid w:val="36327AC4"/>
    <w:rsid w:val="3634601F"/>
    <w:rsid w:val="36496AF6"/>
    <w:rsid w:val="36547421"/>
    <w:rsid w:val="367251E5"/>
    <w:rsid w:val="36903B9D"/>
    <w:rsid w:val="36C301B0"/>
    <w:rsid w:val="36C40C39"/>
    <w:rsid w:val="36C95739"/>
    <w:rsid w:val="36DE6128"/>
    <w:rsid w:val="36FD0B04"/>
    <w:rsid w:val="370275A1"/>
    <w:rsid w:val="372F7F54"/>
    <w:rsid w:val="374754B1"/>
    <w:rsid w:val="374E45F3"/>
    <w:rsid w:val="37624933"/>
    <w:rsid w:val="377870D5"/>
    <w:rsid w:val="378C7B63"/>
    <w:rsid w:val="37C01AB5"/>
    <w:rsid w:val="37C8480D"/>
    <w:rsid w:val="38107733"/>
    <w:rsid w:val="385F25BB"/>
    <w:rsid w:val="386609E8"/>
    <w:rsid w:val="387B2A25"/>
    <w:rsid w:val="38A0575D"/>
    <w:rsid w:val="38B577A9"/>
    <w:rsid w:val="38B74C05"/>
    <w:rsid w:val="38CC421D"/>
    <w:rsid w:val="38D16635"/>
    <w:rsid w:val="38D373E7"/>
    <w:rsid w:val="38FA57F0"/>
    <w:rsid w:val="3936186D"/>
    <w:rsid w:val="39514E0B"/>
    <w:rsid w:val="39566F53"/>
    <w:rsid w:val="395941C6"/>
    <w:rsid w:val="397905D6"/>
    <w:rsid w:val="39864DE3"/>
    <w:rsid w:val="399D5638"/>
    <w:rsid w:val="39B41C18"/>
    <w:rsid w:val="39B653E7"/>
    <w:rsid w:val="39C538F9"/>
    <w:rsid w:val="39D31839"/>
    <w:rsid w:val="39D7425E"/>
    <w:rsid w:val="3A255D6F"/>
    <w:rsid w:val="3A291776"/>
    <w:rsid w:val="3A43382A"/>
    <w:rsid w:val="3A51108A"/>
    <w:rsid w:val="3A604CCB"/>
    <w:rsid w:val="3A6711EA"/>
    <w:rsid w:val="3A6B021B"/>
    <w:rsid w:val="3A6C27C7"/>
    <w:rsid w:val="3A7E7CFE"/>
    <w:rsid w:val="3AB03D58"/>
    <w:rsid w:val="3AF31112"/>
    <w:rsid w:val="3AF71C4F"/>
    <w:rsid w:val="3B0C28E2"/>
    <w:rsid w:val="3B325752"/>
    <w:rsid w:val="3B4113F9"/>
    <w:rsid w:val="3B6E2308"/>
    <w:rsid w:val="3B700B9E"/>
    <w:rsid w:val="3B7A70C3"/>
    <w:rsid w:val="3B8C568A"/>
    <w:rsid w:val="3B8C6B52"/>
    <w:rsid w:val="3B9265F7"/>
    <w:rsid w:val="3BB36501"/>
    <w:rsid w:val="3BC10F8A"/>
    <w:rsid w:val="3BCA0430"/>
    <w:rsid w:val="3C0D7BA2"/>
    <w:rsid w:val="3C1464E6"/>
    <w:rsid w:val="3C1F3B0A"/>
    <w:rsid w:val="3C2F5079"/>
    <w:rsid w:val="3C820BF8"/>
    <w:rsid w:val="3CB974FB"/>
    <w:rsid w:val="3CFF2A56"/>
    <w:rsid w:val="3D083C3D"/>
    <w:rsid w:val="3D0F0BF5"/>
    <w:rsid w:val="3D254DA7"/>
    <w:rsid w:val="3D367754"/>
    <w:rsid w:val="3D4D01FD"/>
    <w:rsid w:val="3D8116F1"/>
    <w:rsid w:val="3D842DB5"/>
    <w:rsid w:val="3D927E3F"/>
    <w:rsid w:val="3DD76D85"/>
    <w:rsid w:val="3DD83ABF"/>
    <w:rsid w:val="3DDA437C"/>
    <w:rsid w:val="3DF461A3"/>
    <w:rsid w:val="3E0B6234"/>
    <w:rsid w:val="3E1516BF"/>
    <w:rsid w:val="3E600BB4"/>
    <w:rsid w:val="3E8A2129"/>
    <w:rsid w:val="3E8C3990"/>
    <w:rsid w:val="3EDA4D3F"/>
    <w:rsid w:val="3F0B745A"/>
    <w:rsid w:val="3F1708AB"/>
    <w:rsid w:val="3F8A3D39"/>
    <w:rsid w:val="3F8D0174"/>
    <w:rsid w:val="3F987717"/>
    <w:rsid w:val="3FD23300"/>
    <w:rsid w:val="3FF47042"/>
    <w:rsid w:val="3FF54785"/>
    <w:rsid w:val="3FFC0AB7"/>
    <w:rsid w:val="3FFF0B26"/>
    <w:rsid w:val="4015659C"/>
    <w:rsid w:val="401D268F"/>
    <w:rsid w:val="403D5DB4"/>
    <w:rsid w:val="40444047"/>
    <w:rsid w:val="40452250"/>
    <w:rsid w:val="40501155"/>
    <w:rsid w:val="405229A9"/>
    <w:rsid w:val="409E45E2"/>
    <w:rsid w:val="40A52125"/>
    <w:rsid w:val="40B61FF8"/>
    <w:rsid w:val="40C7171A"/>
    <w:rsid w:val="40D724A1"/>
    <w:rsid w:val="40E72D37"/>
    <w:rsid w:val="415A1391"/>
    <w:rsid w:val="415E5B0A"/>
    <w:rsid w:val="41965A41"/>
    <w:rsid w:val="41970D49"/>
    <w:rsid w:val="41B92A4F"/>
    <w:rsid w:val="41C964B4"/>
    <w:rsid w:val="41F92ABD"/>
    <w:rsid w:val="41FC1B6A"/>
    <w:rsid w:val="424D1C7F"/>
    <w:rsid w:val="425846A6"/>
    <w:rsid w:val="42624E34"/>
    <w:rsid w:val="427F218F"/>
    <w:rsid w:val="42840AD6"/>
    <w:rsid w:val="428B63CF"/>
    <w:rsid w:val="42AF67D0"/>
    <w:rsid w:val="42BC0E70"/>
    <w:rsid w:val="42C245CE"/>
    <w:rsid w:val="42DD0E52"/>
    <w:rsid w:val="431A0C24"/>
    <w:rsid w:val="434E1C20"/>
    <w:rsid w:val="43620283"/>
    <w:rsid w:val="4363286E"/>
    <w:rsid w:val="43A73BE3"/>
    <w:rsid w:val="43AE7A7E"/>
    <w:rsid w:val="43CF502D"/>
    <w:rsid w:val="440B02B4"/>
    <w:rsid w:val="441C5080"/>
    <w:rsid w:val="44233849"/>
    <w:rsid w:val="446B500C"/>
    <w:rsid w:val="448508DF"/>
    <w:rsid w:val="44BF18A2"/>
    <w:rsid w:val="44E23735"/>
    <w:rsid w:val="44EA77F7"/>
    <w:rsid w:val="45357785"/>
    <w:rsid w:val="45387766"/>
    <w:rsid w:val="453A760F"/>
    <w:rsid w:val="45491A3E"/>
    <w:rsid w:val="45503B28"/>
    <w:rsid w:val="45853082"/>
    <w:rsid w:val="45891F3C"/>
    <w:rsid w:val="4590274A"/>
    <w:rsid w:val="45FD0891"/>
    <w:rsid w:val="46185D52"/>
    <w:rsid w:val="462C285E"/>
    <w:rsid w:val="4639249F"/>
    <w:rsid w:val="463A0304"/>
    <w:rsid w:val="464A4975"/>
    <w:rsid w:val="467C2D95"/>
    <w:rsid w:val="4695468D"/>
    <w:rsid w:val="469A6A31"/>
    <w:rsid w:val="471553B4"/>
    <w:rsid w:val="471E6457"/>
    <w:rsid w:val="475F6267"/>
    <w:rsid w:val="4760207C"/>
    <w:rsid w:val="47743C9D"/>
    <w:rsid w:val="47906F17"/>
    <w:rsid w:val="479A7A31"/>
    <w:rsid w:val="479B1699"/>
    <w:rsid w:val="47AF51BF"/>
    <w:rsid w:val="47B81E12"/>
    <w:rsid w:val="47D03B18"/>
    <w:rsid w:val="47DB1D58"/>
    <w:rsid w:val="47ED29D3"/>
    <w:rsid w:val="47EF74A3"/>
    <w:rsid w:val="47F50C9B"/>
    <w:rsid w:val="4834394A"/>
    <w:rsid w:val="485A65F3"/>
    <w:rsid w:val="48987720"/>
    <w:rsid w:val="48AA0D47"/>
    <w:rsid w:val="48AB437A"/>
    <w:rsid w:val="48BB5E99"/>
    <w:rsid w:val="48E709AB"/>
    <w:rsid w:val="49074129"/>
    <w:rsid w:val="491E413A"/>
    <w:rsid w:val="492B5D1A"/>
    <w:rsid w:val="49356195"/>
    <w:rsid w:val="493E72F4"/>
    <w:rsid w:val="49477CA3"/>
    <w:rsid w:val="495D4FB7"/>
    <w:rsid w:val="495F0F47"/>
    <w:rsid w:val="49850611"/>
    <w:rsid w:val="49E47F0A"/>
    <w:rsid w:val="4A221E06"/>
    <w:rsid w:val="4A2C05A1"/>
    <w:rsid w:val="4A487A49"/>
    <w:rsid w:val="4A661827"/>
    <w:rsid w:val="4ABE4002"/>
    <w:rsid w:val="4AD3789D"/>
    <w:rsid w:val="4AE61558"/>
    <w:rsid w:val="4AE629A4"/>
    <w:rsid w:val="4AF93679"/>
    <w:rsid w:val="4B1E0386"/>
    <w:rsid w:val="4B327DA5"/>
    <w:rsid w:val="4B483ECE"/>
    <w:rsid w:val="4B4D5DE5"/>
    <w:rsid w:val="4B53713F"/>
    <w:rsid w:val="4B5918B4"/>
    <w:rsid w:val="4B5E178B"/>
    <w:rsid w:val="4B7D53C9"/>
    <w:rsid w:val="4B85293F"/>
    <w:rsid w:val="4B902502"/>
    <w:rsid w:val="4B9B344B"/>
    <w:rsid w:val="4BDB55FA"/>
    <w:rsid w:val="4C3D55C6"/>
    <w:rsid w:val="4C667A5B"/>
    <w:rsid w:val="4C823BCA"/>
    <w:rsid w:val="4C9F1330"/>
    <w:rsid w:val="4CAB3457"/>
    <w:rsid w:val="4CF124C7"/>
    <w:rsid w:val="4CF70170"/>
    <w:rsid w:val="4CFA619E"/>
    <w:rsid w:val="4CFD777A"/>
    <w:rsid w:val="4D201110"/>
    <w:rsid w:val="4D3431C7"/>
    <w:rsid w:val="4D526F59"/>
    <w:rsid w:val="4D650150"/>
    <w:rsid w:val="4DE03AC2"/>
    <w:rsid w:val="4DEF02BD"/>
    <w:rsid w:val="4E0D72D8"/>
    <w:rsid w:val="4E383ED6"/>
    <w:rsid w:val="4E560D60"/>
    <w:rsid w:val="4E564593"/>
    <w:rsid w:val="4E703F51"/>
    <w:rsid w:val="4E942C0A"/>
    <w:rsid w:val="4E98220D"/>
    <w:rsid w:val="4EB7399D"/>
    <w:rsid w:val="4ECD2716"/>
    <w:rsid w:val="4EE73AF5"/>
    <w:rsid w:val="4EE84EA5"/>
    <w:rsid w:val="4EEE4AF5"/>
    <w:rsid w:val="4F0B544D"/>
    <w:rsid w:val="4F301FB1"/>
    <w:rsid w:val="4F4F7329"/>
    <w:rsid w:val="4F5260B5"/>
    <w:rsid w:val="4F58224C"/>
    <w:rsid w:val="4F5A7FFE"/>
    <w:rsid w:val="4F8B2726"/>
    <w:rsid w:val="4F8B4457"/>
    <w:rsid w:val="4FDA01F8"/>
    <w:rsid w:val="4FF221C3"/>
    <w:rsid w:val="4FFA0634"/>
    <w:rsid w:val="500032A2"/>
    <w:rsid w:val="504E08AD"/>
    <w:rsid w:val="505C4D01"/>
    <w:rsid w:val="507419FE"/>
    <w:rsid w:val="508B1CA1"/>
    <w:rsid w:val="50AA168D"/>
    <w:rsid w:val="50AF4B30"/>
    <w:rsid w:val="50BC5CDC"/>
    <w:rsid w:val="50E74C38"/>
    <w:rsid w:val="51025571"/>
    <w:rsid w:val="510819A0"/>
    <w:rsid w:val="51200E5F"/>
    <w:rsid w:val="5123009E"/>
    <w:rsid w:val="512C2CA7"/>
    <w:rsid w:val="512D289E"/>
    <w:rsid w:val="514152FB"/>
    <w:rsid w:val="51434ED1"/>
    <w:rsid w:val="516445A0"/>
    <w:rsid w:val="518956A9"/>
    <w:rsid w:val="52490C2A"/>
    <w:rsid w:val="525505B5"/>
    <w:rsid w:val="5261544F"/>
    <w:rsid w:val="52C504FB"/>
    <w:rsid w:val="52E13756"/>
    <w:rsid w:val="52E65840"/>
    <w:rsid w:val="52EF5C2D"/>
    <w:rsid w:val="52F47582"/>
    <w:rsid w:val="5371534A"/>
    <w:rsid w:val="53720C63"/>
    <w:rsid w:val="537700D3"/>
    <w:rsid w:val="53811681"/>
    <w:rsid w:val="538A520F"/>
    <w:rsid w:val="53933E3F"/>
    <w:rsid w:val="53B418CC"/>
    <w:rsid w:val="53F32910"/>
    <w:rsid w:val="53F4098D"/>
    <w:rsid w:val="53FE04C8"/>
    <w:rsid w:val="54206BE2"/>
    <w:rsid w:val="54297BB6"/>
    <w:rsid w:val="54336DD4"/>
    <w:rsid w:val="543660C2"/>
    <w:rsid w:val="54375971"/>
    <w:rsid w:val="54453F00"/>
    <w:rsid w:val="544D196D"/>
    <w:rsid w:val="5478326E"/>
    <w:rsid w:val="547F6951"/>
    <w:rsid w:val="54854CE2"/>
    <w:rsid w:val="548965FC"/>
    <w:rsid w:val="549F015A"/>
    <w:rsid w:val="54D730B0"/>
    <w:rsid w:val="54E812EA"/>
    <w:rsid w:val="54F76B5C"/>
    <w:rsid w:val="55020A87"/>
    <w:rsid w:val="550341FE"/>
    <w:rsid w:val="55042014"/>
    <w:rsid w:val="55210479"/>
    <w:rsid w:val="552A209A"/>
    <w:rsid w:val="55393BB8"/>
    <w:rsid w:val="55614C5E"/>
    <w:rsid w:val="558C2621"/>
    <w:rsid w:val="55AD3652"/>
    <w:rsid w:val="55B9606B"/>
    <w:rsid w:val="55DE0E54"/>
    <w:rsid w:val="55FF52A6"/>
    <w:rsid w:val="5633198E"/>
    <w:rsid w:val="563E5469"/>
    <w:rsid w:val="566919C6"/>
    <w:rsid w:val="566C5546"/>
    <w:rsid w:val="56745BC9"/>
    <w:rsid w:val="56CF2CF8"/>
    <w:rsid w:val="56E34EAC"/>
    <w:rsid w:val="570203D1"/>
    <w:rsid w:val="571159E3"/>
    <w:rsid w:val="571D3ABE"/>
    <w:rsid w:val="571F6B78"/>
    <w:rsid w:val="57645BA3"/>
    <w:rsid w:val="576A1B6C"/>
    <w:rsid w:val="57936854"/>
    <w:rsid w:val="579848F6"/>
    <w:rsid w:val="57A22474"/>
    <w:rsid w:val="57AF0A2B"/>
    <w:rsid w:val="57C43A36"/>
    <w:rsid w:val="57F62116"/>
    <w:rsid w:val="58101705"/>
    <w:rsid w:val="58335AD6"/>
    <w:rsid w:val="584265A5"/>
    <w:rsid w:val="58707FAE"/>
    <w:rsid w:val="58895B35"/>
    <w:rsid w:val="58C83D7C"/>
    <w:rsid w:val="58E7744A"/>
    <w:rsid w:val="5909370D"/>
    <w:rsid w:val="590D48EB"/>
    <w:rsid w:val="59495353"/>
    <w:rsid w:val="595D2922"/>
    <w:rsid w:val="59634E7E"/>
    <w:rsid w:val="597265E6"/>
    <w:rsid w:val="59A85569"/>
    <w:rsid w:val="59A90DF6"/>
    <w:rsid w:val="59B8686F"/>
    <w:rsid w:val="59B86AAB"/>
    <w:rsid w:val="59BF5B8E"/>
    <w:rsid w:val="59D027D3"/>
    <w:rsid w:val="59DE0C7A"/>
    <w:rsid w:val="59F04D56"/>
    <w:rsid w:val="5A125C89"/>
    <w:rsid w:val="5A4F7A61"/>
    <w:rsid w:val="5AA026B8"/>
    <w:rsid w:val="5AA116D7"/>
    <w:rsid w:val="5AE821DA"/>
    <w:rsid w:val="5AED557F"/>
    <w:rsid w:val="5AFD1904"/>
    <w:rsid w:val="5B2C0607"/>
    <w:rsid w:val="5B3034F1"/>
    <w:rsid w:val="5B424CC5"/>
    <w:rsid w:val="5B63362E"/>
    <w:rsid w:val="5B755268"/>
    <w:rsid w:val="5B9C2FC5"/>
    <w:rsid w:val="5BC86521"/>
    <w:rsid w:val="5C082709"/>
    <w:rsid w:val="5C14060C"/>
    <w:rsid w:val="5C2E582C"/>
    <w:rsid w:val="5C7639BC"/>
    <w:rsid w:val="5CD12F06"/>
    <w:rsid w:val="5CF7084F"/>
    <w:rsid w:val="5D147937"/>
    <w:rsid w:val="5D1634FA"/>
    <w:rsid w:val="5D614E5A"/>
    <w:rsid w:val="5D7A4EBD"/>
    <w:rsid w:val="5D7B2AFB"/>
    <w:rsid w:val="5D9D4948"/>
    <w:rsid w:val="5DA07441"/>
    <w:rsid w:val="5DCD5EDE"/>
    <w:rsid w:val="5DDD01B0"/>
    <w:rsid w:val="5DEE4FE1"/>
    <w:rsid w:val="5E040F9B"/>
    <w:rsid w:val="5E163DAD"/>
    <w:rsid w:val="5E18199F"/>
    <w:rsid w:val="5E276BBA"/>
    <w:rsid w:val="5E4A34BA"/>
    <w:rsid w:val="5E572B7B"/>
    <w:rsid w:val="5ED929BD"/>
    <w:rsid w:val="5EEF44C3"/>
    <w:rsid w:val="5EF64B87"/>
    <w:rsid w:val="5EFE24CD"/>
    <w:rsid w:val="5F1E02ED"/>
    <w:rsid w:val="5F5335CE"/>
    <w:rsid w:val="5F6123D2"/>
    <w:rsid w:val="5F7C6175"/>
    <w:rsid w:val="5F8C113D"/>
    <w:rsid w:val="5FB55859"/>
    <w:rsid w:val="5FEE6A48"/>
    <w:rsid w:val="6028198E"/>
    <w:rsid w:val="6060214E"/>
    <w:rsid w:val="6071387E"/>
    <w:rsid w:val="60932B78"/>
    <w:rsid w:val="60B1182C"/>
    <w:rsid w:val="60B54E5F"/>
    <w:rsid w:val="60D67EB5"/>
    <w:rsid w:val="60E72435"/>
    <w:rsid w:val="60F12408"/>
    <w:rsid w:val="60F915AE"/>
    <w:rsid w:val="61186844"/>
    <w:rsid w:val="61196AEE"/>
    <w:rsid w:val="612015DC"/>
    <w:rsid w:val="613D3456"/>
    <w:rsid w:val="6161246C"/>
    <w:rsid w:val="617A09D3"/>
    <w:rsid w:val="617E2BD9"/>
    <w:rsid w:val="61AB7F4F"/>
    <w:rsid w:val="61BC7327"/>
    <w:rsid w:val="61F12BA4"/>
    <w:rsid w:val="61FC795F"/>
    <w:rsid w:val="622A0453"/>
    <w:rsid w:val="62554D7B"/>
    <w:rsid w:val="62870321"/>
    <w:rsid w:val="62892F39"/>
    <w:rsid w:val="62A52639"/>
    <w:rsid w:val="62C313EC"/>
    <w:rsid w:val="62D2532D"/>
    <w:rsid w:val="62D32926"/>
    <w:rsid w:val="62EB1C80"/>
    <w:rsid w:val="6306529F"/>
    <w:rsid w:val="632B7CB6"/>
    <w:rsid w:val="632D6A8C"/>
    <w:rsid w:val="63326075"/>
    <w:rsid w:val="63577595"/>
    <w:rsid w:val="636D1281"/>
    <w:rsid w:val="63921C8F"/>
    <w:rsid w:val="63C546CA"/>
    <w:rsid w:val="63D43500"/>
    <w:rsid w:val="64463885"/>
    <w:rsid w:val="646C6942"/>
    <w:rsid w:val="648101EB"/>
    <w:rsid w:val="64C649E5"/>
    <w:rsid w:val="64C971FC"/>
    <w:rsid w:val="64D17A33"/>
    <w:rsid w:val="651F176C"/>
    <w:rsid w:val="65243799"/>
    <w:rsid w:val="653730AD"/>
    <w:rsid w:val="65473BE4"/>
    <w:rsid w:val="654823B1"/>
    <w:rsid w:val="658B7760"/>
    <w:rsid w:val="659514FA"/>
    <w:rsid w:val="65B4203E"/>
    <w:rsid w:val="65C562C1"/>
    <w:rsid w:val="65DA30E2"/>
    <w:rsid w:val="65EE7177"/>
    <w:rsid w:val="6635457B"/>
    <w:rsid w:val="663B78CC"/>
    <w:rsid w:val="66645598"/>
    <w:rsid w:val="66713242"/>
    <w:rsid w:val="66A57E71"/>
    <w:rsid w:val="66BD4460"/>
    <w:rsid w:val="66D47A94"/>
    <w:rsid w:val="66E4759D"/>
    <w:rsid w:val="674B4F4A"/>
    <w:rsid w:val="676A3DA6"/>
    <w:rsid w:val="67773A51"/>
    <w:rsid w:val="679805D8"/>
    <w:rsid w:val="67BC3FEE"/>
    <w:rsid w:val="67CA7544"/>
    <w:rsid w:val="67D477F8"/>
    <w:rsid w:val="67FF7C3A"/>
    <w:rsid w:val="6829477F"/>
    <w:rsid w:val="682F4FA9"/>
    <w:rsid w:val="68323C50"/>
    <w:rsid w:val="686332F5"/>
    <w:rsid w:val="68646588"/>
    <w:rsid w:val="688232C2"/>
    <w:rsid w:val="68843A78"/>
    <w:rsid w:val="689F0599"/>
    <w:rsid w:val="68B43376"/>
    <w:rsid w:val="68F053F6"/>
    <w:rsid w:val="68F43A1E"/>
    <w:rsid w:val="69145603"/>
    <w:rsid w:val="69423186"/>
    <w:rsid w:val="69432BE1"/>
    <w:rsid w:val="694D728A"/>
    <w:rsid w:val="6988057F"/>
    <w:rsid w:val="699906A2"/>
    <w:rsid w:val="69AC12C2"/>
    <w:rsid w:val="69C411D0"/>
    <w:rsid w:val="69C62FFA"/>
    <w:rsid w:val="69D86C6D"/>
    <w:rsid w:val="69FA48D7"/>
    <w:rsid w:val="6A0D6DC9"/>
    <w:rsid w:val="6A4A19BA"/>
    <w:rsid w:val="6A564EBF"/>
    <w:rsid w:val="6A645FFB"/>
    <w:rsid w:val="6A6A2D90"/>
    <w:rsid w:val="6A701056"/>
    <w:rsid w:val="6A7A24EF"/>
    <w:rsid w:val="6A7E361E"/>
    <w:rsid w:val="6A9A2282"/>
    <w:rsid w:val="6ABB292C"/>
    <w:rsid w:val="6AC46CE5"/>
    <w:rsid w:val="6ACD0D45"/>
    <w:rsid w:val="6AFE0C80"/>
    <w:rsid w:val="6B2A0779"/>
    <w:rsid w:val="6B2B1D80"/>
    <w:rsid w:val="6B3D3548"/>
    <w:rsid w:val="6B664EB6"/>
    <w:rsid w:val="6BA87D31"/>
    <w:rsid w:val="6BB72998"/>
    <w:rsid w:val="6BBC73BD"/>
    <w:rsid w:val="6BC066B1"/>
    <w:rsid w:val="6C0B1660"/>
    <w:rsid w:val="6C533915"/>
    <w:rsid w:val="6C7F31BE"/>
    <w:rsid w:val="6CD91C0E"/>
    <w:rsid w:val="6CE01353"/>
    <w:rsid w:val="6CEA7AAC"/>
    <w:rsid w:val="6CF35CFC"/>
    <w:rsid w:val="6CFA25E1"/>
    <w:rsid w:val="6D3F29A1"/>
    <w:rsid w:val="6D651DF3"/>
    <w:rsid w:val="6D9E263C"/>
    <w:rsid w:val="6DD658EE"/>
    <w:rsid w:val="6DDD6E36"/>
    <w:rsid w:val="6DEC1C21"/>
    <w:rsid w:val="6E152319"/>
    <w:rsid w:val="6E3B0BAF"/>
    <w:rsid w:val="6E3E0629"/>
    <w:rsid w:val="6E501AEB"/>
    <w:rsid w:val="6E7C11B5"/>
    <w:rsid w:val="6E7F556F"/>
    <w:rsid w:val="6E997C25"/>
    <w:rsid w:val="6E9F07E1"/>
    <w:rsid w:val="6EA14A30"/>
    <w:rsid w:val="6EB6105A"/>
    <w:rsid w:val="6EC629FF"/>
    <w:rsid w:val="6EC7282F"/>
    <w:rsid w:val="6F1C104C"/>
    <w:rsid w:val="6F26499B"/>
    <w:rsid w:val="6F2F3282"/>
    <w:rsid w:val="6F587A8E"/>
    <w:rsid w:val="6F5A7044"/>
    <w:rsid w:val="6F5D5506"/>
    <w:rsid w:val="6F600C59"/>
    <w:rsid w:val="6F7E2770"/>
    <w:rsid w:val="6F8776A7"/>
    <w:rsid w:val="6F957D21"/>
    <w:rsid w:val="6FA57C2A"/>
    <w:rsid w:val="6FD175F7"/>
    <w:rsid w:val="6FD95378"/>
    <w:rsid w:val="703C1CAA"/>
    <w:rsid w:val="703E1108"/>
    <w:rsid w:val="704B7EBD"/>
    <w:rsid w:val="707F7FC1"/>
    <w:rsid w:val="70830694"/>
    <w:rsid w:val="7092075C"/>
    <w:rsid w:val="70AF49AD"/>
    <w:rsid w:val="70E234A9"/>
    <w:rsid w:val="712D7A96"/>
    <w:rsid w:val="71334F8E"/>
    <w:rsid w:val="713C2BF3"/>
    <w:rsid w:val="715517E0"/>
    <w:rsid w:val="71682CDB"/>
    <w:rsid w:val="717C301D"/>
    <w:rsid w:val="71AC3CA8"/>
    <w:rsid w:val="71E67530"/>
    <w:rsid w:val="71F552A8"/>
    <w:rsid w:val="71FD3369"/>
    <w:rsid w:val="7208350E"/>
    <w:rsid w:val="72264502"/>
    <w:rsid w:val="723358B2"/>
    <w:rsid w:val="72363B93"/>
    <w:rsid w:val="72366F69"/>
    <w:rsid w:val="72546CCC"/>
    <w:rsid w:val="72571A57"/>
    <w:rsid w:val="72981E43"/>
    <w:rsid w:val="72AD5CE4"/>
    <w:rsid w:val="72BB344D"/>
    <w:rsid w:val="72BD396A"/>
    <w:rsid w:val="72EA334F"/>
    <w:rsid w:val="730B241D"/>
    <w:rsid w:val="734C24BD"/>
    <w:rsid w:val="7357002D"/>
    <w:rsid w:val="73576104"/>
    <w:rsid w:val="73815738"/>
    <w:rsid w:val="739F3A97"/>
    <w:rsid w:val="73AF1694"/>
    <w:rsid w:val="73B673EF"/>
    <w:rsid w:val="73F02366"/>
    <w:rsid w:val="742254DD"/>
    <w:rsid w:val="7437180D"/>
    <w:rsid w:val="74391D4B"/>
    <w:rsid w:val="74483CFE"/>
    <w:rsid w:val="744B0DA7"/>
    <w:rsid w:val="744D3074"/>
    <w:rsid w:val="74624CC6"/>
    <w:rsid w:val="746A5AD3"/>
    <w:rsid w:val="74723306"/>
    <w:rsid w:val="747A2CC8"/>
    <w:rsid w:val="747F3641"/>
    <w:rsid w:val="74B579B7"/>
    <w:rsid w:val="74BB7061"/>
    <w:rsid w:val="74CE3EB2"/>
    <w:rsid w:val="74E82D21"/>
    <w:rsid w:val="750E03C1"/>
    <w:rsid w:val="751C6251"/>
    <w:rsid w:val="751E470B"/>
    <w:rsid w:val="753D7B6A"/>
    <w:rsid w:val="754026A2"/>
    <w:rsid w:val="75670772"/>
    <w:rsid w:val="757C44C8"/>
    <w:rsid w:val="759A09C5"/>
    <w:rsid w:val="75A6427E"/>
    <w:rsid w:val="75B243A7"/>
    <w:rsid w:val="75DE6DB1"/>
    <w:rsid w:val="75E572CF"/>
    <w:rsid w:val="75FB07A2"/>
    <w:rsid w:val="761375E4"/>
    <w:rsid w:val="76217478"/>
    <w:rsid w:val="763C572C"/>
    <w:rsid w:val="7666354F"/>
    <w:rsid w:val="766B6ECD"/>
    <w:rsid w:val="76855EB9"/>
    <w:rsid w:val="7692691E"/>
    <w:rsid w:val="76996365"/>
    <w:rsid w:val="769A10D0"/>
    <w:rsid w:val="76C2349E"/>
    <w:rsid w:val="76CB35EC"/>
    <w:rsid w:val="76D054CE"/>
    <w:rsid w:val="77040C67"/>
    <w:rsid w:val="773B587C"/>
    <w:rsid w:val="774271F2"/>
    <w:rsid w:val="77453760"/>
    <w:rsid w:val="77653D55"/>
    <w:rsid w:val="776A7D9F"/>
    <w:rsid w:val="77734AD9"/>
    <w:rsid w:val="77767106"/>
    <w:rsid w:val="77AB2363"/>
    <w:rsid w:val="77F3466D"/>
    <w:rsid w:val="780127F5"/>
    <w:rsid w:val="7822274B"/>
    <w:rsid w:val="7840608D"/>
    <w:rsid w:val="78494C44"/>
    <w:rsid w:val="78594455"/>
    <w:rsid w:val="78786AB3"/>
    <w:rsid w:val="78B065B0"/>
    <w:rsid w:val="78C33E4A"/>
    <w:rsid w:val="7901119D"/>
    <w:rsid w:val="790D3EA5"/>
    <w:rsid w:val="791B2495"/>
    <w:rsid w:val="791D2A50"/>
    <w:rsid w:val="79366F18"/>
    <w:rsid w:val="79432736"/>
    <w:rsid w:val="79660E81"/>
    <w:rsid w:val="797940FE"/>
    <w:rsid w:val="79AA4A14"/>
    <w:rsid w:val="79B63FC9"/>
    <w:rsid w:val="79DE02DD"/>
    <w:rsid w:val="79E07E40"/>
    <w:rsid w:val="79EB5D1B"/>
    <w:rsid w:val="79FC6182"/>
    <w:rsid w:val="7A0A6F4F"/>
    <w:rsid w:val="7A456F6D"/>
    <w:rsid w:val="7A5F16CA"/>
    <w:rsid w:val="7A710D8E"/>
    <w:rsid w:val="7AB1300F"/>
    <w:rsid w:val="7AB64E52"/>
    <w:rsid w:val="7ADA0EA4"/>
    <w:rsid w:val="7AE75FBC"/>
    <w:rsid w:val="7AFC56DC"/>
    <w:rsid w:val="7B0D3216"/>
    <w:rsid w:val="7B345398"/>
    <w:rsid w:val="7B355131"/>
    <w:rsid w:val="7B590C27"/>
    <w:rsid w:val="7B6C5EAB"/>
    <w:rsid w:val="7B7814A8"/>
    <w:rsid w:val="7B861DF2"/>
    <w:rsid w:val="7BA33013"/>
    <w:rsid w:val="7BF702E8"/>
    <w:rsid w:val="7BFA0FA5"/>
    <w:rsid w:val="7BFE2BF5"/>
    <w:rsid w:val="7C162A9E"/>
    <w:rsid w:val="7C177BEA"/>
    <w:rsid w:val="7C206AB7"/>
    <w:rsid w:val="7C8646F6"/>
    <w:rsid w:val="7C9B46D0"/>
    <w:rsid w:val="7CA95B93"/>
    <w:rsid w:val="7CBC0850"/>
    <w:rsid w:val="7CD3681B"/>
    <w:rsid w:val="7CF20DD2"/>
    <w:rsid w:val="7CFF7134"/>
    <w:rsid w:val="7D8603E2"/>
    <w:rsid w:val="7D9C553A"/>
    <w:rsid w:val="7DD0508B"/>
    <w:rsid w:val="7DE4119D"/>
    <w:rsid w:val="7DEE5B58"/>
    <w:rsid w:val="7E0B1390"/>
    <w:rsid w:val="7E2B13AE"/>
    <w:rsid w:val="7ED03245"/>
    <w:rsid w:val="7ED25E9B"/>
    <w:rsid w:val="7ED37D6E"/>
    <w:rsid w:val="7F7D2EBD"/>
    <w:rsid w:val="7F8846F0"/>
    <w:rsid w:val="7FAD2052"/>
    <w:rsid w:val="7FEA3B6F"/>
    <w:rsid w:val="BAFFAB79"/>
    <w:rsid w:val="DBEED555"/>
  </w:rsids>
  <m:mathPr>
    <m:lMargin m:val="0"/>
    <m:rMargin m:val="0"/>
    <m:wrapIndent m:val="1440"/>
    <m:brkBin m:val="before"/>
    <m:brkBinSub m:val="--"/>
    <m:defJc m:val="centerGroup"/>
    <m:intLim m:val="subSup"/>
    <m:naryLim m:val="undOvr"/>
    <m:smallFrac m:val="0"/>
    <m:dispDef/>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2">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编号符号"/>
    <w:qFormat/>
    <w:uiPriority w:val="0"/>
  </w:style>
  <w:style w:type="character" w:customStyle="1" w:styleId="16">
    <w:name w:val="页眉 字符"/>
    <w:basedOn w:val="12"/>
    <w:qFormat/>
    <w:uiPriority w:val="0"/>
    <w:rPr>
      <w:rFonts w:ascii="Arial Unicode MS" w:hAnsi="Arial Unicode MS" w:eastAsia="Arial Unicode MS" w:cs="Arial Unicode MS"/>
      <w:sz w:val="18"/>
      <w:szCs w:val="18"/>
      <w:lang w:val="zh-CN" w:bidi="zh-CN"/>
    </w:rPr>
  </w:style>
  <w:style w:type="character" w:customStyle="1" w:styleId="17">
    <w:name w:val="页脚 字符"/>
    <w:basedOn w:val="12"/>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3386</Words>
  <Characters>7333</Characters>
  <Lines>0</Lines>
  <Paragraphs>501</Paragraphs>
  <TotalTime>0</TotalTime>
  <ScaleCrop>false</ScaleCrop>
  <LinksUpToDate>false</LinksUpToDate>
  <CharactersWithSpaces>7399</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lenovo</cp:lastModifiedBy>
  <dcterms:modified xsi:type="dcterms:W3CDTF">2021-09-07T03:26:33Z</dcterms:modified>
  <dc:title>部门决算公开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2052-10.8.0.5715</vt:lpwstr>
  </property>
  <property fmtid="{D5CDD505-2E9C-101B-9397-08002B2CF9AE}" pid="6" name="LastSaved">
    <vt:filetime>2021-04-15T00:00:00Z</vt:filetime>
  </property>
</Properties>
</file>